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FD" w:rsidRDefault="007612AE" w:rsidP="00030895">
      <w:pPr>
        <w:ind w:left="1440"/>
        <w:outlineLvl w:val="0"/>
        <w:rPr>
          <w:b/>
          <w:u w:val="single"/>
        </w:rPr>
      </w:pPr>
      <w:r>
        <w:t xml:space="preserve"> </w:t>
      </w:r>
      <w:r w:rsidR="00956224">
        <w:rPr>
          <w:b/>
          <w:u w:val="single"/>
        </w:rPr>
        <w:t>Restoration and Reaction: Reinterpreting the Marian Church</w:t>
      </w:r>
    </w:p>
    <w:p w:rsidR="00956224" w:rsidRDefault="00956224" w:rsidP="00956224">
      <w:pPr>
        <w:ind w:left="1440"/>
        <w:rPr>
          <w:b/>
          <w:u w:val="single"/>
        </w:rPr>
      </w:pPr>
    </w:p>
    <w:p w:rsidR="00956224" w:rsidRPr="00956224" w:rsidRDefault="00956224" w:rsidP="00956224">
      <w:r>
        <w:rPr>
          <w:i/>
        </w:rPr>
        <w:t>Catholic renewal and Protestant resistance in Marian England.</w:t>
      </w:r>
      <w:r>
        <w:t xml:space="preserve">   Edited by Elizabeth Evenden and Vivienne Westbrook.   Pp. xvii + 329 incl. 5 tables.  Farnham and Burlington, VT:</w:t>
      </w:r>
      <w:r w:rsidR="007612AE">
        <w:t xml:space="preserve">  Ashgate, 2015.  £80.00 (hardcover).  978 0 7546 6162 7</w:t>
      </w:r>
    </w:p>
    <w:p w:rsidR="00956224" w:rsidRPr="00956224" w:rsidRDefault="00956224" w:rsidP="00956224">
      <w:pPr>
        <w:ind w:left="1440"/>
        <w:rPr>
          <w:b/>
          <w:u w:val="single"/>
        </w:rPr>
      </w:pPr>
    </w:p>
    <w:p w:rsidR="00586264" w:rsidRDefault="00FC6862" w:rsidP="00960E5F">
      <w:pPr>
        <w:ind w:firstLine="720"/>
      </w:pPr>
      <w:r>
        <w:t>Although the reign of Mary I (1553-1558) was a tumultuous and eventful one, for ov</w:t>
      </w:r>
      <w:r w:rsidR="000C1BAC">
        <w:t>er four hundred years there was</w:t>
      </w:r>
      <w:r>
        <w:t xml:space="preserve"> little debate about it or about the Queen’s </w:t>
      </w:r>
      <w:r w:rsidR="000C1BAC">
        <w:t>efforts to restore Catholicism to</w:t>
      </w:r>
      <w:r w:rsidR="00960E5F">
        <w:t xml:space="preserve"> </w:t>
      </w:r>
      <w:r w:rsidR="000C1BAC">
        <w:t>England.  The reign was</w:t>
      </w:r>
      <w:r w:rsidR="00955F1E">
        <w:t xml:space="preserve"> almost universally perceived a</w:t>
      </w:r>
      <w:r w:rsidR="000C1BAC">
        <w:t>s poor, nasty, brutish and short-lived and the restoration of Catholicism was believed</w:t>
      </w:r>
      <w:r w:rsidR="001E71C6">
        <w:t xml:space="preserve"> to have been doomed to failure</w:t>
      </w:r>
      <w:r w:rsidR="000C1BAC">
        <w:t xml:space="preserve">, both because the burning </w:t>
      </w:r>
      <w:r w:rsidR="00960E5F">
        <w:t xml:space="preserve"> </w:t>
      </w:r>
      <w:r w:rsidR="000C1BAC">
        <w:t xml:space="preserve">of heretics offended English sensibilities and because </w:t>
      </w:r>
      <w:r w:rsidR="001E71C6">
        <w:t xml:space="preserve">Protestantism </w:t>
      </w:r>
      <w:r w:rsidR="00F82301">
        <w:t xml:space="preserve">was already </w:t>
      </w:r>
      <w:r w:rsidR="001E71C6">
        <w:t>so deeply embedded in England that it could not be uprooted.</w:t>
      </w:r>
      <w:r w:rsidR="006D3AAA">
        <w:rPr>
          <w:rStyle w:val="FootnoteReference"/>
        </w:rPr>
        <w:footnoteReference w:id="1"/>
      </w:r>
      <w:r w:rsidR="00F82301">
        <w:t xml:space="preserve">  </w:t>
      </w:r>
      <w:r w:rsidR="00586264">
        <w:t xml:space="preserve">Yet towards the end of the twentieth century,the tectonic plates of historical </w:t>
      </w:r>
      <w:r w:rsidR="00C22148">
        <w:t>research began to shift and the resulting  tremors altered the</w:t>
      </w:r>
      <w:r w:rsidR="00586264">
        <w:t xml:space="preserve">  historiographical </w:t>
      </w:r>
      <w:r w:rsidR="00932055">
        <w:t>landscape of Mary’s reign, and indeed of the English Reformation.</w:t>
      </w:r>
    </w:p>
    <w:p w:rsidR="008A7215" w:rsidRPr="00C7567B" w:rsidRDefault="00932055">
      <w:r>
        <w:tab/>
        <w:t xml:space="preserve">In 1987 a collection, edited by Christopher Haigh, was published which contained a number </w:t>
      </w:r>
      <w:r w:rsidR="00C22148">
        <w:t>of chapters</w:t>
      </w:r>
      <w:r w:rsidR="0059606C">
        <w:t xml:space="preserve">, notably those by Rex Pogson, and Ronald Hutton, which emphasised both the challenges </w:t>
      </w:r>
      <w:r w:rsidR="00C7567B">
        <w:t>faced by the Marian c</w:t>
      </w:r>
      <w:r w:rsidR="0059606C">
        <w:t>hurch and the considerable extent to which these challenges were met.</w:t>
      </w:r>
      <w:r w:rsidR="00C80616">
        <w:rPr>
          <w:rStyle w:val="FootnoteReference"/>
        </w:rPr>
        <w:footnoteReference w:id="2"/>
      </w:r>
      <w:r w:rsidR="00C80616">
        <w:t xml:space="preserve">  </w:t>
      </w:r>
      <w:r w:rsidR="00C22148">
        <w:t xml:space="preserve"> </w:t>
      </w:r>
      <w:r w:rsidR="006D3AAA">
        <w:t>Five years later,</w:t>
      </w:r>
      <w:r w:rsidR="00C80616">
        <w:t xml:space="preserve"> two major </w:t>
      </w:r>
      <w:r w:rsidR="00030895">
        <w:t>studies</w:t>
      </w:r>
      <w:r w:rsidR="00C80616">
        <w:t xml:space="preserve"> appeared</w:t>
      </w:r>
      <w:r w:rsidR="006D3AAA">
        <w:t xml:space="preserve">, almost in tandem, which challenged </w:t>
      </w:r>
      <w:r w:rsidR="00BC21A0">
        <w:t>the tradition</w:t>
      </w:r>
      <w:r w:rsidR="00C7567B">
        <w:t>al understanding of the Marian c</w:t>
      </w:r>
      <w:r w:rsidR="00BC21A0">
        <w:t>hurch.</w:t>
      </w:r>
      <w:r w:rsidR="00C7567B">
        <w:t xml:space="preserve">  The first of these, Eamon Duffy’s seminal </w:t>
      </w:r>
      <w:r w:rsidR="00C7567B">
        <w:rPr>
          <w:i/>
        </w:rPr>
        <w:t>Stripping of the Altars</w:t>
      </w:r>
      <w:r w:rsidR="00C7567B">
        <w:t>, argued that the Marian religious</w:t>
      </w:r>
      <w:r w:rsidR="00BF0814">
        <w:t xml:space="preserve"> leaders conducted a</w:t>
      </w:r>
      <w:r w:rsidR="00D64FA9">
        <w:t>n</w:t>
      </w:r>
      <w:r w:rsidR="00BF0814">
        <w:t xml:space="preserve"> </w:t>
      </w:r>
      <w:r w:rsidR="005C5B7E">
        <w:t>i</w:t>
      </w:r>
      <w:r w:rsidR="00522A43">
        <w:t xml:space="preserve">ntelligently planned </w:t>
      </w:r>
      <w:r w:rsidR="00932978">
        <w:t>p</w:t>
      </w:r>
      <w:r w:rsidR="00BF0814">
        <w:t>rogramme of Catholic restoratio</w:t>
      </w:r>
      <w:r w:rsidR="00522A43">
        <w:t>n that enjoyed significant success</w:t>
      </w:r>
      <w:r w:rsidR="00BF0814">
        <w:t xml:space="preserve">.  Duffy drew </w:t>
      </w:r>
      <w:r w:rsidR="00C7567B">
        <w:t>attention to achievements of the Marian church that had gone</w:t>
      </w:r>
      <w:r w:rsidR="00BF0814">
        <w:t xml:space="preserve"> </w:t>
      </w:r>
      <w:r w:rsidR="00C7567B">
        <w:t>largely unnoticed</w:t>
      </w:r>
      <w:r w:rsidR="00BF0814">
        <w:t>, notably the</w:t>
      </w:r>
      <w:r w:rsidR="00D64FA9">
        <w:t xml:space="preserve"> </w:t>
      </w:r>
      <w:r w:rsidR="008A7215">
        <w:t xml:space="preserve">Marian regime’s innovative use of printing </w:t>
      </w:r>
      <w:r w:rsidR="00B4072C">
        <w:t xml:space="preserve">to further its pastoral goals.  </w:t>
      </w:r>
      <w:r w:rsidR="00030895">
        <w:t>H</w:t>
      </w:r>
      <w:r w:rsidR="008A7215">
        <w:t xml:space="preserve">e also extended </w:t>
      </w:r>
      <w:r w:rsidR="00451393">
        <w:t xml:space="preserve">Pogson’s </w:t>
      </w:r>
      <w:r w:rsidR="000251DC">
        <w:t xml:space="preserve">work </w:t>
      </w:r>
      <w:r w:rsidR="00B4072C">
        <w:t xml:space="preserve">on the diligent </w:t>
      </w:r>
      <w:r w:rsidR="008A7215">
        <w:t xml:space="preserve">care </w:t>
      </w:r>
      <w:r w:rsidR="0058194F">
        <w:t xml:space="preserve">taken </w:t>
      </w:r>
      <w:r w:rsidR="00A755BB">
        <w:t>for</w:t>
      </w:r>
      <w:r w:rsidR="00B4072C">
        <w:t xml:space="preserve"> t</w:t>
      </w:r>
      <w:r w:rsidR="000251DC">
        <w:t>he restoration of Catholicism at</w:t>
      </w:r>
      <w:r w:rsidR="00B4072C">
        <w:t xml:space="preserve"> the parish level.</w:t>
      </w:r>
      <w:r w:rsidR="00B4072C">
        <w:rPr>
          <w:rStyle w:val="FootnoteReference"/>
        </w:rPr>
        <w:footnoteReference w:id="3"/>
      </w:r>
      <w:r w:rsidR="00B4072C">
        <w:t xml:space="preserve"> </w:t>
      </w:r>
    </w:p>
    <w:p w:rsidR="00973B5B" w:rsidRDefault="00451393" w:rsidP="00973B5B">
      <w:pPr>
        <w:ind w:firstLine="720"/>
      </w:pPr>
      <w:r>
        <w:t xml:space="preserve">Likewise, </w:t>
      </w:r>
      <w:r w:rsidR="00DC3C14">
        <w:t>Christopher Haigh</w:t>
      </w:r>
      <w:r w:rsidR="00030895">
        <w:t>’s</w:t>
      </w:r>
      <w:r w:rsidR="00E371B0">
        <w:t xml:space="preserve"> </w:t>
      </w:r>
      <w:r w:rsidR="00475795">
        <w:rPr>
          <w:i/>
        </w:rPr>
        <w:t>English Reformations</w:t>
      </w:r>
      <w:r w:rsidR="00E371B0">
        <w:t xml:space="preserve"> devoted two chapters to </w:t>
      </w:r>
      <w:r w:rsidR="00955F1E">
        <w:t>a bold reappraisal</w:t>
      </w:r>
      <w:r w:rsidR="00400F76">
        <w:t xml:space="preserve"> of the religious history of Mary’</w:t>
      </w:r>
      <w:r w:rsidR="00E232F7">
        <w:t>s reig</w:t>
      </w:r>
      <w:r w:rsidR="00400F76">
        <w:t>n.</w:t>
      </w:r>
      <w:r w:rsidR="000D3800">
        <w:rPr>
          <w:rStyle w:val="FootnoteReference"/>
        </w:rPr>
        <w:footnoteReference w:id="4"/>
      </w:r>
      <w:r w:rsidR="00E232F7">
        <w:t xml:space="preserve">  Haigh </w:t>
      </w:r>
      <w:r w:rsidR="00A5770D">
        <w:t xml:space="preserve">described the </w:t>
      </w:r>
      <w:r w:rsidR="002E6D37">
        <w:t>r</w:t>
      </w:r>
      <w:r w:rsidR="001B2EAA">
        <w:t>evival</w:t>
      </w:r>
      <w:r w:rsidR="00A5770D">
        <w:t xml:space="preserve"> </w:t>
      </w:r>
      <w:r w:rsidR="001B2EAA">
        <w:t>of religious festivities and a general satisfaction, if not enthusiasm</w:t>
      </w:r>
      <w:r w:rsidR="002E6D37">
        <w:t xml:space="preserve">, at the return of the old ways.  </w:t>
      </w:r>
      <w:r>
        <w:t xml:space="preserve">He noted a rise in ordinations and pointed out </w:t>
      </w:r>
      <w:r w:rsidR="005E7F7C">
        <w:t>Cardinal</w:t>
      </w:r>
      <w:r w:rsidR="000D3800">
        <w:t xml:space="preserve"> </w:t>
      </w:r>
      <w:r w:rsidR="00A755BB">
        <w:t xml:space="preserve">Reginald </w:t>
      </w:r>
      <w:r w:rsidR="000D3800">
        <w:t>Pole</w:t>
      </w:r>
      <w:r>
        <w:t>’s</w:t>
      </w:r>
      <w:r w:rsidR="000D3800">
        <w:t xml:space="preserve"> </w:t>
      </w:r>
      <w:r>
        <w:t>plans</w:t>
      </w:r>
      <w:r w:rsidR="000D3800">
        <w:t xml:space="preserve"> to build on this s</w:t>
      </w:r>
      <w:r w:rsidR="005E7F7C">
        <w:t>uccess</w:t>
      </w:r>
      <w:r w:rsidR="000D3800">
        <w:t xml:space="preserve"> with seminaries and cathedral </w:t>
      </w:r>
      <w:r w:rsidR="00B647EB">
        <w:t xml:space="preserve">schools.  </w:t>
      </w:r>
      <w:r w:rsidR="000D3800">
        <w:t xml:space="preserve">Turning </w:t>
      </w:r>
      <w:r w:rsidR="00E97636">
        <w:t xml:space="preserve">existing </w:t>
      </w:r>
      <w:r w:rsidR="000D3800">
        <w:t>historical orthodoxy on i</w:t>
      </w:r>
      <w:r w:rsidR="00DF5E86">
        <w:t xml:space="preserve">ts head, </w:t>
      </w:r>
      <w:r w:rsidR="000D3800">
        <w:t>Haigh concluded that the ‘last years of Mary’s reign were not a gruesome preparation for Protestant victor</w:t>
      </w:r>
      <w:r w:rsidR="00704AD0">
        <w:t>y, but a continuing consolidation of Catholic strength’.</w:t>
      </w:r>
      <w:r w:rsidR="00704AD0">
        <w:rPr>
          <w:rStyle w:val="FootnoteReference"/>
        </w:rPr>
        <w:footnoteReference w:id="5"/>
      </w:r>
    </w:p>
    <w:p w:rsidR="00E2043A" w:rsidRDefault="00973B5B" w:rsidP="00973B5B">
      <w:pPr>
        <w:ind w:firstLine="720"/>
      </w:pPr>
      <w:r>
        <w:lastRenderedPageBreak/>
        <w:t xml:space="preserve">These works met with only slow, grudging acceptance. </w:t>
      </w:r>
      <w:r w:rsidR="00A755BB">
        <w:t>In the</w:t>
      </w:r>
      <w:r w:rsidR="00040913">
        <w:t xml:space="preserve"> second edition of his </w:t>
      </w:r>
      <w:r w:rsidRPr="00973B5B">
        <w:rPr>
          <w:i/>
        </w:rPr>
        <w:t>The</w:t>
      </w:r>
      <w:r w:rsidR="006D4DAB" w:rsidRPr="00973B5B">
        <w:rPr>
          <w:i/>
        </w:rPr>
        <w:t xml:space="preserve"> </w:t>
      </w:r>
      <w:r>
        <w:rPr>
          <w:i/>
        </w:rPr>
        <w:t>E</w:t>
      </w:r>
      <w:r w:rsidR="006D4DAB" w:rsidRPr="00973B5B">
        <w:rPr>
          <w:i/>
        </w:rPr>
        <w:t>nglish Reformation</w:t>
      </w:r>
      <w:r w:rsidR="006D4DAB">
        <w:t xml:space="preserve">, A. G. Dickens added a significant amount of new information to his account of Mary’s reign on subjects such </w:t>
      </w:r>
      <w:r w:rsidR="00A755BB">
        <w:t xml:space="preserve">as </w:t>
      </w:r>
      <w:r w:rsidR="00A02A0B">
        <w:t>Protestant women, the social background of the Marian martyrs, Protestant clergy and Protestant underground congre</w:t>
      </w:r>
      <w:r w:rsidR="005C1A5D">
        <w:t>gati</w:t>
      </w:r>
      <w:r w:rsidR="004B6ED3">
        <w:t>ons.</w:t>
      </w:r>
      <w:r w:rsidR="004B6ED3">
        <w:rPr>
          <w:rStyle w:val="FootnoteReference"/>
        </w:rPr>
        <w:footnoteReference w:id="6"/>
      </w:r>
      <w:r w:rsidR="003418CC">
        <w:t xml:space="preserve"> But the only modifications he made to his account of the Catho</w:t>
      </w:r>
      <w:r w:rsidR="00DF5E86">
        <w:t>lic restoration was to remove a</w:t>
      </w:r>
      <w:r w:rsidR="003418CC">
        <w:t>n earlier comparison of Cardinal Pole to Robespierre</w:t>
      </w:r>
      <w:r w:rsidR="002C179D">
        <w:t xml:space="preserve"> an</w:t>
      </w:r>
      <w:r w:rsidR="003418CC">
        <w:t xml:space="preserve">d </w:t>
      </w:r>
      <w:r w:rsidR="002C179D">
        <w:t>to</w:t>
      </w:r>
      <w:r w:rsidR="00DF5E86">
        <w:t xml:space="preserve"> </w:t>
      </w:r>
      <w:r w:rsidR="002C179D">
        <w:t>ad</w:t>
      </w:r>
      <w:r w:rsidR="00DF5E86">
        <w:t>d</w:t>
      </w:r>
      <w:r w:rsidR="002C179D">
        <w:t xml:space="preserve"> </w:t>
      </w:r>
      <w:r w:rsidR="0058194F">
        <w:t>a brief description of</w:t>
      </w:r>
      <w:r w:rsidR="003418CC">
        <w:t xml:space="preserve"> the difficulties</w:t>
      </w:r>
      <w:r>
        <w:t xml:space="preserve"> </w:t>
      </w:r>
      <w:r w:rsidR="003418CC">
        <w:t>Pole faced, based on Pogson’s work.</w:t>
      </w:r>
      <w:r w:rsidR="003418CC">
        <w:rPr>
          <w:rStyle w:val="FootnoteReference"/>
        </w:rPr>
        <w:footnoteReference w:id="7"/>
      </w:r>
      <w:r w:rsidR="003418CC">
        <w:t xml:space="preserve">  Dickens repeated</w:t>
      </w:r>
      <w:r w:rsidR="005D035D">
        <w:t>, without change,</w:t>
      </w:r>
      <w:r w:rsidR="005D035D">
        <w:rPr>
          <w:rStyle w:val="FootnoteReference"/>
        </w:rPr>
        <w:t xml:space="preserve"> </w:t>
      </w:r>
      <w:r w:rsidR="005D035D">
        <w:t xml:space="preserve">his verdict that the Catholic restoration was an inevitable failure and would not have succeeded , even </w:t>
      </w:r>
      <w:r w:rsidR="005536D2">
        <w:t xml:space="preserve">if </w:t>
      </w:r>
      <w:r w:rsidR="005C1A5D">
        <w:t>Mary</w:t>
      </w:r>
      <w:r w:rsidR="005D035D">
        <w:t xml:space="preserve"> </w:t>
      </w:r>
      <w:r w:rsidR="005536D2">
        <w:t xml:space="preserve">had </w:t>
      </w:r>
      <w:r w:rsidR="005D035D">
        <w:t>lived longer.</w:t>
      </w:r>
      <w:r w:rsidR="005D035D">
        <w:rPr>
          <w:rStyle w:val="FootnoteReference"/>
        </w:rPr>
        <w:footnoteReference w:id="8"/>
      </w:r>
    </w:p>
    <w:p w:rsidR="007A0755" w:rsidRDefault="002C179D" w:rsidP="003A09B8">
      <w:r>
        <w:tab/>
      </w:r>
      <w:r w:rsidR="00A94427">
        <w:t xml:space="preserve">The late </w:t>
      </w:r>
      <w:r>
        <w:t>David Loades, one of the most eminent authoritie</w:t>
      </w:r>
      <w:r w:rsidR="005C1A5D">
        <w:t xml:space="preserve">s on both Mary and her reign, </w:t>
      </w:r>
      <w:r>
        <w:t xml:space="preserve">conducted a sustained rearguard struggle against challenges to </w:t>
      </w:r>
      <w:r w:rsidR="00DF5E86">
        <w:t>the established version of the M</w:t>
      </w:r>
      <w:r>
        <w:t xml:space="preserve">arian restoration. </w:t>
      </w:r>
      <w:r w:rsidR="004141B9">
        <w:t xml:space="preserve">  In 1979, Loades agreed with Dickens</w:t>
      </w:r>
      <w:r w:rsidR="00EF2A86">
        <w:t xml:space="preserve"> that the </w:t>
      </w:r>
      <w:r w:rsidR="007D5829">
        <w:t>restoration</w:t>
      </w:r>
      <w:r w:rsidR="00EF2A86">
        <w:t xml:space="preserve"> was a failure, although he did not agree that this failure was inevitable; rather it was a combination of human error and ‘acts of God’, such as Mary’s childlessness, bad harvests and epidemics.</w:t>
      </w:r>
      <w:r w:rsidR="0099508F">
        <w:t xml:space="preserve">  </w:t>
      </w:r>
      <w:r w:rsidR="007D5829">
        <w:t xml:space="preserve">A second edition of this book, published in 1991 amidst the wave of revisionist studies, </w:t>
      </w:r>
      <w:r w:rsidR="00363EE5">
        <w:t>reprinted these</w:t>
      </w:r>
      <w:r w:rsidR="007D5829">
        <w:t xml:space="preserve"> </w:t>
      </w:r>
      <w:r w:rsidR="00363EE5">
        <w:t>passages exactly, with no co</w:t>
      </w:r>
      <w:r w:rsidR="00CC287A">
        <w:t>ncessions to revisionist opinion</w:t>
      </w:r>
      <w:r w:rsidR="00363EE5">
        <w:t>.</w:t>
      </w:r>
      <w:r w:rsidR="00CC287A">
        <w:t xml:space="preserve"> </w:t>
      </w:r>
      <w:r w:rsidR="00CC287A">
        <w:rPr>
          <w:rStyle w:val="FootnoteReference"/>
        </w:rPr>
        <w:footnoteReference w:id="9"/>
      </w:r>
      <w:r w:rsidR="00C87941">
        <w:t xml:space="preserve">  In </w:t>
      </w:r>
      <w:r w:rsidR="0058194F">
        <w:t xml:space="preserve">his first biography </w:t>
      </w:r>
      <w:r w:rsidR="00612185">
        <w:t>of Mary</w:t>
      </w:r>
      <w:r w:rsidR="007D5829">
        <w:t xml:space="preserve"> in 1989</w:t>
      </w:r>
      <w:r w:rsidR="00612185">
        <w:t>, Loades noted the work of Pogson, Haigh and other revisionists</w:t>
      </w:r>
      <w:r w:rsidR="007D5829">
        <w:t xml:space="preserve"> only to dismiss it.</w:t>
      </w:r>
      <w:r w:rsidR="00C87941">
        <w:rPr>
          <w:rStyle w:val="FootnoteReference"/>
        </w:rPr>
        <w:footnoteReference w:id="10"/>
      </w:r>
      <w:r w:rsidR="00C87941">
        <w:t xml:space="preserve">  In a second</w:t>
      </w:r>
      <w:r w:rsidR="007D5829">
        <w:t>, 2006</w:t>
      </w:r>
      <w:r w:rsidR="00C87941">
        <w:t xml:space="preserve"> biography</w:t>
      </w:r>
      <w:r w:rsidR="007D5829">
        <w:t xml:space="preserve">, </w:t>
      </w:r>
      <w:r w:rsidR="00165327">
        <w:t>Loades wa</w:t>
      </w:r>
      <w:r w:rsidR="00B83CAC">
        <w:t xml:space="preserve">s </w:t>
      </w:r>
      <w:r w:rsidR="003A09B8">
        <w:t>readier</w:t>
      </w:r>
      <w:r w:rsidR="00B83CAC">
        <w:t xml:space="preserve"> to acknowledge some </w:t>
      </w:r>
      <w:r w:rsidR="003A09B8">
        <w:t xml:space="preserve">of the Marian Church’s </w:t>
      </w:r>
      <w:r w:rsidR="00B83CAC">
        <w:t xml:space="preserve">achievements: the publication of pastoral works, the re-foundation  of religious houses, patronage of preaching and the strengthening of Catholicism in the universities.  Nevertheless, </w:t>
      </w:r>
      <w:r w:rsidR="003A09B8">
        <w:t xml:space="preserve">he </w:t>
      </w:r>
      <w:r w:rsidR="009D47C9">
        <w:t>concluded that ‘the idea that she was simply a victim of misfortune</w:t>
      </w:r>
      <w:r w:rsidR="00B83CAC">
        <w:t xml:space="preserve"> </w:t>
      </w:r>
      <w:r w:rsidR="009D47C9">
        <w:t>at the time, and of a malign Protestant historiography after her death, is no more satisfactory than the legend of Bloody Mary’.</w:t>
      </w:r>
      <w:r w:rsidR="009D47C9">
        <w:rPr>
          <w:rStyle w:val="FootnoteReference"/>
        </w:rPr>
        <w:footnoteReference w:id="11"/>
      </w:r>
      <w:r w:rsidR="007A0755">
        <w:t xml:space="preserve">  </w:t>
      </w:r>
    </w:p>
    <w:p w:rsidR="00402648" w:rsidRDefault="003A09B8" w:rsidP="00540EFE">
      <w:pPr>
        <w:jc w:val="both"/>
      </w:pPr>
      <w:r>
        <w:tab/>
        <w:t>By this time a s</w:t>
      </w:r>
      <w:r w:rsidR="00220356">
        <w:t>econd wave of revisionist scholars</w:t>
      </w:r>
      <w:bookmarkStart w:id="0" w:name="_GoBack"/>
      <w:bookmarkEnd w:id="0"/>
      <w:r>
        <w:t xml:space="preserve">s were discovering new vistas on the religious world of Marian England. </w:t>
      </w:r>
      <w:r w:rsidR="00630FAA">
        <w:t xml:space="preserve">In 2000 </w:t>
      </w:r>
      <w:r w:rsidR="00130239">
        <w:t>Lucy Wooding</w:t>
      </w:r>
      <w:r w:rsidR="00630FAA">
        <w:t xml:space="preserve"> argued that Mary’s</w:t>
      </w:r>
      <w:r w:rsidR="00205F87">
        <w:t xml:space="preserve"> religious policies</w:t>
      </w:r>
      <w:r w:rsidR="009B3EF6">
        <w:t xml:space="preserve"> </w:t>
      </w:r>
      <w:r w:rsidR="00C47084">
        <w:t xml:space="preserve">were carefully shaped to create a humanist, but distinctively </w:t>
      </w:r>
      <w:r w:rsidR="00E97636">
        <w:t>English,</w:t>
      </w:r>
      <w:r w:rsidR="00C47084">
        <w:t xml:space="preserve"> Catholic Church.</w:t>
      </w:r>
      <w:r w:rsidR="009F051A">
        <w:rPr>
          <w:rStyle w:val="FootnoteReference"/>
        </w:rPr>
        <w:footnoteReference w:id="12"/>
      </w:r>
      <w:r w:rsidR="00C47084">
        <w:t xml:space="preserve"> Wooding’s </w:t>
      </w:r>
      <w:r w:rsidR="00BB7287">
        <w:t>book was contr</w:t>
      </w:r>
      <w:r w:rsidR="00C47084">
        <w:t>oversial</w:t>
      </w:r>
      <w:r w:rsidR="00BB7287">
        <w:t>, particularly in its insistence on the insularity of the Marian Church, but her depictio</w:t>
      </w:r>
      <w:r w:rsidR="00114C96">
        <w:t xml:space="preserve">n </w:t>
      </w:r>
      <w:r w:rsidR="002622F9">
        <w:t xml:space="preserve">of </w:t>
      </w:r>
      <w:r w:rsidR="00CA2C97">
        <w:t>an</w:t>
      </w:r>
      <w:r w:rsidR="00114C96">
        <w:t xml:space="preserve"> intellectually coherent </w:t>
      </w:r>
      <w:r w:rsidR="00CA2C97">
        <w:t xml:space="preserve">programme </w:t>
      </w:r>
      <w:r w:rsidR="00BB7287">
        <w:t xml:space="preserve">was a harbinger </w:t>
      </w:r>
      <w:r w:rsidR="00440872">
        <w:t>of research</w:t>
      </w:r>
      <w:r w:rsidR="00BB7287">
        <w:t xml:space="preserve"> that would shortly come</w:t>
      </w:r>
      <w:r w:rsidR="009F051A">
        <w:t>.</w:t>
      </w:r>
      <w:r w:rsidR="00CA2C97">
        <w:t xml:space="preserve">  In 2005, John Edwards and Ronald Truman edited an </w:t>
      </w:r>
      <w:r w:rsidR="00C902AC">
        <w:t>noteworthy</w:t>
      </w:r>
      <w:r w:rsidR="00CA2C97">
        <w:t xml:space="preserve"> collection</w:t>
      </w:r>
      <w:r w:rsidR="002F322E">
        <w:t xml:space="preserve"> of essays on the contribution</w:t>
      </w:r>
      <w:r w:rsidR="00D42148">
        <w:t>s</w:t>
      </w:r>
      <w:r w:rsidR="002F322E">
        <w:t>—</w:t>
      </w:r>
      <w:r w:rsidR="00CA2C97">
        <w:t xml:space="preserve"> intellectual</w:t>
      </w:r>
      <w:r w:rsidR="002F322E">
        <w:t xml:space="preserve"> , pastoral and administrative—</w:t>
      </w:r>
      <w:r w:rsidR="00CA2C97">
        <w:t xml:space="preserve">of </w:t>
      </w:r>
      <w:r w:rsidR="002622F9">
        <w:t>the Spanish friar</w:t>
      </w:r>
      <w:r w:rsidR="00D43D80">
        <w:t>,</w:t>
      </w:r>
      <w:r w:rsidR="00CA2C97">
        <w:t xml:space="preserve"> Bartolomé Carranza</w:t>
      </w:r>
      <w:r w:rsidR="00D43D80">
        <w:t>,</w:t>
      </w:r>
      <w:r w:rsidR="00CA2C97">
        <w:t xml:space="preserve"> to the restoration of </w:t>
      </w:r>
      <w:r w:rsidR="00D43D80">
        <w:t>Catholicism in England.</w:t>
      </w:r>
      <w:r w:rsidR="00403845">
        <w:rPr>
          <w:rStyle w:val="FootnoteReference"/>
        </w:rPr>
        <w:footnoteReference w:id="13"/>
      </w:r>
      <w:r w:rsidR="00630FAA">
        <w:t xml:space="preserve"> </w:t>
      </w:r>
      <w:r w:rsidR="00CA2C97">
        <w:t>In emphasizing the close collaboration</w:t>
      </w:r>
      <w:r w:rsidR="00D43D80">
        <w:t xml:space="preserve"> between Carranza and Cardinal Pole, this collection suggested that</w:t>
      </w:r>
      <w:r w:rsidR="009124B7">
        <w:t xml:space="preserve"> Pole, far from</w:t>
      </w:r>
      <w:r w:rsidR="00896BBE">
        <w:t xml:space="preserve"> </w:t>
      </w:r>
      <w:r w:rsidR="00DA60C4">
        <w:t xml:space="preserve">rejecting </w:t>
      </w:r>
      <w:r w:rsidR="00A346C7">
        <w:t xml:space="preserve">the theology and proselytizing </w:t>
      </w:r>
      <w:r w:rsidR="00DA60C4">
        <w:t>s</w:t>
      </w:r>
      <w:r w:rsidR="00A346C7">
        <w:t>trategies o</w:t>
      </w:r>
      <w:r w:rsidR="006B2BF9">
        <w:t>f the Counter</w:t>
      </w:r>
      <w:r w:rsidR="00630FAA">
        <w:t>-</w:t>
      </w:r>
      <w:r w:rsidR="004004F6">
        <w:t>Refor</w:t>
      </w:r>
      <w:r w:rsidR="00630FAA">
        <w:t xml:space="preserve">mation as had been repeatedly claimed, </w:t>
      </w:r>
      <w:r w:rsidR="00403845">
        <w:t>anti</w:t>
      </w:r>
      <w:r w:rsidR="00A346C7">
        <w:t xml:space="preserve">cipated and </w:t>
      </w:r>
      <w:r w:rsidR="00A346C7">
        <w:lastRenderedPageBreak/>
        <w:t>even influenced, them</w:t>
      </w:r>
      <w:r w:rsidR="00403845">
        <w:t>.</w:t>
      </w:r>
      <w:r w:rsidR="001A66ED">
        <w:rPr>
          <w:rStyle w:val="FootnoteReference"/>
        </w:rPr>
        <w:footnoteReference w:id="14"/>
      </w:r>
      <w:r w:rsidR="00825DFD">
        <w:t xml:space="preserve">  </w:t>
      </w:r>
      <w:r w:rsidR="00A94427">
        <w:t xml:space="preserve">The late </w:t>
      </w:r>
      <w:r w:rsidR="00825DFD">
        <w:t xml:space="preserve">William Wizeman’s incisive study of the Catholic religious literature of Mary’s reign emphatically argued that </w:t>
      </w:r>
      <w:r w:rsidR="001F71F0">
        <w:t xml:space="preserve">the </w:t>
      </w:r>
      <w:r w:rsidR="00D201A5">
        <w:t xml:space="preserve">theology and spirituality of the Marian </w:t>
      </w:r>
      <w:r w:rsidR="0080752C">
        <w:t>Church antedat</w:t>
      </w:r>
      <w:r w:rsidR="00D201A5">
        <w:t>ed, paralleled and perhaps inspired the reforms of the Tridentine Church.</w:t>
      </w:r>
      <w:r w:rsidR="009952C0">
        <w:rPr>
          <w:rStyle w:val="FootnoteReference"/>
        </w:rPr>
        <w:footnoteReference w:id="15"/>
      </w:r>
      <w:r w:rsidR="0080752C">
        <w:t xml:space="preserve"> Wizeman also</w:t>
      </w:r>
      <w:r w:rsidR="00630FAA">
        <w:t xml:space="preserve"> </w:t>
      </w:r>
      <w:r w:rsidR="00372760">
        <w:t xml:space="preserve">demonstrated the effectiveness </w:t>
      </w:r>
      <w:r w:rsidR="00DA60C4">
        <w:t xml:space="preserve">and importance of </w:t>
      </w:r>
      <w:r w:rsidR="000C7A19">
        <w:t xml:space="preserve">Marian </w:t>
      </w:r>
      <w:r w:rsidR="00DA60C4">
        <w:t>author</w:t>
      </w:r>
      <w:r w:rsidR="000C7A19">
        <w:t>s who</w:t>
      </w:r>
      <w:r w:rsidR="00630FAA">
        <w:t xml:space="preserve">m Dickens had dismissed as </w:t>
      </w:r>
      <w:r w:rsidR="009124B7">
        <w:t>‘at best</w:t>
      </w:r>
      <w:r w:rsidR="00AD7434">
        <w:t>,</w:t>
      </w:r>
      <w:r w:rsidR="009124B7">
        <w:t xml:space="preserve"> a group of devoted mediocrities’. </w:t>
      </w:r>
      <w:r w:rsidR="001C1E6C">
        <w:rPr>
          <w:rStyle w:val="FootnoteReference"/>
        </w:rPr>
        <w:footnoteReference w:id="16"/>
      </w:r>
      <w:r w:rsidR="00667DB5">
        <w:t xml:space="preserve">  </w:t>
      </w:r>
      <w:r w:rsidR="00402648">
        <w:t>In a 2006</w:t>
      </w:r>
      <w:r w:rsidR="00C012ED">
        <w:t xml:space="preserve"> collection of essays, </w:t>
      </w:r>
      <w:r w:rsidR="00076140">
        <w:rPr>
          <w:i/>
        </w:rPr>
        <w:t>The Church of Mary Tudo</w:t>
      </w:r>
      <w:r w:rsidR="003F51CB">
        <w:rPr>
          <w:i/>
        </w:rPr>
        <w:t>r</w:t>
      </w:r>
      <w:r w:rsidR="00076140">
        <w:rPr>
          <w:i/>
        </w:rPr>
        <w:t xml:space="preserve">, </w:t>
      </w:r>
      <w:r w:rsidR="00887B1B">
        <w:t>Duffy and Thomas Mayer</w:t>
      </w:r>
      <w:r w:rsidR="00667DB5">
        <w:t xml:space="preserve"> </w:t>
      </w:r>
      <w:r w:rsidR="00887B1B">
        <w:t xml:space="preserve">offered a striking rehabilitation of Pole as an administrator </w:t>
      </w:r>
      <w:r w:rsidR="00667DB5">
        <w:t xml:space="preserve">and </w:t>
      </w:r>
      <w:r w:rsidR="002F322E">
        <w:t xml:space="preserve">portrayed him as </w:t>
      </w:r>
      <w:r w:rsidR="00667DB5">
        <w:t xml:space="preserve">the architect of </w:t>
      </w:r>
      <w:r w:rsidR="001F71F0">
        <w:t>a</w:t>
      </w:r>
      <w:r w:rsidR="002622F9">
        <w:t xml:space="preserve"> </w:t>
      </w:r>
      <w:r w:rsidR="00402648">
        <w:t xml:space="preserve">well-designed </w:t>
      </w:r>
      <w:r w:rsidR="004D1A86">
        <w:t xml:space="preserve">strategy </w:t>
      </w:r>
      <w:r w:rsidR="00667DB5">
        <w:t>for the res</w:t>
      </w:r>
      <w:r w:rsidR="004D1A86">
        <w:t>t</w:t>
      </w:r>
      <w:r w:rsidR="005C592F">
        <w:t xml:space="preserve">oration of </w:t>
      </w:r>
      <w:r w:rsidR="00402648">
        <w:t xml:space="preserve">English </w:t>
      </w:r>
      <w:r w:rsidR="005C592F">
        <w:t>Catholicis</w:t>
      </w:r>
      <w:r w:rsidR="00667DB5">
        <w:t>m.</w:t>
      </w:r>
    </w:p>
    <w:p w:rsidR="00995B47" w:rsidRDefault="004D1A86" w:rsidP="00540EFE">
      <w:pPr>
        <w:jc w:val="both"/>
      </w:pPr>
      <w:r>
        <w:tab/>
        <w:t xml:space="preserve">However, up through this point there was a third rail </w:t>
      </w:r>
      <w:r w:rsidR="00D42148">
        <w:t xml:space="preserve">upon </w:t>
      </w:r>
      <w:r>
        <w:t>which</w:t>
      </w:r>
      <w:r w:rsidR="002F322E">
        <w:t xml:space="preserve"> even </w:t>
      </w:r>
      <w:r>
        <w:t>the most ardent revisionist</w:t>
      </w:r>
      <w:r w:rsidR="000C7A19">
        <w:t>s</w:t>
      </w:r>
      <w:r>
        <w:t xml:space="preserve"> dared </w:t>
      </w:r>
      <w:r w:rsidR="002F322E">
        <w:t xml:space="preserve">not tread: the burnings of some 285 people for heresy in the years 1555-58. </w:t>
      </w:r>
      <w:r w:rsidR="006B5BC4">
        <w:t xml:space="preserve">Only Haigh had questioned the consensus that </w:t>
      </w:r>
      <w:r>
        <w:t>the bu</w:t>
      </w:r>
      <w:r w:rsidR="002F322E">
        <w:t>rnings were</w:t>
      </w:r>
      <w:r w:rsidR="00506739">
        <w:t xml:space="preserve"> a ghastly mistak</w:t>
      </w:r>
      <w:r w:rsidR="00D42148">
        <w:t xml:space="preserve">e which </w:t>
      </w:r>
      <w:r w:rsidR="006B5BC4">
        <w:t xml:space="preserve">seriously hindered the restoration, and even he </w:t>
      </w:r>
      <w:r w:rsidR="00506739">
        <w:t xml:space="preserve">went no further than stating </w:t>
      </w:r>
      <w:r w:rsidR="003C2533">
        <w:t>that ‘if it did not help the</w:t>
      </w:r>
      <w:r w:rsidR="00344FFF">
        <w:t xml:space="preserve"> </w:t>
      </w:r>
      <w:r w:rsidR="003C2533">
        <w:t>Catholic cause, it did not do much to harm it’.</w:t>
      </w:r>
      <w:r w:rsidR="003C2533">
        <w:rPr>
          <w:rStyle w:val="FootnoteReference"/>
        </w:rPr>
        <w:footnoteReference w:id="17"/>
      </w:r>
      <w:r w:rsidR="005C592F">
        <w:t xml:space="preserve">  In 2009, however, Duffy </w:t>
      </w:r>
      <w:r w:rsidR="006B5BC4">
        <w:t>launched an argument that</w:t>
      </w:r>
      <w:r w:rsidR="00344FFF">
        <w:t xml:space="preserve"> the persecution had succeeded in eliminating a hard core of zealots, suggesting the drop-off in executions in 1558 showed the regime was running out of opponents. The persecution only failed for the same reason the restoration failed: </w:t>
      </w:r>
      <w:r w:rsidR="00E921F2">
        <w:t>the nearly simultaneous deaths of the Queen and the Cardinal.</w:t>
      </w:r>
      <w:r w:rsidR="00E921F2">
        <w:rPr>
          <w:rStyle w:val="FootnoteReference"/>
        </w:rPr>
        <w:footnoteReference w:id="18"/>
      </w:r>
      <w:r w:rsidR="00FE1613">
        <w:t xml:space="preserve">  </w:t>
      </w:r>
      <w:r w:rsidR="00344FFF">
        <w:t xml:space="preserve">Others quickly </w:t>
      </w:r>
      <w:r w:rsidR="00DA3194">
        <w:t>develop</w:t>
      </w:r>
      <w:r w:rsidR="00344FFF">
        <w:t>ed</w:t>
      </w:r>
      <w:r w:rsidR="00DA3194">
        <w:t>, extend</w:t>
      </w:r>
      <w:r w:rsidR="00344FFF">
        <w:t>ed</w:t>
      </w:r>
      <w:r w:rsidR="00DA3194">
        <w:t xml:space="preserve"> and reinforce</w:t>
      </w:r>
      <w:r w:rsidR="00344FFF">
        <w:t>d</w:t>
      </w:r>
      <w:r w:rsidR="0058194F">
        <w:t xml:space="preserve"> </w:t>
      </w:r>
      <w:r w:rsidR="00FE1613">
        <w:t>Duffy’s arguments</w:t>
      </w:r>
      <w:r w:rsidR="00995B47">
        <w:t>.</w:t>
      </w:r>
      <w:r w:rsidR="00995B47">
        <w:rPr>
          <w:rStyle w:val="FootnoteReference"/>
        </w:rPr>
        <w:footnoteReference w:id="19"/>
      </w:r>
    </w:p>
    <w:p w:rsidR="0070785C" w:rsidRDefault="002913C6" w:rsidP="000251DC">
      <w:pPr>
        <w:ind w:firstLine="720"/>
        <w:jc w:val="both"/>
      </w:pPr>
      <w:r>
        <w:t xml:space="preserve">This reassessment of the persecution remains </w:t>
      </w:r>
      <w:r w:rsidR="00CA5E7E">
        <w:t xml:space="preserve">controversial, </w:t>
      </w:r>
      <w:r>
        <w:t>but the rest</w:t>
      </w:r>
      <w:r w:rsidR="00827381">
        <w:t xml:space="preserve"> of the revisionist case </w:t>
      </w:r>
      <w:r>
        <w:t xml:space="preserve">has won the field. No </w:t>
      </w:r>
      <w:r w:rsidR="00CA5E7E">
        <w:t xml:space="preserve">historian </w:t>
      </w:r>
      <w:r>
        <w:t>is now about to</w:t>
      </w:r>
      <w:r w:rsidR="00787B4B">
        <w:t xml:space="preserve"> dismiss</w:t>
      </w:r>
      <w:r w:rsidR="000A57E2">
        <w:t xml:space="preserve"> Mary, her reign or her Church, in </w:t>
      </w:r>
      <w:r>
        <w:t xml:space="preserve">Dickens’ or Elton’s cavalier style. So how does this new collection add to our understanding of this </w:t>
      </w:r>
      <w:r w:rsidR="00941349">
        <w:t>crucial period?</w:t>
      </w:r>
    </w:p>
    <w:p w:rsidR="00164802" w:rsidRDefault="00164802" w:rsidP="00540EFE">
      <w:pPr>
        <w:jc w:val="both"/>
      </w:pPr>
      <w:r>
        <w:tab/>
        <w:t>Dale Hoak’</w:t>
      </w:r>
      <w:r w:rsidR="007950EC">
        <w:t xml:space="preserve">s chapter, the first in this volume, is a something of an outlier in that it focuses </w:t>
      </w:r>
      <w:r w:rsidR="00A94427">
        <w:t xml:space="preserve"> </w:t>
      </w:r>
      <w:r w:rsidR="007950EC">
        <w:t>on events in Edward VI’s reign, not Mary’</w:t>
      </w:r>
      <w:r w:rsidR="003E4124">
        <w:t xml:space="preserve">s.  </w:t>
      </w:r>
      <w:r w:rsidR="007950EC">
        <w:t xml:space="preserve"> </w:t>
      </w:r>
      <w:r w:rsidR="00A94427">
        <w:t>Against</w:t>
      </w:r>
      <w:r w:rsidR="007950EC">
        <w:t xml:space="preserve"> Eric Ives’s contention that the attempt to </w:t>
      </w:r>
      <w:r w:rsidR="003E4124">
        <w:t xml:space="preserve">disinherit Henry VIII’s daughters and place Jane Grey on the throne was </w:t>
      </w:r>
      <w:r w:rsidR="00A94427">
        <w:t xml:space="preserve">driven entirely by King Edward VI himself, </w:t>
      </w:r>
      <w:r w:rsidR="003E4124">
        <w:t>Hoak</w:t>
      </w:r>
      <w:r w:rsidR="00A94427">
        <w:t xml:space="preserve"> </w:t>
      </w:r>
      <w:r w:rsidR="003E4124">
        <w:t xml:space="preserve">argues that </w:t>
      </w:r>
      <w:r w:rsidR="00A94427">
        <w:t xml:space="preserve">the duke of </w:t>
      </w:r>
      <w:r w:rsidR="00875ABB">
        <w:t xml:space="preserve">Northumberland played </w:t>
      </w:r>
      <w:r w:rsidR="00FE1613">
        <w:t xml:space="preserve">a larger </w:t>
      </w:r>
      <w:r w:rsidR="00875ABB">
        <w:t xml:space="preserve">role </w:t>
      </w:r>
      <w:r w:rsidR="00FE1613">
        <w:t>in</w:t>
      </w:r>
      <w:r w:rsidR="00F96D66">
        <w:t xml:space="preserve"> </w:t>
      </w:r>
      <w:r w:rsidR="00875ABB">
        <w:t xml:space="preserve">shaping </w:t>
      </w:r>
      <w:r w:rsidR="00F96D66">
        <w:t>the scheme</w:t>
      </w:r>
      <w:r w:rsidR="00875ABB">
        <w:t xml:space="preserve"> as Edwa</w:t>
      </w:r>
      <w:r w:rsidR="000251DC">
        <w:t xml:space="preserve">rd became increasingly  ill.  </w:t>
      </w:r>
      <w:r w:rsidR="00875ABB">
        <w:t xml:space="preserve">Hoak also maintains that Mary’s success was not due to </w:t>
      </w:r>
      <w:r w:rsidR="0047355C">
        <w:t xml:space="preserve">Catholic support, but to reluctance among the nobility and Edward VI’s councillors to countenance Northumberland’s tactics or acquiesce in </w:t>
      </w:r>
      <w:r w:rsidR="00175AF2">
        <w:t xml:space="preserve">the illegality of </w:t>
      </w:r>
      <w:r w:rsidR="0047355C">
        <w:t>his plans.</w:t>
      </w:r>
    </w:p>
    <w:p w:rsidR="001F090C" w:rsidRDefault="00175AF2" w:rsidP="00540EFE">
      <w:pPr>
        <w:jc w:val="both"/>
      </w:pPr>
      <w:r>
        <w:tab/>
        <w:t>Yet if Mary initially profited from the perception</w:t>
      </w:r>
      <w:r w:rsidR="004B2DE7">
        <w:t xml:space="preserve"> that her adversaries were acting outside the law, the perception that she was ac</w:t>
      </w:r>
      <w:r w:rsidR="00E97636">
        <w:t xml:space="preserve">ting in violation of the law came to be </w:t>
      </w:r>
      <w:r w:rsidR="004B2DE7">
        <w:t xml:space="preserve">used against her.  Scott </w:t>
      </w:r>
      <w:r w:rsidR="00E97636">
        <w:t xml:space="preserve">Lucas </w:t>
      </w:r>
      <w:r w:rsidR="00AD7434">
        <w:t>observe</w:t>
      </w:r>
      <w:r w:rsidR="001F090C">
        <w:t xml:space="preserve">s that </w:t>
      </w:r>
      <w:r w:rsidR="00A44DFA">
        <w:t xml:space="preserve">an appeal to the rule of law was a common theme in Protestant works attacking Mary.  Early in her reign there were denunciations of the Queen and her officials for </w:t>
      </w:r>
      <w:r w:rsidR="00B62FDD">
        <w:t xml:space="preserve">ignoring </w:t>
      </w:r>
      <w:r w:rsidR="00B62FDD">
        <w:lastRenderedPageBreak/>
        <w:t>Edwardian</w:t>
      </w:r>
      <w:r w:rsidR="00A44DFA">
        <w:t xml:space="preserve"> statutes </w:t>
      </w:r>
      <w:r w:rsidR="00B62FDD">
        <w:t xml:space="preserve">banning </w:t>
      </w:r>
      <w:r w:rsidR="00AD7434">
        <w:t>Catholic religious practices as well as</w:t>
      </w:r>
      <w:r w:rsidR="00B62FDD">
        <w:t xml:space="preserve"> attacks on Mary for her ‘treason’ in marrying Philip.  Eventually these specific criticisms would evolve into a series of works by </w:t>
      </w:r>
      <w:r w:rsidR="00B544E7">
        <w:t>John Knox, Christopher</w:t>
      </w:r>
      <w:r w:rsidR="0022701E">
        <w:t xml:space="preserve"> </w:t>
      </w:r>
      <w:r w:rsidR="00B62FDD">
        <w:t>Goodman and others</w:t>
      </w:r>
      <w:r w:rsidR="009A7CD7">
        <w:t xml:space="preserve"> which argued that violent resistance was legitimate against an ungodly and oppressive ruler.  Andre</w:t>
      </w:r>
      <w:r w:rsidR="00F675DD">
        <w:t>w</w:t>
      </w:r>
      <w:r w:rsidR="009A7CD7">
        <w:t xml:space="preserve"> Hadfield</w:t>
      </w:r>
      <w:r w:rsidR="003B4060">
        <w:t xml:space="preserve">, in a careful analysis of one </w:t>
      </w:r>
      <w:r w:rsidR="00F675DD">
        <w:t xml:space="preserve">of the most important of these works, John Ponet’s </w:t>
      </w:r>
      <w:r w:rsidR="00B544E7">
        <w:rPr>
          <w:i/>
        </w:rPr>
        <w:t>Short</w:t>
      </w:r>
      <w:r w:rsidR="003B4060">
        <w:rPr>
          <w:i/>
        </w:rPr>
        <w:t xml:space="preserve"> </w:t>
      </w:r>
      <w:r w:rsidR="00B544E7">
        <w:rPr>
          <w:i/>
        </w:rPr>
        <w:t>Treatise of Politi</w:t>
      </w:r>
      <w:r w:rsidR="00F675DD">
        <w:rPr>
          <w:i/>
        </w:rPr>
        <w:t xml:space="preserve">k </w:t>
      </w:r>
      <w:r w:rsidR="00B544E7">
        <w:rPr>
          <w:i/>
        </w:rPr>
        <w:t>P</w:t>
      </w:r>
      <w:r w:rsidR="00F675DD">
        <w:rPr>
          <w:i/>
        </w:rPr>
        <w:t>ower</w:t>
      </w:r>
      <w:r w:rsidR="00B544E7">
        <w:t>, takes some pains to place cl</w:t>
      </w:r>
      <w:r w:rsidR="003B4060">
        <w:t>ear blue water between Pone</w:t>
      </w:r>
      <w:r w:rsidR="0058194F">
        <w:t>t</w:t>
      </w:r>
      <w:r w:rsidR="003B4060">
        <w:t xml:space="preserve"> on the one hand, and</w:t>
      </w:r>
      <w:r w:rsidR="008174BD">
        <w:t xml:space="preserve"> Knox and Goodman on the other.</w:t>
      </w:r>
      <w:r w:rsidR="00F96D66">
        <w:t xml:space="preserve"> </w:t>
      </w:r>
      <w:r w:rsidR="006D3AC8">
        <w:t xml:space="preserve">Ponet accepted a woman’s right to rule, which Knox and Goodman notoriously did not, </w:t>
      </w:r>
      <w:r w:rsidR="0022701E">
        <w:t xml:space="preserve">and </w:t>
      </w:r>
      <w:r w:rsidR="00F96D66">
        <w:t>unlike them,</w:t>
      </w:r>
      <w:r w:rsidR="0022701E">
        <w:t xml:space="preserve"> Ponet’s work appealed </w:t>
      </w:r>
      <w:r w:rsidR="00A74EBA">
        <w:t xml:space="preserve">to the individual conscience as the </w:t>
      </w:r>
      <w:r w:rsidR="008174BD">
        <w:t>arbiter of the legitimacy of the demands of governments.</w:t>
      </w:r>
    </w:p>
    <w:p w:rsidR="009C7FCA" w:rsidRPr="00243B6B" w:rsidRDefault="002D66F5" w:rsidP="00540EFE">
      <w:pPr>
        <w:jc w:val="both"/>
      </w:pPr>
      <w:r>
        <w:tab/>
        <w:t>John McDiarm</w:t>
      </w:r>
      <w:r w:rsidR="008174BD">
        <w:t>id</w:t>
      </w:r>
      <w:r w:rsidR="00036EA2">
        <w:t xml:space="preserve"> looks at </w:t>
      </w:r>
      <w:r>
        <w:t>John Cheke</w:t>
      </w:r>
      <w:r w:rsidR="00F96D66">
        <w:t>:</w:t>
      </w:r>
      <w:r w:rsidR="00036EA2">
        <w:t xml:space="preserve"> like Ponet, a prominent figure in Edward VI’s reign  who fled into exile.   McDiarmid </w:t>
      </w:r>
      <w:r>
        <w:t xml:space="preserve">convincingly </w:t>
      </w:r>
      <w:r w:rsidR="00036EA2">
        <w:t xml:space="preserve">dismisses </w:t>
      </w:r>
      <w:r w:rsidR="00BE5D03">
        <w:t xml:space="preserve">the claims of previous historians that Cheke, during his exile, was a major anti-Marian propagandist.  </w:t>
      </w:r>
      <w:r w:rsidR="00F865AA">
        <w:t xml:space="preserve"> </w:t>
      </w:r>
      <w:r w:rsidR="00497EDB">
        <w:t>He</w:t>
      </w:r>
      <w:r w:rsidR="009E5414">
        <w:t xml:space="preserve"> also </w:t>
      </w:r>
      <w:r w:rsidR="00F865AA">
        <w:t>postulates</w:t>
      </w:r>
      <w:r w:rsidR="009E5414">
        <w:t xml:space="preserve"> that </w:t>
      </w:r>
      <w:r w:rsidR="00FE1613">
        <w:t>Cheke</w:t>
      </w:r>
      <w:r w:rsidR="009E5414">
        <w:t xml:space="preserve"> was kidnapped</w:t>
      </w:r>
      <w:r w:rsidR="00497EDB">
        <w:t xml:space="preserve"> by the Marian authorities</w:t>
      </w:r>
      <w:r w:rsidR="009E5414">
        <w:t xml:space="preserve">, not for what he did in </w:t>
      </w:r>
      <w:r w:rsidR="006D65BD">
        <w:t xml:space="preserve">exile, but in order to </w:t>
      </w:r>
      <w:r w:rsidR="00497EDB">
        <w:t>secure</w:t>
      </w:r>
      <w:r w:rsidR="006D65BD">
        <w:t xml:space="preserve"> the recantation of a well-known figure associated with Edward VI’s government. </w:t>
      </w:r>
      <w:r w:rsidR="00960E5F">
        <w:t xml:space="preserve">Yet, as </w:t>
      </w:r>
      <w:r w:rsidR="0031726B">
        <w:t>McDiarmid</w:t>
      </w:r>
      <w:r w:rsidR="00960E5F">
        <w:t xml:space="preserve"> notes, the recantation was not in the end published. He explains this mystery by arguing that </w:t>
      </w:r>
      <w:r w:rsidR="0058194F">
        <w:t>the regime</w:t>
      </w:r>
      <w:r w:rsidR="002E2F8C">
        <w:t xml:space="preserve"> </w:t>
      </w:r>
      <w:r w:rsidR="00066213">
        <w:t xml:space="preserve">‘was </w:t>
      </w:r>
      <w:r w:rsidR="002E2F8C">
        <w:t>more</w:t>
      </w:r>
      <w:r w:rsidR="009B3A3B">
        <w:t xml:space="preserve"> </w:t>
      </w:r>
      <w:r w:rsidR="00066213">
        <w:t>focussed on</w:t>
      </w:r>
      <w:r w:rsidR="00497EDB">
        <w:t xml:space="preserve"> </w:t>
      </w:r>
      <w:r w:rsidR="00066213">
        <w:t>making sure religious guidance and instruction reache</w:t>
      </w:r>
      <w:r w:rsidR="0058194F">
        <w:t xml:space="preserve">d the laity through the clergy </w:t>
      </w:r>
      <w:r w:rsidR="00066213">
        <w:t xml:space="preserve">than </w:t>
      </w:r>
      <w:r w:rsidR="009B3A3B">
        <w:t>on a</w:t>
      </w:r>
      <w:r w:rsidR="00066213">
        <w:t>ddressing the laity with persuasive propaganda directly’</w:t>
      </w:r>
      <w:r w:rsidR="00960E5F">
        <w:t>, and that Pole was ambivalent about the use of the press.</w:t>
      </w:r>
      <w:r w:rsidR="00B45EBD">
        <w:rPr>
          <w:rStyle w:val="FootnoteReference"/>
        </w:rPr>
        <w:footnoteReference w:id="20"/>
      </w:r>
      <w:r w:rsidR="002E2F8C">
        <w:t xml:space="preserve">  </w:t>
      </w:r>
      <w:r w:rsidR="009C7FCA">
        <w:t>And yet this was</w:t>
      </w:r>
      <w:r w:rsidR="00CB4FB9">
        <w:t xml:space="preserve"> the regime which backed the publication of </w:t>
      </w:r>
      <w:r w:rsidR="00CB4FB9" w:rsidRPr="00CB4FB9">
        <w:rPr>
          <w:i/>
        </w:rPr>
        <w:t>The</w:t>
      </w:r>
      <w:r w:rsidR="00CB4FB9">
        <w:t xml:space="preserve"> </w:t>
      </w:r>
      <w:r w:rsidR="00CB4FB9">
        <w:rPr>
          <w:i/>
        </w:rPr>
        <w:t>Displaying of the Protestants</w:t>
      </w:r>
      <w:r w:rsidR="00CB4FB9" w:rsidRPr="00243B6B">
        <w:t xml:space="preserve">, </w:t>
      </w:r>
      <w:r w:rsidR="000251DC" w:rsidRPr="00243B6B">
        <w:t xml:space="preserve">a work of polemical propaganda, </w:t>
      </w:r>
      <w:r w:rsidR="00CB4FB9" w:rsidRPr="00243B6B">
        <w:t xml:space="preserve">by the </w:t>
      </w:r>
      <w:r w:rsidR="009C7FCA" w:rsidRPr="00243B6B">
        <w:t xml:space="preserve">decidedly unclerical </w:t>
      </w:r>
      <w:r w:rsidR="00CB4FB9" w:rsidRPr="00243B6B">
        <w:t>hosier Miles Hogarde.</w:t>
      </w:r>
      <w:r w:rsidR="009B3A3B" w:rsidRPr="00243B6B">
        <w:t xml:space="preserve"> </w:t>
      </w:r>
      <w:r w:rsidR="00F77E63" w:rsidRPr="00243B6B">
        <w:t xml:space="preserve"> One possible alternate solution to this conundrum is that Mary’s ministers overestimated Cheke’s importance and kidnapped him in order to silence him.  Another possib</w:t>
      </w:r>
      <w:r w:rsidR="00DE50B5" w:rsidRPr="00243B6B">
        <w:t xml:space="preserve">ility is that the problems </w:t>
      </w:r>
      <w:r w:rsidR="00F77E63" w:rsidRPr="00243B6B">
        <w:t>they encountered with the publication of Cranmer’s recantations</w:t>
      </w:r>
      <w:r w:rsidR="00DE50B5" w:rsidRPr="00243B6B">
        <w:t xml:space="preserve"> made the Marian authorities wary about printing Cheke’s recantations, although (as McDiarmid demonstrates) the recantation was widely circulated in manuscript.</w:t>
      </w:r>
    </w:p>
    <w:p w:rsidR="000D3674" w:rsidRDefault="00F23853" w:rsidP="000D3674">
      <w:pPr>
        <w:ind w:firstLine="720"/>
        <w:jc w:val="both"/>
      </w:pPr>
      <w:r>
        <w:t>Vivienne Westbrook</w:t>
      </w:r>
      <w:r w:rsidR="00CB4FB9">
        <w:t xml:space="preserve"> </w:t>
      </w:r>
      <w:r w:rsidR="00A62DA9">
        <w:t>discusses</w:t>
      </w:r>
      <w:r>
        <w:t xml:space="preserve"> John Rogers, the first </w:t>
      </w:r>
      <w:r w:rsidR="00851C7E">
        <w:t xml:space="preserve">of the Marian martyrs to be executed.  </w:t>
      </w:r>
      <w:r w:rsidR="007F132E">
        <w:t xml:space="preserve">Unfortunately, her </w:t>
      </w:r>
      <w:r w:rsidR="00B1064A">
        <w:t>failure to place Rogers’s execution within the context of the Marian persecution</w:t>
      </w:r>
      <w:r w:rsidR="007F132E">
        <w:t xml:space="preserve"> makes it hard to discern its significance</w:t>
      </w:r>
      <w:r w:rsidR="00B1064A">
        <w:t xml:space="preserve">. </w:t>
      </w:r>
      <w:r w:rsidR="00B532B8">
        <w:t>Why was Rogers burned?  Why was he burned ahead of major figures like Ridley, Latimer and Cranmer?  Why</w:t>
      </w:r>
      <w:r w:rsidR="007F132E">
        <w:t>,</w:t>
      </w:r>
      <w:r w:rsidR="00B532B8">
        <w:t xml:space="preserve"> after his being placed under house arrest on 13 </w:t>
      </w:r>
      <w:r w:rsidR="00560727">
        <w:t>August 1553, was he transferred to Newgate in January 1554?  (Westbrook does not men</w:t>
      </w:r>
      <w:r w:rsidR="00F77E63">
        <w:t xml:space="preserve">tion the house arrest, instead </w:t>
      </w:r>
      <w:r w:rsidR="00560727">
        <w:t xml:space="preserve">giving the misleading impression that Rogers was placed in prison shortly after </w:t>
      </w:r>
      <w:r w:rsidR="007F132E">
        <w:t>Mary’s</w:t>
      </w:r>
      <w:r w:rsidR="002D5B65">
        <w:t xml:space="preserve"> accession</w:t>
      </w:r>
      <w:r w:rsidR="007F132E">
        <w:t>.)</w:t>
      </w:r>
      <w:r w:rsidR="002D5B65">
        <w:t xml:space="preserve">  In </w:t>
      </w:r>
      <w:r w:rsidR="000255EC">
        <w:t>particular, she neglects to note that</w:t>
      </w:r>
      <w:r w:rsidR="00560727">
        <w:t xml:space="preserve"> on 10 Nove</w:t>
      </w:r>
      <w:r w:rsidR="002D5B65">
        <w:t>mber 1554 Rogers was examin</w:t>
      </w:r>
      <w:r w:rsidR="00560727">
        <w:t>ed by Nicholas Harpsfield, the vicar-general of London, for destroying the cross in the rood-loft of his former church of St Sepulchre</w:t>
      </w:r>
      <w:r w:rsidR="00985635">
        <w:t>, without the consent of its parishioners.</w:t>
      </w:r>
      <w:r w:rsidR="00985635">
        <w:rPr>
          <w:rStyle w:val="FootnoteReference"/>
        </w:rPr>
        <w:footnoteReference w:id="21"/>
      </w:r>
      <w:r w:rsidR="00985635">
        <w:t xml:space="preserve">  It is an indication of </w:t>
      </w:r>
      <w:r w:rsidR="00A410FC">
        <w:t xml:space="preserve">the persistence of </w:t>
      </w:r>
      <w:r w:rsidR="00985635">
        <w:t>the myth of passive v</w:t>
      </w:r>
      <w:r w:rsidR="002D5B65">
        <w:t xml:space="preserve">ictimhood </w:t>
      </w:r>
      <w:r w:rsidR="00E97636">
        <w:t>which</w:t>
      </w:r>
      <w:r w:rsidR="00A410FC">
        <w:t xml:space="preserve"> </w:t>
      </w:r>
      <w:r w:rsidR="002D5B65">
        <w:t xml:space="preserve">still </w:t>
      </w:r>
      <w:r w:rsidR="00084563">
        <w:t>swirls around</w:t>
      </w:r>
      <w:r w:rsidR="000255EC">
        <w:t xml:space="preserve"> the Martian martyrs</w:t>
      </w:r>
      <w:r w:rsidR="00985635">
        <w:t xml:space="preserve"> </w:t>
      </w:r>
      <w:r w:rsidR="00084563">
        <w:t>that</w:t>
      </w:r>
      <w:r w:rsidR="000255EC">
        <w:t>,</w:t>
      </w:r>
      <w:r w:rsidR="00084563">
        <w:t xml:space="preserve"> although the record of Rogers’s ic</w:t>
      </w:r>
      <w:r w:rsidR="00E97636">
        <w:t>onoclasm was printed in the first half of the nineteenth century</w:t>
      </w:r>
      <w:r w:rsidR="00084563">
        <w:t xml:space="preserve">, it has been ignored </w:t>
      </w:r>
      <w:r w:rsidR="000255EC">
        <w:t xml:space="preserve">not only by Westbrook </w:t>
      </w:r>
      <w:r w:rsidR="000D3674">
        <w:t xml:space="preserve">but also in </w:t>
      </w:r>
      <w:r w:rsidR="00084563">
        <w:t>Chester’s biography of Rogers</w:t>
      </w:r>
      <w:r w:rsidR="000D3674">
        <w:t xml:space="preserve"> and in </w:t>
      </w:r>
      <w:r w:rsidR="00084563">
        <w:t xml:space="preserve">the life of Rogers in the </w:t>
      </w:r>
      <w:r w:rsidR="00084563">
        <w:rPr>
          <w:i/>
        </w:rPr>
        <w:t>ODNB</w:t>
      </w:r>
      <w:r w:rsidR="00084563">
        <w:t>.</w:t>
      </w:r>
    </w:p>
    <w:p w:rsidR="00204D7B" w:rsidRDefault="009B3A3B" w:rsidP="00EF699E">
      <w:pPr>
        <w:ind w:firstLine="720"/>
        <w:jc w:val="both"/>
      </w:pPr>
      <w:r>
        <w:lastRenderedPageBreak/>
        <w:t>As William Wizeman</w:t>
      </w:r>
      <w:r w:rsidR="00204D7B">
        <w:t xml:space="preserve"> </w:t>
      </w:r>
      <w:r>
        <w:t>demonstrated throughout his tragically short</w:t>
      </w:r>
      <w:r w:rsidR="00232A43">
        <w:t xml:space="preserve"> but remarkably </w:t>
      </w:r>
      <w:r w:rsidR="00C40C3D">
        <w:t>p</w:t>
      </w:r>
      <w:r w:rsidR="00232A43">
        <w:t xml:space="preserve">roductive career, </w:t>
      </w:r>
      <w:r>
        <w:t>there was no shortage of active pens in the Marian Church.</w:t>
      </w:r>
      <w:r w:rsidR="005D2679">
        <w:t xml:space="preserve">   In </w:t>
      </w:r>
      <w:r w:rsidR="00BD052B">
        <w:t xml:space="preserve">his chapter in </w:t>
      </w:r>
      <w:r w:rsidR="00BD052B">
        <w:rPr>
          <w:i/>
        </w:rPr>
        <w:t>Catholic renewal and Protestant resistance</w:t>
      </w:r>
      <w:r w:rsidR="00BD052B">
        <w:t xml:space="preserve">, </w:t>
      </w:r>
      <w:r w:rsidR="00232A43">
        <w:t xml:space="preserve">Wizeman focuses on </w:t>
      </w:r>
      <w:r w:rsidR="00E24A0D">
        <w:t xml:space="preserve">books written by Marian Catholics </w:t>
      </w:r>
      <w:r w:rsidR="00E201E3">
        <w:t>printed in the years 1556</w:t>
      </w:r>
      <w:r w:rsidR="00E24A0D">
        <w:t>-57.</w:t>
      </w:r>
      <w:r w:rsidR="00E201E3">
        <w:t xml:space="preserve">  </w:t>
      </w:r>
      <w:r w:rsidR="00C40C3D">
        <w:t xml:space="preserve"> While Wizeman discusses polemic</w:t>
      </w:r>
      <w:r w:rsidR="000D3674">
        <w:t>s</w:t>
      </w:r>
      <w:r w:rsidR="00C40C3D">
        <w:t>, including Hogarde’</w:t>
      </w:r>
      <w:r w:rsidR="00204D7B">
        <w:t>s acerbic</w:t>
      </w:r>
      <w:r w:rsidR="00C40C3D">
        <w:t xml:space="preserve"> </w:t>
      </w:r>
      <w:r w:rsidR="00C40C3D">
        <w:rPr>
          <w:i/>
        </w:rPr>
        <w:t>Displaying of the Protestants</w:t>
      </w:r>
      <w:r w:rsidR="00C40C3D">
        <w:t>, he also emphasizes the</w:t>
      </w:r>
      <w:r w:rsidR="00204D7B">
        <w:t xml:space="preserve"> powerful pastoral concerns manifested in </w:t>
      </w:r>
      <w:r w:rsidR="00A410FC">
        <w:t>Marian books</w:t>
      </w:r>
      <w:r w:rsidR="00204D7B">
        <w:t xml:space="preserve"> as well as the production of devotional works.  </w:t>
      </w:r>
      <w:r w:rsidR="000D3674">
        <w:t xml:space="preserve">These works were predominantly in English, and a great many of them were </w:t>
      </w:r>
      <w:r w:rsidR="00EF699E">
        <w:t xml:space="preserve">translations of older Latin texts. </w:t>
      </w:r>
      <w:r w:rsidR="00B936E6">
        <w:t xml:space="preserve">The age of some of these works, going back to the reign of Henry VIII </w:t>
      </w:r>
      <w:r w:rsidR="00EF699E">
        <w:t xml:space="preserve">or beyond, </w:t>
      </w:r>
      <w:r w:rsidR="00B936E6">
        <w:t>led scholars such as Dickens and Loades to argue that they were irrelevant</w:t>
      </w:r>
      <w:r w:rsidR="00EF699E">
        <w:t>.</w:t>
      </w:r>
      <w:r w:rsidR="00230F77">
        <w:t xml:space="preserve"> Wizeman instead </w:t>
      </w:r>
      <w:r w:rsidR="00F04C7A">
        <w:t>points out their popularity and even</w:t>
      </w:r>
      <w:r w:rsidR="00230F77">
        <w:t xml:space="preserve"> </w:t>
      </w:r>
      <w:r w:rsidR="007C23B3">
        <w:t xml:space="preserve">suggests </w:t>
      </w:r>
      <w:r w:rsidR="00B936E6">
        <w:t>that ‘</w:t>
      </w:r>
      <w:r w:rsidR="00230F77">
        <w:t xml:space="preserve">it appears more than likely that </w:t>
      </w:r>
      <w:r w:rsidR="00B936E6">
        <w:t xml:space="preserve">the religious texts printed in Mary’s reign  </w:t>
      </w:r>
      <w:r w:rsidR="00717910">
        <w:t>helped to move the first generation of diehard recusants to maintain their Catholic identity’</w:t>
      </w:r>
      <w:r w:rsidR="00230F77">
        <w:t>.</w:t>
      </w:r>
      <w:r w:rsidR="00230F77">
        <w:rPr>
          <w:rStyle w:val="FootnoteReference"/>
        </w:rPr>
        <w:footnoteReference w:id="22"/>
      </w:r>
    </w:p>
    <w:p w:rsidR="00A01E97" w:rsidRDefault="001443D6" w:rsidP="00540EFE">
      <w:pPr>
        <w:jc w:val="both"/>
      </w:pPr>
      <w:r>
        <w:tab/>
        <w:t>Ian Gadd throws light on</w:t>
      </w:r>
      <w:r w:rsidR="00A01E97">
        <w:t xml:space="preserve"> Marian printing by focussing </w:t>
      </w:r>
      <w:r>
        <w:t>on the printers, rather than the authors.</w:t>
      </w:r>
      <w:r w:rsidR="001731FD">
        <w:t xml:space="preserve">  </w:t>
      </w:r>
      <w:r w:rsidR="00A410FC">
        <w:t xml:space="preserve">Building on </w:t>
      </w:r>
      <w:r w:rsidR="00527D19">
        <w:t>Peter Blayn</w:t>
      </w:r>
      <w:r w:rsidR="001731FD">
        <w:t>ey</w:t>
      </w:r>
      <w:r w:rsidR="00A410FC">
        <w:t xml:space="preserve">’s monumental study of </w:t>
      </w:r>
      <w:r w:rsidR="001731FD">
        <w:t xml:space="preserve">the </w:t>
      </w:r>
      <w:r w:rsidR="00527D19">
        <w:t>Stationer</w:t>
      </w:r>
      <w:r w:rsidR="0058194F">
        <w:t>s</w:t>
      </w:r>
      <w:r w:rsidR="00527D19">
        <w:t>’ Company, and also drawing on previously unconsidered evidence</w:t>
      </w:r>
      <w:r w:rsidR="000074C4">
        <w:t xml:space="preserve"> such as Pole’s legatine constitutions of 1556, Gadd demolishes the common misconception that the Stationer</w:t>
      </w:r>
      <w:r w:rsidR="005F1173">
        <w:t>s’</w:t>
      </w:r>
      <w:r w:rsidR="000074C4">
        <w:t xml:space="preserve"> Company  was</w:t>
      </w:r>
      <w:r w:rsidR="00E27C61">
        <w:t xml:space="preserve"> established as a </w:t>
      </w:r>
      <w:r w:rsidR="00EF699E">
        <w:t>tool of censorship</w:t>
      </w:r>
      <w:r w:rsidR="00E27C61">
        <w:t xml:space="preserve">.  </w:t>
      </w:r>
      <w:r w:rsidR="00EF699E">
        <w:t>L</w:t>
      </w:r>
      <w:r w:rsidR="00E27C61">
        <w:t xml:space="preserve">ike Blayney, Gadd sees the </w:t>
      </w:r>
      <w:r w:rsidR="00EF699E">
        <w:t xml:space="preserve">Company’s </w:t>
      </w:r>
      <w:r w:rsidR="00E27C61">
        <w:t>foundation as a commercial coup</w:t>
      </w:r>
      <w:r w:rsidR="0049602A">
        <w:t xml:space="preserve"> which gave a group of </w:t>
      </w:r>
      <w:r w:rsidR="007C23B3">
        <w:t xml:space="preserve">London </w:t>
      </w:r>
      <w:r w:rsidR="0049602A">
        <w:t xml:space="preserve">printers control over English book production.  In one sense, this chapter, </w:t>
      </w:r>
      <w:r w:rsidR="00EF699E">
        <w:t xml:space="preserve">with its focus firmly on the industry’s economics, </w:t>
      </w:r>
      <w:r w:rsidR="0049602A">
        <w:t xml:space="preserve">sits uneasily </w:t>
      </w:r>
      <w:r w:rsidR="00EF699E">
        <w:t>in a</w:t>
      </w:r>
      <w:r w:rsidR="0049602A">
        <w:t xml:space="preserve"> volume</w:t>
      </w:r>
      <w:r w:rsidR="00EF699E">
        <w:t xml:space="preserve"> about religion</w:t>
      </w:r>
      <w:r w:rsidR="0049602A">
        <w:t xml:space="preserve">.  </w:t>
      </w:r>
      <w:r w:rsidR="000319F0">
        <w:t>Yet</w:t>
      </w:r>
      <w:r w:rsidR="0049602A">
        <w:t xml:space="preserve"> Gadd’s chapter </w:t>
      </w:r>
      <w:r w:rsidR="000319F0">
        <w:t xml:space="preserve">also </w:t>
      </w:r>
      <w:r w:rsidR="0049602A">
        <w:t xml:space="preserve">complements </w:t>
      </w:r>
      <w:r w:rsidR="0058194F">
        <w:t>Wizeman’s work in demonstrating</w:t>
      </w:r>
      <w:r w:rsidR="0049602A">
        <w:t xml:space="preserve"> the importance the Marian authorities placed on printing and the crucial importance of Mary’s reign for the develo</w:t>
      </w:r>
      <w:r w:rsidR="002D5B65">
        <w:t>pment of the English book trade.</w:t>
      </w:r>
    </w:p>
    <w:p w:rsidR="001E6082" w:rsidRDefault="002D5B65" w:rsidP="00540EFE">
      <w:pPr>
        <w:jc w:val="both"/>
      </w:pPr>
      <w:r>
        <w:tab/>
      </w:r>
      <w:r w:rsidR="00B647EB">
        <w:t xml:space="preserve">Following in the footsteps of Ronald Truman, John Edwards and others, </w:t>
      </w:r>
      <w:r>
        <w:t>Elizabeth Evenden</w:t>
      </w:r>
      <w:r>
        <w:rPr>
          <w:i/>
        </w:rPr>
        <w:t xml:space="preserve"> </w:t>
      </w:r>
      <w:r w:rsidR="007C23B3">
        <w:t xml:space="preserve">emphasises the importance of the </w:t>
      </w:r>
      <w:r w:rsidR="001779FE">
        <w:t xml:space="preserve">role </w:t>
      </w:r>
      <w:r w:rsidR="007C23B3">
        <w:t>that</w:t>
      </w:r>
      <w:r w:rsidR="0058194F">
        <w:t xml:space="preserve"> </w:t>
      </w:r>
      <w:r w:rsidR="00B647EB">
        <w:t xml:space="preserve">the Spanish clergy who came to England </w:t>
      </w:r>
      <w:r w:rsidR="001779FE">
        <w:t xml:space="preserve">with Philip, </w:t>
      </w:r>
      <w:r w:rsidR="00DC1133">
        <w:t>p</w:t>
      </w:r>
      <w:r w:rsidR="005A7411">
        <w:t xml:space="preserve">articularly </w:t>
      </w:r>
      <w:r w:rsidR="003567DF">
        <w:t xml:space="preserve">Carranza, </w:t>
      </w:r>
      <w:r w:rsidR="001779FE">
        <w:t xml:space="preserve">played </w:t>
      </w:r>
      <w:r w:rsidR="000914CF">
        <w:t xml:space="preserve">in the Marian Church. </w:t>
      </w:r>
      <w:r w:rsidR="000319F0">
        <w:t>The chapter is</w:t>
      </w:r>
      <w:r w:rsidR="000914CF">
        <w:t xml:space="preserve"> </w:t>
      </w:r>
      <w:r w:rsidR="000319F0">
        <w:t xml:space="preserve">well-researched, but absent any newly-discovered documents, </w:t>
      </w:r>
      <w:r w:rsidR="000047F8">
        <w:t xml:space="preserve">this line of </w:t>
      </w:r>
      <w:r w:rsidR="00027B00">
        <w:t xml:space="preserve">scholarship </w:t>
      </w:r>
      <w:r w:rsidR="00F04C7A">
        <w:t>h</w:t>
      </w:r>
      <w:r w:rsidR="00027B00">
        <w:t xml:space="preserve">as </w:t>
      </w:r>
      <w:r w:rsidR="000319F0">
        <w:t xml:space="preserve">now </w:t>
      </w:r>
      <w:r w:rsidR="00027B00">
        <w:t xml:space="preserve">gone about as far as it </w:t>
      </w:r>
      <w:r w:rsidR="000319F0">
        <w:t>can</w:t>
      </w:r>
      <w:r w:rsidR="000047F8">
        <w:t xml:space="preserve">.  </w:t>
      </w:r>
      <w:r w:rsidR="00027B00">
        <w:t xml:space="preserve">Because of language difficulties—none </w:t>
      </w:r>
      <w:r w:rsidR="00317BA3">
        <w:t xml:space="preserve">of the Spanish </w:t>
      </w:r>
      <w:r w:rsidR="00027B00">
        <w:t>clerics spoke English—and their unpopularity</w:t>
      </w:r>
      <w:r w:rsidR="001779FE">
        <w:t xml:space="preserve"> with the English populace</w:t>
      </w:r>
      <w:r w:rsidR="00027B00">
        <w:t xml:space="preserve">, </w:t>
      </w:r>
      <w:r w:rsidR="00317BA3">
        <w:t>the clergy who came over with Philip II had to work behind the scenes.  This has ma</w:t>
      </w:r>
      <w:r w:rsidR="003567DF">
        <w:t xml:space="preserve">de </w:t>
      </w:r>
      <w:r w:rsidR="00433C96">
        <w:t xml:space="preserve">the task of determining </w:t>
      </w:r>
      <w:r w:rsidR="003567DF">
        <w:t>the</w:t>
      </w:r>
      <w:r w:rsidR="00581517">
        <w:t>ir</w:t>
      </w:r>
      <w:r w:rsidR="003567DF">
        <w:t xml:space="preserve"> </w:t>
      </w:r>
      <w:r w:rsidR="00317BA3">
        <w:t>i</w:t>
      </w:r>
      <w:r w:rsidR="00E75B8B">
        <w:t xml:space="preserve">nfluence </w:t>
      </w:r>
      <w:r w:rsidR="00433C96">
        <w:t>necessarily speculative</w:t>
      </w:r>
      <w:r w:rsidR="004E7E08">
        <w:t>.  For</w:t>
      </w:r>
      <w:r w:rsidR="00E75B8B">
        <w:t xml:space="preserve"> example, Evenden </w:t>
      </w:r>
      <w:r w:rsidR="003567DF">
        <w:t xml:space="preserve">cites testimony, </w:t>
      </w:r>
      <w:r w:rsidR="00E75B8B">
        <w:t xml:space="preserve">presented in the 1560s in order to </w:t>
      </w:r>
      <w:r w:rsidR="004E7E08">
        <w:t xml:space="preserve"> defend </w:t>
      </w:r>
      <w:r w:rsidR="00E75B8B">
        <w:t xml:space="preserve"> </w:t>
      </w:r>
      <w:r w:rsidR="004E7E08">
        <w:t>Carranza fro</w:t>
      </w:r>
      <w:r w:rsidR="00E75B8B">
        <w:t>m charges of heresy</w:t>
      </w:r>
      <w:r w:rsidR="004E7E08">
        <w:t xml:space="preserve">, </w:t>
      </w:r>
      <w:r w:rsidR="00174D51">
        <w:t>that</w:t>
      </w:r>
      <w:r w:rsidR="004E7E08">
        <w:t xml:space="preserve"> Carranza</w:t>
      </w:r>
      <w:r w:rsidR="00174D51">
        <w:t xml:space="preserve"> ‘met with those who worked as inquisitors </w:t>
      </w:r>
      <w:r w:rsidR="00E75B8B">
        <w:t xml:space="preserve">[in England] </w:t>
      </w:r>
      <w:r w:rsidR="00174D51">
        <w:t>by order of the queen’.</w:t>
      </w:r>
      <w:r w:rsidR="00174D51">
        <w:rPr>
          <w:rStyle w:val="FootnoteReference"/>
        </w:rPr>
        <w:footnoteReference w:id="23"/>
      </w:r>
      <w:r w:rsidR="00442D10">
        <w:t xml:space="preserve">  </w:t>
      </w:r>
      <w:r w:rsidR="00433C96">
        <w:t>She</w:t>
      </w:r>
      <w:r w:rsidR="00442D10">
        <w:t xml:space="preserve"> </w:t>
      </w:r>
      <w:r w:rsidR="00433C96">
        <w:t xml:space="preserve">suggests on this basis that </w:t>
      </w:r>
      <w:r w:rsidR="00AC191C">
        <w:t>Carranza was acting as an ‘I</w:t>
      </w:r>
      <w:r w:rsidR="00C003D0">
        <w:t xml:space="preserve">nquisition </w:t>
      </w:r>
      <w:r w:rsidR="00C003D0">
        <w:rPr>
          <w:i/>
        </w:rPr>
        <w:t>consultor</w:t>
      </w:r>
      <w:r w:rsidR="00433C96">
        <w:t xml:space="preserve">’ for the English Church, and adds, </w:t>
      </w:r>
      <w:r w:rsidR="00C003D0">
        <w:t>a little defensively,</w:t>
      </w:r>
      <w:r w:rsidR="00433C96">
        <w:t xml:space="preserve"> that</w:t>
      </w:r>
      <w:r w:rsidR="00C003D0">
        <w:t xml:space="preserve"> ‘</w:t>
      </w:r>
      <w:r w:rsidR="00433C96">
        <w:t>e</w:t>
      </w:r>
      <w:r w:rsidR="000A70CA">
        <w:t>ven if the lega</w:t>
      </w:r>
      <w:r w:rsidR="00C003D0">
        <w:t xml:space="preserve">l </w:t>
      </w:r>
      <w:r w:rsidR="000A70CA">
        <w:t xml:space="preserve"> a</w:t>
      </w:r>
      <w:r w:rsidR="00C003D0">
        <w:t>bility</w:t>
      </w:r>
      <w:r w:rsidR="000A70CA">
        <w:t xml:space="preserve"> of Philip to instruct these clerics in the administrat</w:t>
      </w:r>
      <w:r w:rsidR="001779FE">
        <w:t xml:space="preserve">ion of the [English] Church was </w:t>
      </w:r>
      <w:r w:rsidR="000A70CA">
        <w:t>questionable, there is no doubt that it took place.’</w:t>
      </w:r>
      <w:r w:rsidR="000A70CA">
        <w:rPr>
          <w:rStyle w:val="FootnoteReference"/>
        </w:rPr>
        <w:footnoteReference w:id="24"/>
      </w:r>
      <w:r w:rsidR="000A70CA">
        <w:t xml:space="preserve">  </w:t>
      </w:r>
      <w:r w:rsidR="00433C96">
        <w:t>Yet</w:t>
      </w:r>
      <w:r w:rsidR="00E75B8B">
        <w:t xml:space="preserve"> this</w:t>
      </w:r>
      <w:r w:rsidR="000A70CA">
        <w:t xml:space="preserve"> testimony </w:t>
      </w:r>
      <w:r w:rsidR="00E25EBE">
        <w:t>does not specify with which clerics</w:t>
      </w:r>
      <w:r w:rsidR="00014B34">
        <w:t xml:space="preserve"> Carranza spoke,</w:t>
      </w:r>
      <w:r w:rsidR="0058194F">
        <w:t xml:space="preserve"> whether </w:t>
      </w:r>
      <w:r w:rsidR="00014B34">
        <w:t>it was a formal meeting and whether Carra</w:t>
      </w:r>
      <w:r w:rsidR="001779FE">
        <w:t xml:space="preserve">nza was representing Philip.  </w:t>
      </w:r>
      <w:r w:rsidR="00B94A46">
        <w:t xml:space="preserve">Nor </w:t>
      </w:r>
      <w:r w:rsidR="00014B34">
        <w:t xml:space="preserve">does </w:t>
      </w:r>
      <w:r w:rsidR="00B94A46">
        <w:t xml:space="preserve">the testimony </w:t>
      </w:r>
      <w:r w:rsidR="00014B34">
        <w:t xml:space="preserve">state that Carranza </w:t>
      </w:r>
      <w:r w:rsidR="004E3571">
        <w:t>was instructi</w:t>
      </w:r>
      <w:r w:rsidR="00E75B8B">
        <w:t>ng the English clerics</w:t>
      </w:r>
      <w:r w:rsidR="00B94A46">
        <w:t>;</w:t>
      </w:r>
      <w:r w:rsidR="00E75B8B">
        <w:t xml:space="preserve"> they</w:t>
      </w:r>
      <w:r w:rsidR="004E3571">
        <w:t xml:space="preserve"> might have </w:t>
      </w:r>
      <w:r w:rsidR="00E75B8B">
        <w:t xml:space="preserve">been briefing Carranza on </w:t>
      </w:r>
      <w:r w:rsidR="004E3571">
        <w:t>the complexities of English</w:t>
      </w:r>
      <w:r w:rsidR="00E75B8B">
        <w:t xml:space="preserve"> heresy laws and trial </w:t>
      </w:r>
      <w:r w:rsidR="00CE64B9">
        <w:t>proc</w:t>
      </w:r>
      <w:r w:rsidR="00E75B8B">
        <w:t>edures.</w:t>
      </w:r>
      <w:r w:rsidR="000A3EB3">
        <w:t xml:space="preserve">  </w:t>
      </w:r>
      <w:r w:rsidR="00B94A46">
        <w:t xml:space="preserve">Beyond the bare fact of a meeting </w:t>
      </w:r>
      <w:r w:rsidR="005C301B">
        <w:t xml:space="preserve">between Carranza and the English ‘inquisitors’, the rest of Evenden’s description </w:t>
      </w:r>
      <w:r w:rsidR="007C23B3">
        <w:t xml:space="preserve">of this event </w:t>
      </w:r>
      <w:r w:rsidR="005F1173">
        <w:t xml:space="preserve">is </w:t>
      </w:r>
      <w:r w:rsidR="00DC1133">
        <w:t>g</w:t>
      </w:r>
      <w:r w:rsidR="005C301B">
        <w:t>ue</w:t>
      </w:r>
      <w:r w:rsidR="00E75B8B">
        <w:t>sswork</w:t>
      </w:r>
      <w:r w:rsidR="00DC1133">
        <w:t>.</w:t>
      </w:r>
      <w:r w:rsidR="00E75B8B">
        <w:t xml:space="preserve">  </w:t>
      </w:r>
      <w:r w:rsidR="00DC1133">
        <w:t xml:space="preserve">There is no doubt about the importance of Carranza’s catechism or that Spanish clergy advised Philip and Mary, as well as </w:t>
      </w:r>
      <w:r w:rsidR="00DC1580">
        <w:t>Cardinal Pole,</w:t>
      </w:r>
      <w:r w:rsidR="00DC1133">
        <w:t xml:space="preserve"> on ecclesiastical matters.  It is reasonable </w:t>
      </w:r>
      <w:r w:rsidR="00DC1580">
        <w:t xml:space="preserve">to assume that </w:t>
      </w:r>
      <w:r w:rsidR="004B1D30">
        <w:t>Pedro</w:t>
      </w:r>
      <w:r w:rsidR="00DC1133">
        <w:t xml:space="preserve"> de Soto and Juan </w:t>
      </w:r>
      <w:r w:rsidR="00DC1133">
        <w:lastRenderedPageBreak/>
        <w:t xml:space="preserve">de Villagarcia played an important role in </w:t>
      </w:r>
      <w:r w:rsidR="005F1173">
        <w:t>promoting Catholicism</w:t>
      </w:r>
      <w:r w:rsidR="00500FEC">
        <w:t xml:space="preserve"> in </w:t>
      </w:r>
      <w:r w:rsidR="00DC1133">
        <w:t>Oxford Universi</w:t>
      </w:r>
      <w:r w:rsidR="004B1D30">
        <w:t xml:space="preserve">ty.  But so far there is no </w:t>
      </w:r>
      <w:r w:rsidR="00DC1580">
        <w:t xml:space="preserve">direct </w:t>
      </w:r>
      <w:r w:rsidR="004B1D30">
        <w:t>evidence of the Spanish clergy shaping the major policies of the Marian Church or of their directing the implementation of these policies.</w:t>
      </w:r>
    </w:p>
    <w:p w:rsidR="00D159D3" w:rsidRDefault="00D159D3" w:rsidP="00540EFE">
      <w:pPr>
        <w:jc w:val="both"/>
      </w:pPr>
      <w:r>
        <w:tab/>
      </w:r>
      <w:r w:rsidR="00500FEC">
        <w:t xml:space="preserve">One of the priorities of the Marian regime was to </w:t>
      </w:r>
      <w:r w:rsidR="004D01FB">
        <w:t xml:space="preserve">eliminate the inroads that Protestants had made in the universities.  </w:t>
      </w:r>
      <w:r w:rsidR="0064759E">
        <w:t xml:space="preserve">Ceri Law describes </w:t>
      </w:r>
      <w:r w:rsidR="00775397">
        <w:t xml:space="preserve">and </w:t>
      </w:r>
      <w:r w:rsidR="000C75F9">
        <w:t xml:space="preserve">analyses </w:t>
      </w:r>
      <w:r w:rsidR="004D01FB">
        <w:t xml:space="preserve">the </w:t>
      </w:r>
      <w:r w:rsidR="003078F6">
        <w:t xml:space="preserve">visitation of Cambridge University in 1557, which included the </w:t>
      </w:r>
      <w:r w:rsidR="004D01FB">
        <w:t xml:space="preserve">most dramatic episode of the Marian campaign in the universities: </w:t>
      </w:r>
      <w:r w:rsidR="003078F6">
        <w:t xml:space="preserve">the exhumation and ritual burning of </w:t>
      </w:r>
      <w:r w:rsidR="0064759E">
        <w:t>the bodies of the Prote</w:t>
      </w:r>
      <w:r w:rsidR="000A3EB3">
        <w:t xml:space="preserve">stant theologians Martin Bucer </w:t>
      </w:r>
      <w:r w:rsidR="0064759E">
        <w:t xml:space="preserve">and Paul Fagius.  </w:t>
      </w:r>
      <w:r w:rsidR="00B93A67">
        <w:t>Echoing</w:t>
      </w:r>
      <w:r w:rsidR="00775397">
        <w:t xml:space="preserve"> Natalie Z.</w:t>
      </w:r>
      <w:r w:rsidR="00A00AFB">
        <w:t xml:space="preserve"> Davis’</w:t>
      </w:r>
      <w:r w:rsidR="00D04E17">
        <w:t>s</w:t>
      </w:r>
      <w:r w:rsidR="00A00AFB">
        <w:t xml:space="preserve"> famous article </w:t>
      </w:r>
      <w:r w:rsidR="00775397">
        <w:t>on the ‘Rites of Violence’</w:t>
      </w:r>
      <w:r w:rsidR="00B93A67">
        <w:t>, Law</w:t>
      </w:r>
      <w:r w:rsidR="00775397">
        <w:t xml:space="preserve"> persuasively argues that th</w:t>
      </w:r>
      <w:r w:rsidR="00710886">
        <w:t>e burnings were inte</w:t>
      </w:r>
      <w:r w:rsidR="00775397">
        <w:t>nded to remove a sou</w:t>
      </w:r>
      <w:r w:rsidR="00DC1580">
        <w:t>r</w:t>
      </w:r>
      <w:r w:rsidR="00775397">
        <w:t xml:space="preserve">ce of spiritual pollution from the University.   Yet Law </w:t>
      </w:r>
      <w:r w:rsidR="00293A16">
        <w:t>co</w:t>
      </w:r>
      <w:r w:rsidR="00D04E17">
        <w:t xml:space="preserve">vers </w:t>
      </w:r>
      <w:r w:rsidR="000C75F9">
        <w:t>the</w:t>
      </w:r>
      <w:r w:rsidR="00D04E17">
        <w:t xml:space="preserve"> entire </w:t>
      </w:r>
      <w:r w:rsidR="000C75F9">
        <w:t>visitation</w:t>
      </w:r>
      <w:r w:rsidR="00293A16">
        <w:t xml:space="preserve"> in detail, including the inspection of the colleges</w:t>
      </w:r>
      <w:r w:rsidR="00B93A67">
        <w:t xml:space="preserve"> </w:t>
      </w:r>
      <w:r w:rsidR="00293A16">
        <w:t xml:space="preserve">and </w:t>
      </w:r>
      <w:r w:rsidR="0007491A">
        <w:t>t</w:t>
      </w:r>
      <w:r w:rsidR="00775397">
        <w:t xml:space="preserve">he </w:t>
      </w:r>
      <w:r w:rsidR="00293A16">
        <w:t>searches for heretical books and not just its theatrical and grisly conclusion.</w:t>
      </w:r>
      <w:r w:rsidR="00775397">
        <w:t xml:space="preserve">  </w:t>
      </w:r>
      <w:r w:rsidR="00B93A67">
        <w:t xml:space="preserve">As she demonstrates, </w:t>
      </w:r>
      <w:r w:rsidR="0007491A">
        <w:t>the University cooperated fully with the visitation and its concomitant purge o</w:t>
      </w:r>
      <w:r w:rsidR="00DC1580">
        <w:t>f heretics</w:t>
      </w:r>
      <w:r w:rsidR="0041686F">
        <w:t xml:space="preserve">.  </w:t>
      </w:r>
      <w:r w:rsidR="0007491A">
        <w:t xml:space="preserve">Catholics had already seized control  of </w:t>
      </w:r>
      <w:r w:rsidR="00B93A67">
        <w:t>Cambridge’s colleges. T</w:t>
      </w:r>
      <w:r w:rsidR="0007491A">
        <w:t xml:space="preserve">he visitation was a Roman (in multiple senses </w:t>
      </w:r>
      <w:r w:rsidR="00DC1580">
        <w:t>o</w:t>
      </w:r>
      <w:r w:rsidR="0007491A">
        <w:t xml:space="preserve">f the word) triumph ritually celebrating  an already completed conquest.  </w:t>
      </w:r>
    </w:p>
    <w:p w:rsidR="003C3BED" w:rsidRDefault="00BA0C08" w:rsidP="00540EFE">
      <w:pPr>
        <w:jc w:val="both"/>
      </w:pPr>
      <w:r>
        <w:tab/>
        <w:t>One of the Ma</w:t>
      </w:r>
      <w:r w:rsidR="0041686F">
        <w:t>rian regime’s greatest successes</w:t>
      </w:r>
      <w:r>
        <w:t xml:space="preserve"> was in turning </w:t>
      </w:r>
      <w:r w:rsidR="000B7B2B">
        <w:t xml:space="preserve">several </w:t>
      </w:r>
      <w:r>
        <w:t xml:space="preserve">colleges </w:t>
      </w:r>
      <w:r w:rsidR="000B7B2B">
        <w:t xml:space="preserve">Oxford and </w:t>
      </w:r>
      <w:r>
        <w:t xml:space="preserve">Cambridge </w:t>
      </w:r>
      <w:r w:rsidR="000B7B2B">
        <w:t xml:space="preserve">colleges </w:t>
      </w:r>
      <w:r>
        <w:t>in</w:t>
      </w:r>
      <w:r w:rsidR="00DC1580">
        <w:t>to</w:t>
      </w:r>
      <w:r>
        <w:t xml:space="preserve"> bastions of</w:t>
      </w:r>
      <w:r w:rsidR="000A3EB3">
        <w:t xml:space="preserve"> Catholic orthodoxy which nurtured </w:t>
      </w:r>
      <w:r w:rsidR="008F600A">
        <w:t xml:space="preserve">a generation of talented </w:t>
      </w:r>
      <w:r w:rsidR="00DC1580">
        <w:t>Cath</w:t>
      </w:r>
      <w:r w:rsidR="005F1173">
        <w:t xml:space="preserve">olic </w:t>
      </w:r>
      <w:r w:rsidR="000B7B2B">
        <w:t>leaders</w:t>
      </w:r>
      <w:r w:rsidR="008F600A">
        <w:t xml:space="preserve">.  In a </w:t>
      </w:r>
      <w:r w:rsidR="008F600A">
        <w:rPr>
          <w:i/>
        </w:rPr>
        <w:t xml:space="preserve">tour de force </w:t>
      </w:r>
      <w:r w:rsidR="008F600A">
        <w:t>of prosopographica</w:t>
      </w:r>
      <w:r w:rsidR="000A3EB3">
        <w:t>l research, the late Tom Mayer</w:t>
      </w:r>
      <w:r w:rsidR="000B7B2B">
        <w:t>’s chapter</w:t>
      </w:r>
      <w:r w:rsidR="000A3EB3">
        <w:t xml:space="preserve"> </w:t>
      </w:r>
      <w:r w:rsidR="000B7B2B">
        <w:t>shows</w:t>
      </w:r>
      <w:r w:rsidR="000E3B0F">
        <w:t xml:space="preserve"> that numerous graduates of New College</w:t>
      </w:r>
      <w:r w:rsidR="000B7B2B">
        <w:t xml:space="preserve">, Oxford, </w:t>
      </w:r>
      <w:r w:rsidR="000E3B0F">
        <w:t xml:space="preserve">and other colleges </w:t>
      </w:r>
      <w:r w:rsidR="00007A6D">
        <w:t xml:space="preserve">filled the cathedral chapters.  Mayer convincingly argues that this was the deliberate result of Cardinal Pole’s patronage of both the </w:t>
      </w:r>
      <w:r w:rsidR="003C3BED">
        <w:t>universities and the cathedrals.  The result</w:t>
      </w:r>
      <w:r w:rsidR="000B7B2B">
        <w:t xml:space="preserve"> </w:t>
      </w:r>
      <w:r w:rsidR="001D558F">
        <w:t xml:space="preserve">was to turn  the cathedral </w:t>
      </w:r>
      <w:r w:rsidR="003C3BED">
        <w:t>c</w:t>
      </w:r>
      <w:r w:rsidR="008B5EFE">
        <w:t>hapters into centres of persiste</w:t>
      </w:r>
      <w:r w:rsidR="003C3BED">
        <w:t xml:space="preserve">nt resistance to Protestantism in Elizabeth’s reign. Carolyn Colbert takes up theme of Catholic resistance in the </w:t>
      </w:r>
      <w:r w:rsidR="000B7B2B">
        <w:t xml:space="preserve">volume’s epilogue, </w:t>
      </w:r>
      <w:r w:rsidR="004161C5">
        <w:t>which considers</w:t>
      </w:r>
      <w:r w:rsidR="003C3BED">
        <w:t xml:space="preserve"> the </w:t>
      </w:r>
      <w:r w:rsidR="000B7B2B">
        <w:t xml:space="preserve">queen’s funeral: and </w:t>
      </w:r>
      <w:r w:rsidR="003C3BED">
        <w:t xml:space="preserve">in particular </w:t>
      </w:r>
      <w:r w:rsidR="004161C5">
        <w:t>the sermon preached by John White, the bishop of Winchester</w:t>
      </w:r>
      <w:r w:rsidR="000B7B2B">
        <w:t>, which so displeased the new Queen Elizabeth that White w</w:t>
      </w:r>
      <w:r w:rsidR="00E67ACC">
        <w:t>as temporarily placed under house arrest.  The sermon has been see</w:t>
      </w:r>
      <w:r w:rsidR="00DC1580">
        <w:t>n by historians since John Strype</w:t>
      </w:r>
      <w:r w:rsidR="00E67ACC">
        <w:t xml:space="preserve"> as </w:t>
      </w:r>
      <w:r w:rsidR="001D558F">
        <w:t>maladroit, but Co</w:t>
      </w:r>
      <w:r w:rsidR="00E67ACC">
        <w:t>lbert</w:t>
      </w:r>
      <w:r w:rsidR="00730A10">
        <w:t xml:space="preserve"> </w:t>
      </w:r>
      <w:r w:rsidR="001D558F">
        <w:t xml:space="preserve">maintains that </w:t>
      </w:r>
      <w:r w:rsidR="00E67ACC">
        <w:t>it wa</w:t>
      </w:r>
      <w:r w:rsidR="001D558F">
        <w:t>s a bold, calculated attemp</w:t>
      </w:r>
      <w:r w:rsidR="00730A10">
        <w:t xml:space="preserve">t to rally resistance. It failed to </w:t>
      </w:r>
      <w:r w:rsidR="00DC1580">
        <w:t xml:space="preserve">preserve the Marian </w:t>
      </w:r>
      <w:r w:rsidR="00730A10">
        <w:t>status quo,</w:t>
      </w:r>
      <w:r w:rsidR="001D558F">
        <w:t xml:space="preserve"> but it was also a clear </w:t>
      </w:r>
      <w:r w:rsidR="007A201E">
        <w:t xml:space="preserve">signal of the forthcoming, </w:t>
      </w:r>
      <w:r w:rsidR="00D04E17">
        <w:t xml:space="preserve">determined </w:t>
      </w:r>
      <w:r w:rsidR="001D558F">
        <w:t xml:space="preserve">resistance </w:t>
      </w:r>
      <w:r w:rsidR="000A3EB3">
        <w:t>to the Elizabethan Settlement</w:t>
      </w:r>
      <w:r w:rsidR="007A201E">
        <w:t xml:space="preserve"> by the M</w:t>
      </w:r>
      <w:r w:rsidR="001D558F">
        <w:t>ar</w:t>
      </w:r>
      <w:r w:rsidR="007A201E">
        <w:t>ian senior clergy.</w:t>
      </w:r>
    </w:p>
    <w:p w:rsidR="007A201E" w:rsidRPr="00C010C3" w:rsidRDefault="007A201E" w:rsidP="00540EFE">
      <w:pPr>
        <w:jc w:val="both"/>
      </w:pPr>
      <w:r>
        <w:tab/>
        <w:t>Evenden and Westbrook are to be congratulated</w:t>
      </w:r>
      <w:r w:rsidR="00A256CD">
        <w:t xml:space="preserve"> for editi</w:t>
      </w:r>
      <w:r w:rsidR="00311860">
        <w:t>ng a volume of high quality articles which add</w:t>
      </w:r>
      <w:r w:rsidR="000A3EB3">
        <w:t>s</w:t>
      </w:r>
      <w:r w:rsidR="00311860">
        <w:t xml:space="preserve"> substantially to our knowledge of</w:t>
      </w:r>
      <w:r w:rsidR="00C010C3">
        <w:t xml:space="preserve"> </w:t>
      </w:r>
      <w:r w:rsidR="00311860">
        <w:t xml:space="preserve">both Protestants and Catholics in Marian England.  </w:t>
      </w:r>
      <w:r w:rsidR="00311860">
        <w:rPr>
          <w:i/>
        </w:rPr>
        <w:t>Catholic renewal and</w:t>
      </w:r>
      <w:r w:rsidR="00C010C3">
        <w:rPr>
          <w:i/>
        </w:rPr>
        <w:t xml:space="preserve"> Protestant resistance </w:t>
      </w:r>
      <w:r w:rsidR="00C010C3">
        <w:t xml:space="preserve">is another milestone in the journey away from the </w:t>
      </w:r>
      <w:r w:rsidR="000A3EB3">
        <w:t>outdated</w:t>
      </w:r>
      <w:r w:rsidR="00C010C3">
        <w:t xml:space="preserve"> view of Mary’s reign as an </w:t>
      </w:r>
      <w:r w:rsidR="005C5C23">
        <w:t>unproductive</w:t>
      </w:r>
      <w:r w:rsidR="00C010C3">
        <w:t xml:space="preserve"> cul-de-sac in English history. </w:t>
      </w:r>
      <w:r w:rsidR="00AB5C9F">
        <w:t xml:space="preserve">In particular, </w:t>
      </w:r>
      <w:r w:rsidR="00710886">
        <w:t>Tom Mayer, Eamon Duffy and John Edwards</w:t>
      </w:r>
      <w:r w:rsidR="00CB5FAD">
        <w:t>’s emphasis on the central part played by</w:t>
      </w:r>
      <w:r w:rsidR="00710886">
        <w:t xml:space="preserve"> Cardinal Pole </w:t>
      </w:r>
      <w:r w:rsidR="00CB5FAD">
        <w:t xml:space="preserve">is further underlined here: Pole now appears to have been </w:t>
      </w:r>
      <w:r w:rsidR="00D04E17">
        <w:t xml:space="preserve">as important to the Marian Church as Thomas </w:t>
      </w:r>
      <w:r w:rsidR="000A13FB">
        <w:t xml:space="preserve">Cromwell </w:t>
      </w:r>
      <w:r w:rsidR="00CB5FAD">
        <w:t>was to the Henrician Church</w:t>
      </w:r>
      <w:r w:rsidR="00D04E17">
        <w:t xml:space="preserve">.  </w:t>
      </w:r>
      <w:r w:rsidR="005C5C23">
        <w:t xml:space="preserve">Even more importantly, a number of the contributors </w:t>
      </w:r>
      <w:r w:rsidR="00D04E17">
        <w:t>d</w:t>
      </w:r>
      <w:r w:rsidR="005C5C23">
        <w:t>emonstrate how the foundation</w:t>
      </w:r>
      <w:r w:rsidR="000A3EB3">
        <w:t xml:space="preserve">s </w:t>
      </w:r>
      <w:r w:rsidR="005C5C23">
        <w:t>for English Catholic resistance and survival in the reign of Elizabeth</w:t>
      </w:r>
      <w:r w:rsidR="000A3EB3">
        <w:t xml:space="preserve"> were laid in the reign of Mary.</w:t>
      </w:r>
      <w:r w:rsidR="007F52E9">
        <w:t xml:space="preserve">  Mary I’s untime</w:t>
      </w:r>
      <w:r w:rsidR="005E5CF9">
        <w:t xml:space="preserve">ly </w:t>
      </w:r>
      <w:r w:rsidR="000A13FB">
        <w:t>death blasted any</w:t>
      </w:r>
      <w:r w:rsidR="005E5CF9">
        <w:t xml:space="preserve"> hopes that</w:t>
      </w:r>
      <w:r w:rsidR="007F52E9">
        <w:t xml:space="preserve"> Catholicism would be fully restored  in England, </w:t>
      </w:r>
      <w:r w:rsidR="000A3EB3">
        <w:t>b</w:t>
      </w:r>
      <w:r w:rsidR="00EA65DF">
        <w:t>ut work done in her reign would foster Triden</w:t>
      </w:r>
      <w:r w:rsidR="00D04E17">
        <w:t>t</w:t>
      </w:r>
      <w:r w:rsidR="00EA65DF">
        <w:t xml:space="preserve">ine Catholicism </w:t>
      </w:r>
      <w:r w:rsidR="00AB5C9F">
        <w:t>both in England and on the continent.</w:t>
      </w:r>
    </w:p>
    <w:p w:rsidR="002D5B65" w:rsidRDefault="002D5B65" w:rsidP="00540EFE">
      <w:pPr>
        <w:jc w:val="both"/>
      </w:pPr>
    </w:p>
    <w:p w:rsidR="004E3571" w:rsidRPr="00C003D0" w:rsidRDefault="004E3571" w:rsidP="00540EFE">
      <w:pPr>
        <w:jc w:val="both"/>
      </w:pPr>
    </w:p>
    <w:p w:rsidR="00027B00" w:rsidRPr="002D5B65" w:rsidRDefault="00027B00" w:rsidP="00540EFE">
      <w:pPr>
        <w:jc w:val="both"/>
      </w:pPr>
    </w:p>
    <w:p w:rsidR="00A01E97" w:rsidRDefault="00A01E97" w:rsidP="00540EFE">
      <w:pPr>
        <w:jc w:val="both"/>
      </w:pPr>
    </w:p>
    <w:p w:rsidR="00A01E97" w:rsidRDefault="00A01E97" w:rsidP="00540EFE">
      <w:pPr>
        <w:jc w:val="both"/>
      </w:pPr>
    </w:p>
    <w:p w:rsidR="00B936E6" w:rsidRDefault="00B936E6" w:rsidP="00540EFE">
      <w:pPr>
        <w:jc w:val="both"/>
      </w:pPr>
    </w:p>
    <w:p w:rsidR="007A0755" w:rsidRDefault="007A0755" w:rsidP="00540EFE">
      <w:pPr>
        <w:jc w:val="both"/>
      </w:pPr>
    </w:p>
    <w:p w:rsidR="00363EE5" w:rsidRDefault="00363EE5"/>
    <w:sectPr w:rsidR="00363EE5" w:rsidSect="00677F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DD" w:rsidRDefault="00C64CDD" w:rsidP="00C80616">
      <w:pPr>
        <w:spacing w:after="0" w:line="240" w:lineRule="auto"/>
      </w:pPr>
      <w:r>
        <w:separator/>
      </w:r>
    </w:p>
  </w:endnote>
  <w:endnote w:type="continuationSeparator" w:id="0">
    <w:p w:rsidR="00C64CDD" w:rsidRDefault="00C64CDD" w:rsidP="00C8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AD" w:rsidRDefault="00CB5F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745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FAD" w:rsidRDefault="00B13A00">
        <w:pPr>
          <w:pStyle w:val="Footer"/>
          <w:jc w:val="center"/>
        </w:pPr>
        <w:r>
          <w:fldChar w:fldCharType="begin"/>
        </w:r>
        <w:r w:rsidR="00B8031C">
          <w:instrText xml:space="preserve"> PAGE   \* MERGEFORMAT </w:instrText>
        </w:r>
        <w:r>
          <w:fldChar w:fldCharType="separate"/>
        </w:r>
        <w:r w:rsidR="002203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5FAD" w:rsidRDefault="00CB5F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AD" w:rsidRDefault="00CB5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DD" w:rsidRDefault="00C64CDD" w:rsidP="00C80616">
      <w:pPr>
        <w:spacing w:after="0" w:line="240" w:lineRule="auto"/>
      </w:pPr>
      <w:r>
        <w:separator/>
      </w:r>
    </w:p>
  </w:footnote>
  <w:footnote w:type="continuationSeparator" w:id="0">
    <w:p w:rsidR="00C64CDD" w:rsidRDefault="00C64CDD" w:rsidP="00C80616">
      <w:pPr>
        <w:spacing w:after="0" w:line="240" w:lineRule="auto"/>
      </w:pPr>
      <w:r>
        <w:continuationSeparator/>
      </w:r>
    </w:p>
  </w:footnote>
  <w:footnote w:id="1">
    <w:p w:rsidR="00CB5FAD" w:rsidRPr="006D3AAA" w:rsidRDefault="00CB5FAD">
      <w:pPr>
        <w:pStyle w:val="FootnoteText"/>
      </w:pPr>
      <w:r>
        <w:rPr>
          <w:rStyle w:val="FootnoteReference"/>
        </w:rPr>
        <w:footnoteRef/>
      </w:r>
      <w:r>
        <w:t xml:space="preserve"> Influential and, in their time, highly regarded statements of this view appeared in A. G. Dickens, </w:t>
      </w:r>
      <w:r>
        <w:rPr>
          <w:i/>
        </w:rPr>
        <w:t xml:space="preserve">The English Reformation </w:t>
      </w:r>
      <w:r>
        <w:t xml:space="preserve">(London: T. Batsford, 1964), 259-82 and G. R. Elton, </w:t>
      </w:r>
      <w:r>
        <w:rPr>
          <w:i/>
        </w:rPr>
        <w:t xml:space="preserve">Reform and Reformation: England, 1509-1558 </w:t>
      </w:r>
      <w:r>
        <w:t>(London: Edward Arnold, 1977), 392-8.</w:t>
      </w:r>
    </w:p>
  </w:footnote>
  <w:footnote w:id="2">
    <w:p w:rsidR="00CB5FAD" w:rsidRPr="00A638F1" w:rsidRDefault="00CB5F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The English Reformation revised</w:t>
      </w:r>
      <w:r>
        <w:t xml:space="preserve">, ed. Christopher Haigh (Cambridge: Cambridge University Press, 1987).  </w:t>
      </w:r>
    </w:p>
  </w:footnote>
  <w:footnote w:id="3">
    <w:p w:rsidR="00CB5FAD" w:rsidRPr="001A17AC" w:rsidRDefault="00CB5FAD">
      <w:pPr>
        <w:pStyle w:val="FootnoteText"/>
      </w:pPr>
      <w:r>
        <w:rPr>
          <w:rStyle w:val="FootnoteReference"/>
        </w:rPr>
        <w:footnoteRef/>
      </w:r>
      <w:r>
        <w:t xml:space="preserve"> Eamon Duffy, </w:t>
      </w:r>
      <w:r>
        <w:rPr>
          <w:i/>
        </w:rPr>
        <w:t xml:space="preserve">The stripping of the altars: traditional religion in England1400-1580 </w:t>
      </w:r>
      <w:r>
        <w:t>(New Haven, CT: Yale University Press, 1992).</w:t>
      </w:r>
    </w:p>
  </w:footnote>
  <w:footnote w:id="4">
    <w:p w:rsidR="00CB5FAD" w:rsidRPr="000D3800" w:rsidRDefault="00CB5FAD">
      <w:pPr>
        <w:pStyle w:val="FootnoteText"/>
      </w:pPr>
      <w:r>
        <w:rPr>
          <w:rStyle w:val="FootnoteReference"/>
        </w:rPr>
        <w:footnoteRef/>
      </w:r>
      <w:r>
        <w:t xml:space="preserve"> Christopher Haigh, </w:t>
      </w:r>
      <w:r>
        <w:rPr>
          <w:i/>
        </w:rPr>
        <w:t>English Reformations: religion, politics and society under the Tudors</w:t>
      </w:r>
      <w:r>
        <w:t xml:space="preserve"> (Oxford: Clarendon Press, 1992), 203-34.</w:t>
      </w:r>
    </w:p>
  </w:footnote>
  <w:footnote w:id="5">
    <w:p w:rsidR="00CB5FAD" w:rsidRPr="00704AD0" w:rsidRDefault="00CB5FAD">
      <w:pPr>
        <w:pStyle w:val="FootnoteText"/>
      </w:pPr>
      <w:r>
        <w:rPr>
          <w:rStyle w:val="FootnoteReference"/>
        </w:rPr>
        <w:footnoteRef/>
      </w:r>
      <w:r>
        <w:t xml:space="preserve"> Haigh, </w:t>
      </w:r>
      <w:r>
        <w:rPr>
          <w:i/>
        </w:rPr>
        <w:t>English Reformations</w:t>
      </w:r>
      <w:r>
        <w:t>, 234.</w:t>
      </w:r>
    </w:p>
  </w:footnote>
  <w:footnote w:id="6">
    <w:p w:rsidR="00CB5FAD" w:rsidRPr="004B6ED3" w:rsidRDefault="00CB5FAD">
      <w:pPr>
        <w:pStyle w:val="FootnoteText"/>
      </w:pPr>
      <w:r>
        <w:rPr>
          <w:rStyle w:val="FootnoteReference"/>
        </w:rPr>
        <w:footnoteRef/>
      </w:r>
      <w:r>
        <w:t xml:space="preserve"> Cf. Dickens, </w:t>
      </w:r>
      <w:r>
        <w:rPr>
          <w:i/>
        </w:rPr>
        <w:t xml:space="preserve">English Reformation </w:t>
      </w:r>
      <w:r>
        <w:t xml:space="preserve">(1964), 264-277 with </w:t>
      </w:r>
      <w:r w:rsidRPr="005677EB">
        <w:t>A</w:t>
      </w:r>
      <w:r>
        <w:t xml:space="preserve">. G. Dickens, </w:t>
      </w:r>
      <w:r>
        <w:rPr>
          <w:i/>
        </w:rPr>
        <w:t>The English Reformation</w:t>
      </w:r>
      <w:r>
        <w:t xml:space="preserve"> (University Park, PA: Pennsylvania State University Press, 1989), 295-306.</w:t>
      </w:r>
    </w:p>
  </w:footnote>
  <w:footnote w:id="7">
    <w:p w:rsidR="00CB5FAD" w:rsidRDefault="00CB5FAD">
      <w:pPr>
        <w:pStyle w:val="FootnoteText"/>
      </w:pPr>
      <w:r>
        <w:rPr>
          <w:rStyle w:val="FootnoteReference"/>
        </w:rPr>
        <w:footnoteRef/>
      </w:r>
      <w:r>
        <w:t xml:space="preserve"> Cf. Dickens (1964), 266 with Dickens (1989), 294-5.</w:t>
      </w:r>
    </w:p>
  </w:footnote>
  <w:footnote w:id="8">
    <w:p w:rsidR="00CB5FAD" w:rsidRDefault="00CB5FAD">
      <w:pPr>
        <w:pStyle w:val="FootnoteText"/>
      </w:pPr>
      <w:r>
        <w:rPr>
          <w:rStyle w:val="FootnoteReference"/>
        </w:rPr>
        <w:footnoteRef/>
      </w:r>
      <w:r>
        <w:t xml:space="preserve"> Cf. Dickens (1964), 279-82 with Dickens (1989), pp. 313-15.</w:t>
      </w:r>
    </w:p>
  </w:footnote>
  <w:footnote w:id="9">
    <w:p w:rsidR="00CB5FAD" w:rsidRPr="00390182" w:rsidRDefault="00CB5FAD">
      <w:pPr>
        <w:pStyle w:val="FootnoteText"/>
      </w:pPr>
      <w:r>
        <w:rPr>
          <w:rStyle w:val="FootnoteReference"/>
        </w:rPr>
        <w:footnoteRef/>
      </w:r>
      <w:r>
        <w:t xml:space="preserve"> Cf. D. M. Loades, </w:t>
      </w:r>
      <w:r>
        <w:rPr>
          <w:i/>
        </w:rPr>
        <w:t xml:space="preserve">The reign of Mary Tudor </w:t>
      </w:r>
      <w:r>
        <w:t xml:space="preserve">(London, Ernest Benn: 1979),  428-52 with </w:t>
      </w:r>
      <w:r>
        <w:rPr>
          <w:i/>
        </w:rPr>
        <w:t>idem</w:t>
      </w:r>
      <w:r>
        <w:t xml:space="preserve">, </w:t>
      </w:r>
      <w:r>
        <w:rPr>
          <w:i/>
        </w:rPr>
        <w:t xml:space="preserve">The reign of Mary Tudor </w:t>
      </w:r>
      <w:r>
        <w:t>Second edition (Harlow, Longman Group, 1991), 362-89.</w:t>
      </w:r>
    </w:p>
  </w:footnote>
  <w:footnote w:id="10">
    <w:p w:rsidR="00CB5FAD" w:rsidRPr="00C87941" w:rsidRDefault="00CB5FAD">
      <w:pPr>
        <w:pStyle w:val="FootnoteText"/>
      </w:pPr>
      <w:r>
        <w:rPr>
          <w:rStyle w:val="FootnoteReference"/>
        </w:rPr>
        <w:footnoteRef/>
      </w:r>
      <w:r>
        <w:t xml:space="preserve"> David M. Loades, </w:t>
      </w:r>
      <w:r>
        <w:rPr>
          <w:i/>
        </w:rPr>
        <w:t xml:space="preserve">Mary Tudor: a life </w:t>
      </w:r>
      <w:r>
        <w:t>(Oxford: Basil Blackwell, 1989), 339-45.</w:t>
      </w:r>
    </w:p>
  </w:footnote>
  <w:footnote w:id="11">
    <w:p w:rsidR="00CB5FAD" w:rsidRPr="009D47C9" w:rsidRDefault="00CB5FAD">
      <w:pPr>
        <w:pStyle w:val="FootnoteText"/>
      </w:pPr>
      <w:r>
        <w:rPr>
          <w:rStyle w:val="FootnoteReference"/>
        </w:rPr>
        <w:footnoteRef/>
      </w:r>
      <w:r>
        <w:t xml:space="preserve"> David M. Loades, </w:t>
      </w:r>
      <w:r>
        <w:rPr>
          <w:i/>
        </w:rPr>
        <w:t xml:space="preserve">Mary Tudor: the tragical history of the first Queen of England </w:t>
      </w:r>
      <w:r>
        <w:t>(Kew: The National Archive, 2006), 183 and 212-9; quotation on 212.</w:t>
      </w:r>
    </w:p>
  </w:footnote>
  <w:footnote w:id="12">
    <w:p w:rsidR="00CB5FAD" w:rsidRPr="009F051A" w:rsidRDefault="00CB5FAD">
      <w:pPr>
        <w:pStyle w:val="FootnoteText"/>
      </w:pPr>
      <w:r>
        <w:rPr>
          <w:rStyle w:val="FootnoteReference"/>
        </w:rPr>
        <w:footnoteRef/>
      </w:r>
      <w:r>
        <w:t xml:space="preserve"> Lucy E. C.  Wooding, </w:t>
      </w:r>
      <w:r>
        <w:rPr>
          <w:i/>
        </w:rPr>
        <w:t>Rethinking Tudor Catholicism in Reformation England</w:t>
      </w:r>
      <w:r>
        <w:t xml:space="preserve"> (Oxford: OUP, 2000), 114-151.</w:t>
      </w:r>
    </w:p>
  </w:footnote>
  <w:footnote w:id="13">
    <w:p w:rsidR="00CB5FAD" w:rsidRPr="00403845" w:rsidRDefault="00CB5F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Reforming Catholicism in the England of Mary Tudor: the achievement of Friar Bartolomé Carranza</w:t>
      </w:r>
      <w:r>
        <w:t>, ed., John Edwards and Ronald Truman (Aldershot and Burlington, VT: Ashgate, 2005).</w:t>
      </w:r>
    </w:p>
  </w:footnote>
  <w:footnote w:id="14">
    <w:p w:rsidR="00CB5FAD" w:rsidRPr="009952C0" w:rsidRDefault="00CB5FAD">
      <w:pPr>
        <w:pStyle w:val="FootnoteText"/>
      </w:pPr>
      <w:r>
        <w:rPr>
          <w:rStyle w:val="FootnoteReference"/>
        </w:rPr>
        <w:footnoteRef/>
      </w:r>
      <w:r>
        <w:t xml:space="preserve"> Classic statements of the view that Pole  was too conservative and legalistic to utilize the Jesuits or embrace the Counter Reformation are Rex Pogson, ‘Cardinal Pole: papal legate in England in Mary Tudor’s reign’, unpublished PhD dissertation, Cambridge, 1972 and </w:t>
      </w:r>
      <w:r>
        <w:rPr>
          <w:i/>
        </w:rPr>
        <w:t xml:space="preserve">idem, </w:t>
      </w:r>
      <w:r>
        <w:t xml:space="preserve">‘Reginald Pole and the priorities of government in Mary Tudor’s Church’, </w:t>
      </w:r>
      <w:r>
        <w:rPr>
          <w:i/>
        </w:rPr>
        <w:t xml:space="preserve">Historical Journal </w:t>
      </w:r>
      <w:r>
        <w:t>18 (1975), 3-21.</w:t>
      </w:r>
    </w:p>
  </w:footnote>
  <w:footnote w:id="15">
    <w:p w:rsidR="00CB5FAD" w:rsidRPr="009952C0" w:rsidRDefault="00CB5FAD">
      <w:pPr>
        <w:pStyle w:val="FootnoteText"/>
      </w:pPr>
      <w:r>
        <w:rPr>
          <w:rStyle w:val="FootnoteReference"/>
        </w:rPr>
        <w:footnoteRef/>
      </w:r>
      <w:r>
        <w:t xml:space="preserve"> William Wizeman, </w:t>
      </w:r>
      <w:r>
        <w:rPr>
          <w:i/>
        </w:rPr>
        <w:t xml:space="preserve">The Theology and spirituality of Mary Tudor’s Church </w:t>
      </w:r>
      <w:r>
        <w:t>(Aldershot and Burlington, VT: Ashgate,2006).</w:t>
      </w:r>
    </w:p>
  </w:footnote>
  <w:footnote w:id="16">
    <w:p w:rsidR="00CB5FAD" w:rsidRPr="001C1E6C" w:rsidRDefault="00CB5FAD">
      <w:pPr>
        <w:pStyle w:val="FootnoteText"/>
      </w:pPr>
      <w:r>
        <w:rPr>
          <w:rStyle w:val="FootnoteReference"/>
        </w:rPr>
        <w:footnoteRef/>
      </w:r>
      <w:r>
        <w:t xml:space="preserve"> Dickens, </w:t>
      </w:r>
      <w:r>
        <w:rPr>
          <w:i/>
        </w:rPr>
        <w:t>English Reformation</w:t>
      </w:r>
      <w:r>
        <w:t xml:space="preserve"> (1989), 312.</w:t>
      </w:r>
    </w:p>
  </w:footnote>
  <w:footnote w:id="17">
    <w:p w:rsidR="00CB5FAD" w:rsidRPr="003C2533" w:rsidRDefault="00CB5FAD">
      <w:pPr>
        <w:pStyle w:val="FootnoteText"/>
      </w:pPr>
      <w:r>
        <w:rPr>
          <w:rStyle w:val="FootnoteReference"/>
        </w:rPr>
        <w:footnoteRef/>
      </w:r>
      <w:r>
        <w:t xml:space="preserve"> Haigh, </w:t>
      </w:r>
      <w:r>
        <w:rPr>
          <w:i/>
        </w:rPr>
        <w:t>English Reformations</w:t>
      </w:r>
      <w:r>
        <w:t>, 234.</w:t>
      </w:r>
    </w:p>
  </w:footnote>
  <w:footnote w:id="18">
    <w:p w:rsidR="00CB5FAD" w:rsidRPr="00E921F2" w:rsidRDefault="00CB5FAD">
      <w:pPr>
        <w:pStyle w:val="FootnoteText"/>
      </w:pPr>
      <w:r>
        <w:rPr>
          <w:rStyle w:val="FootnoteReference"/>
        </w:rPr>
        <w:footnoteRef/>
      </w:r>
      <w:r>
        <w:t xml:space="preserve"> Eamon Duffy, </w:t>
      </w:r>
      <w:r>
        <w:rPr>
          <w:i/>
        </w:rPr>
        <w:t xml:space="preserve">Fires of Faith: Catholic England under Mary Tudor </w:t>
      </w:r>
      <w:r>
        <w:t>(New Haven, CT and London: Yale University Pres, 2009).</w:t>
      </w:r>
    </w:p>
  </w:footnote>
  <w:footnote w:id="19">
    <w:p w:rsidR="00CB5FAD" w:rsidRPr="00995B47" w:rsidRDefault="00CB5FAD">
      <w:pPr>
        <w:pStyle w:val="FootnoteText"/>
      </w:pPr>
      <w:r>
        <w:rPr>
          <w:rStyle w:val="FootnoteReference"/>
        </w:rPr>
        <w:footnoteRef/>
      </w:r>
      <w:r>
        <w:t xml:space="preserve"> Thomas S. Freeman, ‘Burning zeal: Mary Tudor and the Marian persecution’ in </w:t>
      </w:r>
      <w:r>
        <w:rPr>
          <w:i/>
        </w:rPr>
        <w:t xml:space="preserve">Mary Tudor: old and new perspectives, </w:t>
      </w:r>
      <w:r>
        <w:t>ed. S. Doran and T. S. Freeman (Basingstoke: Palgrave, 2011),  171-205.</w:t>
      </w:r>
    </w:p>
  </w:footnote>
  <w:footnote w:id="20">
    <w:p w:rsidR="00CB5FAD" w:rsidRPr="002E2F8C" w:rsidRDefault="00CB5FAD">
      <w:pPr>
        <w:pStyle w:val="FootnoteText"/>
      </w:pPr>
      <w:r>
        <w:rPr>
          <w:rStyle w:val="FootnoteReference"/>
        </w:rPr>
        <w:footnoteRef/>
      </w:r>
      <w:r>
        <w:t xml:space="preserve"> John F. McDiarmid, ‘”To content god quietlie”: the troubles of Sir John Cheke under Mary’, in </w:t>
      </w:r>
      <w:r>
        <w:rPr>
          <w:i/>
        </w:rPr>
        <w:t>Catholic renewal and Protestant resistance in Marian England</w:t>
      </w:r>
      <w:r>
        <w:t xml:space="preserve">, ed., E. Evenden and V. Westbrook (Farnham and Burlington, VT: Ashgate, 2015),  217 and 222.  Hereafter this book will be referenced as </w:t>
      </w:r>
      <w:r>
        <w:rPr>
          <w:i/>
        </w:rPr>
        <w:t>CRPR</w:t>
      </w:r>
      <w:r>
        <w:t>.</w:t>
      </w:r>
    </w:p>
  </w:footnote>
  <w:footnote w:id="21">
    <w:p w:rsidR="00CB5FAD" w:rsidRDefault="00CB5FAD">
      <w:pPr>
        <w:pStyle w:val="FootnoteText"/>
      </w:pPr>
      <w:r>
        <w:rPr>
          <w:rStyle w:val="FootnoteReference"/>
        </w:rPr>
        <w:footnoteRef/>
      </w:r>
      <w:r>
        <w:t xml:space="preserve"> LMA, DL/C/614, 2v.  The incident almost certainly happened before—and caused—Rogers’s incarceration in Newgate, although Rogers was not formally questioned about it for almost a year.</w:t>
      </w:r>
    </w:p>
  </w:footnote>
  <w:footnote w:id="22">
    <w:p w:rsidR="00CB5FAD" w:rsidRPr="00230F77" w:rsidRDefault="00CB5FAD">
      <w:pPr>
        <w:pStyle w:val="FootnoteText"/>
      </w:pPr>
      <w:r>
        <w:rPr>
          <w:rStyle w:val="FootnoteReference"/>
        </w:rPr>
        <w:footnoteRef/>
      </w:r>
      <w:r>
        <w:t xml:space="preserve"> ‘’The Marian Counter-Reformation in print’ in </w:t>
      </w:r>
      <w:r>
        <w:rPr>
          <w:i/>
        </w:rPr>
        <w:t>CRPR</w:t>
      </w:r>
      <w:r>
        <w:t>, 149.</w:t>
      </w:r>
    </w:p>
  </w:footnote>
  <w:footnote w:id="23">
    <w:p w:rsidR="00CB5FAD" w:rsidRPr="00174D51" w:rsidRDefault="00CB5FAD">
      <w:pPr>
        <w:pStyle w:val="FootnoteText"/>
      </w:pPr>
      <w:r>
        <w:rPr>
          <w:rStyle w:val="FootnoteReference"/>
        </w:rPr>
        <w:footnoteRef/>
      </w:r>
      <w:r>
        <w:t xml:space="preserve"> ‘Spanish involvement in the restoration of Catholicism during the reign of Philip and Mary’ in </w:t>
      </w:r>
      <w:r>
        <w:rPr>
          <w:i/>
        </w:rPr>
        <w:t>CRPR</w:t>
      </w:r>
      <w:r>
        <w:t>, 48.</w:t>
      </w:r>
    </w:p>
  </w:footnote>
  <w:footnote w:id="24">
    <w:p w:rsidR="00CB5FAD" w:rsidRDefault="00CB5FAD">
      <w:pPr>
        <w:pStyle w:val="FootnoteText"/>
      </w:pPr>
      <w:r>
        <w:rPr>
          <w:rStyle w:val="FootnoteReference"/>
        </w:rPr>
        <w:footnoteRef/>
      </w:r>
      <w:r>
        <w:t xml:space="preserve"> Ibid, 48.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AD" w:rsidRDefault="00CB5F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AD" w:rsidRDefault="00CB5F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AD" w:rsidRDefault="00CB5F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E8"/>
    <w:rsid w:val="00001C8D"/>
    <w:rsid w:val="000047F8"/>
    <w:rsid w:val="000074C4"/>
    <w:rsid w:val="00007A6D"/>
    <w:rsid w:val="00014B34"/>
    <w:rsid w:val="000251DC"/>
    <w:rsid w:val="000255EC"/>
    <w:rsid w:val="00027B00"/>
    <w:rsid w:val="00030895"/>
    <w:rsid w:val="000319F0"/>
    <w:rsid w:val="000343CF"/>
    <w:rsid w:val="00036EA2"/>
    <w:rsid w:val="00037D4C"/>
    <w:rsid w:val="00040913"/>
    <w:rsid w:val="00066213"/>
    <w:rsid w:val="0007491A"/>
    <w:rsid w:val="00076140"/>
    <w:rsid w:val="00084563"/>
    <w:rsid w:val="000914CF"/>
    <w:rsid w:val="000A13FB"/>
    <w:rsid w:val="000A3EB3"/>
    <w:rsid w:val="000A57E2"/>
    <w:rsid w:val="000A70CA"/>
    <w:rsid w:val="000B7B2B"/>
    <w:rsid w:val="000C1BAC"/>
    <w:rsid w:val="000C75F9"/>
    <w:rsid w:val="000C7A19"/>
    <w:rsid w:val="000D3674"/>
    <w:rsid w:val="000D3800"/>
    <w:rsid w:val="000E0036"/>
    <w:rsid w:val="000E3B0F"/>
    <w:rsid w:val="000F5EC9"/>
    <w:rsid w:val="00114C96"/>
    <w:rsid w:val="00130239"/>
    <w:rsid w:val="001443D6"/>
    <w:rsid w:val="001530ED"/>
    <w:rsid w:val="00164802"/>
    <w:rsid w:val="00165327"/>
    <w:rsid w:val="0017245E"/>
    <w:rsid w:val="001731FD"/>
    <w:rsid w:val="00174D51"/>
    <w:rsid w:val="00175AF2"/>
    <w:rsid w:val="001772E8"/>
    <w:rsid w:val="001779FE"/>
    <w:rsid w:val="00182624"/>
    <w:rsid w:val="001A17AC"/>
    <w:rsid w:val="001A66ED"/>
    <w:rsid w:val="001A7841"/>
    <w:rsid w:val="001B2EAA"/>
    <w:rsid w:val="001C1E6C"/>
    <w:rsid w:val="001D071C"/>
    <w:rsid w:val="001D558F"/>
    <w:rsid w:val="001D6B31"/>
    <w:rsid w:val="001E6082"/>
    <w:rsid w:val="001E71C6"/>
    <w:rsid w:val="001F090C"/>
    <w:rsid w:val="001F71F0"/>
    <w:rsid w:val="00204D7B"/>
    <w:rsid w:val="00205F87"/>
    <w:rsid w:val="002104F7"/>
    <w:rsid w:val="00214900"/>
    <w:rsid w:val="00220356"/>
    <w:rsid w:val="0022701E"/>
    <w:rsid w:val="00230F77"/>
    <w:rsid w:val="00232A43"/>
    <w:rsid w:val="00243B6B"/>
    <w:rsid w:val="002622F9"/>
    <w:rsid w:val="00265C35"/>
    <w:rsid w:val="00275DA1"/>
    <w:rsid w:val="0029080E"/>
    <w:rsid w:val="002913C6"/>
    <w:rsid w:val="00293A16"/>
    <w:rsid w:val="00293F8F"/>
    <w:rsid w:val="002C179D"/>
    <w:rsid w:val="002D0A99"/>
    <w:rsid w:val="002D5B65"/>
    <w:rsid w:val="002D66F5"/>
    <w:rsid w:val="002E2F8C"/>
    <w:rsid w:val="002E6D37"/>
    <w:rsid w:val="002F322E"/>
    <w:rsid w:val="003078F6"/>
    <w:rsid w:val="00307F30"/>
    <w:rsid w:val="00311860"/>
    <w:rsid w:val="0031726B"/>
    <w:rsid w:val="00317BA3"/>
    <w:rsid w:val="00321B82"/>
    <w:rsid w:val="00340488"/>
    <w:rsid w:val="003418CC"/>
    <w:rsid w:val="00344FFF"/>
    <w:rsid w:val="00355FC9"/>
    <w:rsid w:val="003567DF"/>
    <w:rsid w:val="00360736"/>
    <w:rsid w:val="00363EE5"/>
    <w:rsid w:val="00372760"/>
    <w:rsid w:val="00390182"/>
    <w:rsid w:val="0039280A"/>
    <w:rsid w:val="003A09B8"/>
    <w:rsid w:val="003A1A2B"/>
    <w:rsid w:val="003B4060"/>
    <w:rsid w:val="003C1F7A"/>
    <w:rsid w:val="003C2533"/>
    <w:rsid w:val="003C3BED"/>
    <w:rsid w:val="003E1442"/>
    <w:rsid w:val="003E3334"/>
    <w:rsid w:val="003E4124"/>
    <w:rsid w:val="003F51CB"/>
    <w:rsid w:val="003F773A"/>
    <w:rsid w:val="004004F6"/>
    <w:rsid w:val="00400F76"/>
    <w:rsid w:val="00402648"/>
    <w:rsid w:val="00403845"/>
    <w:rsid w:val="004141B9"/>
    <w:rsid w:val="004161C5"/>
    <w:rsid w:val="0041686F"/>
    <w:rsid w:val="004310DF"/>
    <w:rsid w:val="00433C96"/>
    <w:rsid w:val="00440872"/>
    <w:rsid w:val="00442D10"/>
    <w:rsid w:val="00451393"/>
    <w:rsid w:val="0047355C"/>
    <w:rsid w:val="00475795"/>
    <w:rsid w:val="0048305E"/>
    <w:rsid w:val="004944D3"/>
    <w:rsid w:val="0049602A"/>
    <w:rsid w:val="00497EDB"/>
    <w:rsid w:val="004B1D30"/>
    <w:rsid w:val="004B2DE7"/>
    <w:rsid w:val="004B6ED3"/>
    <w:rsid w:val="004D01FB"/>
    <w:rsid w:val="004D0A98"/>
    <w:rsid w:val="004D1A86"/>
    <w:rsid w:val="004E3571"/>
    <w:rsid w:val="004E7E08"/>
    <w:rsid w:val="00500FEC"/>
    <w:rsid w:val="00506739"/>
    <w:rsid w:val="00522A43"/>
    <w:rsid w:val="00527D19"/>
    <w:rsid w:val="00540EFE"/>
    <w:rsid w:val="00541732"/>
    <w:rsid w:val="005536D2"/>
    <w:rsid w:val="00560727"/>
    <w:rsid w:val="005677EB"/>
    <w:rsid w:val="00580231"/>
    <w:rsid w:val="00581517"/>
    <w:rsid w:val="0058194F"/>
    <w:rsid w:val="00586264"/>
    <w:rsid w:val="00595313"/>
    <w:rsid w:val="0059606C"/>
    <w:rsid w:val="005A7411"/>
    <w:rsid w:val="005C1A5D"/>
    <w:rsid w:val="005C301B"/>
    <w:rsid w:val="005C592F"/>
    <w:rsid w:val="005C5B7E"/>
    <w:rsid w:val="005C5C23"/>
    <w:rsid w:val="005D035D"/>
    <w:rsid w:val="005D2679"/>
    <w:rsid w:val="005E02C6"/>
    <w:rsid w:val="005E5CF9"/>
    <w:rsid w:val="005E7F7C"/>
    <w:rsid w:val="005F1173"/>
    <w:rsid w:val="00612185"/>
    <w:rsid w:val="00630FAA"/>
    <w:rsid w:val="0064759E"/>
    <w:rsid w:val="006660BB"/>
    <w:rsid w:val="00667DB5"/>
    <w:rsid w:val="00677F7B"/>
    <w:rsid w:val="006827C8"/>
    <w:rsid w:val="006B0C46"/>
    <w:rsid w:val="006B2BF9"/>
    <w:rsid w:val="006B5BC4"/>
    <w:rsid w:val="006B65E8"/>
    <w:rsid w:val="006C31DE"/>
    <w:rsid w:val="006D3AAA"/>
    <w:rsid w:val="006D3AC8"/>
    <w:rsid w:val="006D4DAB"/>
    <w:rsid w:val="006D65BD"/>
    <w:rsid w:val="00703FAD"/>
    <w:rsid w:val="00704681"/>
    <w:rsid w:val="00704AD0"/>
    <w:rsid w:val="0070785C"/>
    <w:rsid w:val="00710886"/>
    <w:rsid w:val="00717910"/>
    <w:rsid w:val="00730A10"/>
    <w:rsid w:val="007612AE"/>
    <w:rsid w:val="00775397"/>
    <w:rsid w:val="00782405"/>
    <w:rsid w:val="00787B4B"/>
    <w:rsid w:val="007950EC"/>
    <w:rsid w:val="007A0755"/>
    <w:rsid w:val="007A201E"/>
    <w:rsid w:val="007A66F9"/>
    <w:rsid w:val="007C23B3"/>
    <w:rsid w:val="007D5829"/>
    <w:rsid w:val="007F132E"/>
    <w:rsid w:val="007F52E9"/>
    <w:rsid w:val="0080752C"/>
    <w:rsid w:val="008174BD"/>
    <w:rsid w:val="00820095"/>
    <w:rsid w:val="00825DFD"/>
    <w:rsid w:val="00827381"/>
    <w:rsid w:val="00842A02"/>
    <w:rsid w:val="00845605"/>
    <w:rsid w:val="00851C7E"/>
    <w:rsid w:val="0085653C"/>
    <w:rsid w:val="00875ABB"/>
    <w:rsid w:val="00887B1B"/>
    <w:rsid w:val="00896BBE"/>
    <w:rsid w:val="008A7215"/>
    <w:rsid w:val="008A740F"/>
    <w:rsid w:val="008B5EFE"/>
    <w:rsid w:val="008F2A4B"/>
    <w:rsid w:val="008F600A"/>
    <w:rsid w:val="009124B7"/>
    <w:rsid w:val="00913DB0"/>
    <w:rsid w:val="00927EE8"/>
    <w:rsid w:val="00932055"/>
    <w:rsid w:val="00932978"/>
    <w:rsid w:val="00941349"/>
    <w:rsid w:val="00955F1E"/>
    <w:rsid w:val="00956224"/>
    <w:rsid w:val="00960E5F"/>
    <w:rsid w:val="00964C8C"/>
    <w:rsid w:val="00973B5B"/>
    <w:rsid w:val="00984654"/>
    <w:rsid w:val="00985635"/>
    <w:rsid w:val="00993A2D"/>
    <w:rsid w:val="0099508F"/>
    <w:rsid w:val="009952C0"/>
    <w:rsid w:val="00995B47"/>
    <w:rsid w:val="009A7CD7"/>
    <w:rsid w:val="009B3A3B"/>
    <w:rsid w:val="009B3EF6"/>
    <w:rsid w:val="009C5CBF"/>
    <w:rsid w:val="009C7FCA"/>
    <w:rsid w:val="009D47C9"/>
    <w:rsid w:val="009D68EA"/>
    <w:rsid w:val="009D69E5"/>
    <w:rsid w:val="009D6DD8"/>
    <w:rsid w:val="009E5414"/>
    <w:rsid w:val="009F051A"/>
    <w:rsid w:val="009F15B0"/>
    <w:rsid w:val="009F1727"/>
    <w:rsid w:val="009F17B4"/>
    <w:rsid w:val="00A00AFB"/>
    <w:rsid w:val="00A01E97"/>
    <w:rsid w:val="00A02A0B"/>
    <w:rsid w:val="00A256CD"/>
    <w:rsid w:val="00A266FD"/>
    <w:rsid w:val="00A346C7"/>
    <w:rsid w:val="00A37379"/>
    <w:rsid w:val="00A410FC"/>
    <w:rsid w:val="00A44DFA"/>
    <w:rsid w:val="00A5770D"/>
    <w:rsid w:val="00A62DA9"/>
    <w:rsid w:val="00A638F1"/>
    <w:rsid w:val="00A74EBA"/>
    <w:rsid w:val="00A755BB"/>
    <w:rsid w:val="00A86A5E"/>
    <w:rsid w:val="00A91398"/>
    <w:rsid w:val="00A94427"/>
    <w:rsid w:val="00AB5C9F"/>
    <w:rsid w:val="00AC191C"/>
    <w:rsid w:val="00AD7434"/>
    <w:rsid w:val="00B01F42"/>
    <w:rsid w:val="00B1064A"/>
    <w:rsid w:val="00B13A00"/>
    <w:rsid w:val="00B4072C"/>
    <w:rsid w:val="00B45EBD"/>
    <w:rsid w:val="00B532B8"/>
    <w:rsid w:val="00B544E7"/>
    <w:rsid w:val="00B62FDD"/>
    <w:rsid w:val="00B647EB"/>
    <w:rsid w:val="00B8031C"/>
    <w:rsid w:val="00B83CAC"/>
    <w:rsid w:val="00B900B6"/>
    <w:rsid w:val="00B936E6"/>
    <w:rsid w:val="00B93A67"/>
    <w:rsid w:val="00B94A46"/>
    <w:rsid w:val="00BA0C08"/>
    <w:rsid w:val="00BB7287"/>
    <w:rsid w:val="00BC21A0"/>
    <w:rsid w:val="00BD052B"/>
    <w:rsid w:val="00BD3C17"/>
    <w:rsid w:val="00BE5D03"/>
    <w:rsid w:val="00BF0814"/>
    <w:rsid w:val="00C003D0"/>
    <w:rsid w:val="00C010C3"/>
    <w:rsid w:val="00C012ED"/>
    <w:rsid w:val="00C22148"/>
    <w:rsid w:val="00C332DE"/>
    <w:rsid w:val="00C351F8"/>
    <w:rsid w:val="00C40C3D"/>
    <w:rsid w:val="00C47084"/>
    <w:rsid w:val="00C642B8"/>
    <w:rsid w:val="00C64CDD"/>
    <w:rsid w:val="00C7567B"/>
    <w:rsid w:val="00C75FA4"/>
    <w:rsid w:val="00C80616"/>
    <w:rsid w:val="00C875EC"/>
    <w:rsid w:val="00C87941"/>
    <w:rsid w:val="00C902AC"/>
    <w:rsid w:val="00CA220B"/>
    <w:rsid w:val="00CA2C97"/>
    <w:rsid w:val="00CA5E7E"/>
    <w:rsid w:val="00CB4FB9"/>
    <w:rsid w:val="00CB5FAD"/>
    <w:rsid w:val="00CC287A"/>
    <w:rsid w:val="00CC5F81"/>
    <w:rsid w:val="00CD3FAD"/>
    <w:rsid w:val="00CE64B9"/>
    <w:rsid w:val="00D04E17"/>
    <w:rsid w:val="00D10FF3"/>
    <w:rsid w:val="00D159D3"/>
    <w:rsid w:val="00D17B80"/>
    <w:rsid w:val="00D201A5"/>
    <w:rsid w:val="00D42148"/>
    <w:rsid w:val="00D43D80"/>
    <w:rsid w:val="00D64FA9"/>
    <w:rsid w:val="00DA01A1"/>
    <w:rsid w:val="00DA3194"/>
    <w:rsid w:val="00DA60C4"/>
    <w:rsid w:val="00DB75CA"/>
    <w:rsid w:val="00DC1133"/>
    <w:rsid w:val="00DC1580"/>
    <w:rsid w:val="00DC3C14"/>
    <w:rsid w:val="00DC4806"/>
    <w:rsid w:val="00DE50B5"/>
    <w:rsid w:val="00DF5E86"/>
    <w:rsid w:val="00E201E3"/>
    <w:rsid w:val="00E2043A"/>
    <w:rsid w:val="00E232F7"/>
    <w:rsid w:val="00E24A0D"/>
    <w:rsid w:val="00E25EBE"/>
    <w:rsid w:val="00E27C61"/>
    <w:rsid w:val="00E32A10"/>
    <w:rsid w:val="00E371B0"/>
    <w:rsid w:val="00E67ACC"/>
    <w:rsid w:val="00E75B8B"/>
    <w:rsid w:val="00E921F2"/>
    <w:rsid w:val="00E97636"/>
    <w:rsid w:val="00EA65DF"/>
    <w:rsid w:val="00EC4142"/>
    <w:rsid w:val="00EF2A86"/>
    <w:rsid w:val="00EF699E"/>
    <w:rsid w:val="00F04C7A"/>
    <w:rsid w:val="00F17C56"/>
    <w:rsid w:val="00F23853"/>
    <w:rsid w:val="00F66D02"/>
    <w:rsid w:val="00F675DD"/>
    <w:rsid w:val="00F77E63"/>
    <w:rsid w:val="00F82301"/>
    <w:rsid w:val="00F865AA"/>
    <w:rsid w:val="00F96D66"/>
    <w:rsid w:val="00FC3A3B"/>
    <w:rsid w:val="00FC6862"/>
    <w:rsid w:val="00FD5C82"/>
    <w:rsid w:val="00FE1613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806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6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06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B0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C46"/>
  </w:style>
  <w:style w:type="paragraph" w:styleId="Footer">
    <w:name w:val="footer"/>
    <w:basedOn w:val="Normal"/>
    <w:link w:val="FooterChar"/>
    <w:uiPriority w:val="99"/>
    <w:unhideWhenUsed/>
    <w:rsid w:val="006B0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C46"/>
  </w:style>
  <w:style w:type="paragraph" w:styleId="DocumentMap">
    <w:name w:val="Document Map"/>
    <w:basedOn w:val="Normal"/>
    <w:link w:val="DocumentMapChar"/>
    <w:uiPriority w:val="99"/>
    <w:semiHidden/>
    <w:unhideWhenUsed/>
    <w:rsid w:val="0003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0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806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6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06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B0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C46"/>
  </w:style>
  <w:style w:type="paragraph" w:styleId="Footer">
    <w:name w:val="footer"/>
    <w:basedOn w:val="Normal"/>
    <w:link w:val="FooterChar"/>
    <w:uiPriority w:val="99"/>
    <w:unhideWhenUsed/>
    <w:rsid w:val="006B0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C46"/>
  </w:style>
  <w:style w:type="paragraph" w:styleId="DocumentMap">
    <w:name w:val="Document Map"/>
    <w:basedOn w:val="Normal"/>
    <w:link w:val="DocumentMapChar"/>
    <w:uiPriority w:val="99"/>
    <w:semiHidden/>
    <w:unhideWhenUsed/>
    <w:rsid w:val="0003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0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491B-E6DA-48A5-BDEF-002AAEDD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19161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Thomas S</dc:creator>
  <cp:lastModifiedBy>Freeman, Thomas S</cp:lastModifiedBy>
  <cp:revision>2</cp:revision>
  <dcterms:created xsi:type="dcterms:W3CDTF">2017-05-25T15:26:00Z</dcterms:created>
  <dcterms:modified xsi:type="dcterms:W3CDTF">2017-05-25T15:26:00Z</dcterms:modified>
</cp:coreProperties>
</file>