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1081" w14:textId="77777777" w:rsidR="006E7ED5" w:rsidRPr="00725735" w:rsidRDefault="006E7ED5" w:rsidP="006E7ED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 w:rsidRPr="00725735">
        <w:rPr>
          <w:rFonts w:ascii="Times New Roman" w:hAnsi="Times New Roman"/>
          <w:sz w:val="24"/>
          <w:lang w:val="en-US"/>
        </w:rPr>
        <w:t xml:space="preserve">Appendix B. Coefficient estimates from ordinary least squares regression models for change in depressive symptoms. Results using multiple </w:t>
      </w:r>
      <w:proofErr w:type="gramStart"/>
      <w:r w:rsidRPr="00725735">
        <w:rPr>
          <w:rFonts w:ascii="Times New Roman" w:hAnsi="Times New Roman"/>
          <w:sz w:val="24"/>
          <w:lang w:val="en-US"/>
        </w:rPr>
        <w:t>imputation</w:t>
      </w:r>
      <w:proofErr w:type="gramEnd"/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3652"/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6E7ED5" w:rsidRPr="00725735" w14:paraId="4EC0971B" w14:textId="77777777" w:rsidTr="007D5E2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0055E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AE58D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Women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53C8C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Men</w:t>
            </w:r>
          </w:p>
        </w:tc>
      </w:tr>
      <w:tr w:rsidR="006E7ED5" w:rsidRPr="00725735" w14:paraId="75D315F4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71D541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EEE6A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Bulgaria / Czech Republic / Georgia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1D25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France</w:t>
            </w: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D69A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Bulgaria / Czech Republic / Georgia</w:t>
            </w:r>
          </w:p>
        </w:tc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CBAB2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France</w:t>
            </w:r>
          </w:p>
        </w:tc>
      </w:tr>
      <w:tr w:rsidR="006E7ED5" w:rsidRPr="00725735" w14:paraId="1F40F88A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DFE22EF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98EF6E0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CA1D739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7CA9C78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2E17D9D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F9CB797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3C079B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BFC806E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0D7BB7F" w14:textId="77777777" w:rsidR="006E7ED5" w:rsidRPr="00725735" w:rsidRDefault="006E7ED5" w:rsidP="007D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Model 2</w:t>
            </w:r>
          </w:p>
        </w:tc>
      </w:tr>
      <w:tr w:rsidR="006E7ED5" w:rsidRPr="00725735" w14:paraId="77DE6F3F" w14:textId="77777777" w:rsidTr="007D5E2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B9449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Number of children (T1) (ref.: 2)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4794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E756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C03E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EBA4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D8F0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42FA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59B3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B27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E7ED5" w:rsidRPr="00725735" w14:paraId="6A0D8746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B5EB2EF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 xml:space="preserve"> 0 children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B0335A4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1.09**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52DC4F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1.05**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EA499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216FF0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4368A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0.81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01344F4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0.80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4946F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-0.65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C33609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-0.66</w:t>
            </w:r>
          </w:p>
        </w:tc>
      </w:tr>
      <w:tr w:rsidR="006E7ED5" w:rsidRPr="00725735" w14:paraId="3D3C5280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0B8364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 xml:space="preserve"> 1 child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BC499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5F79B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BCD889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1.36*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6FD251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1.33*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861F8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C747540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C3181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97F8C7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-0.33</w:t>
            </w:r>
          </w:p>
        </w:tc>
      </w:tr>
      <w:tr w:rsidR="006E7ED5" w:rsidRPr="00725735" w14:paraId="41CFABBD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35C4DA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 xml:space="preserve"> 3 children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FCDBC8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2C779DE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9AEAE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7317A2E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28F24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DE3772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A5E88C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7B1246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-0.35</w:t>
            </w:r>
          </w:p>
        </w:tc>
      </w:tr>
      <w:tr w:rsidR="006E7ED5" w:rsidRPr="00725735" w14:paraId="5CA9A387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6FC3D56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 xml:space="preserve"> 4+ children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5C9F79E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02D270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F3F7EC6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1EF7174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E0753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2FC8AA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D5F1450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39B020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0.07</w:t>
            </w:r>
          </w:p>
        </w:tc>
      </w:tr>
      <w:tr w:rsidR="006E7ED5" w:rsidRPr="00725735" w14:paraId="269A6347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2F35BD7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Lives with partner (T1)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D173339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-1.02***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E15161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-0.99***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FDE22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-1.28**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BD9ABA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-1.14**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9A724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-1.36***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1E83A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-1.18***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5AE700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-0.74*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00D3AE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-0.70*</w:t>
            </w:r>
          </w:p>
        </w:tc>
      </w:tr>
      <w:tr w:rsidR="006E7ED5" w:rsidRPr="00725735" w14:paraId="6FD6423C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BDF51B8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Partner loss between T1 and T2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14EB8C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2.38***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413F906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2.37***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D451446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E27AB0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2D81C9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2.67***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7CD441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2.48***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B9F68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3.26**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133808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3.08**</w:t>
            </w:r>
          </w:p>
        </w:tc>
      </w:tr>
      <w:tr w:rsidR="006E7ED5" w:rsidRPr="00725735" w14:paraId="1149498F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9B7E26C" w14:textId="77777777" w:rsidR="006E7ED5" w:rsidRPr="00725735" w:rsidRDefault="006E7ED5" w:rsidP="007D5E2C">
            <w:pPr>
              <w:pStyle w:val="NoSpacing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Received emotional support (T2)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E760EF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22A043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F1431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2A7CCA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621F5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15856A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-0.71*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501BBB4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E8AE39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0.55</w:t>
            </w:r>
          </w:p>
        </w:tc>
      </w:tr>
      <w:tr w:rsidR="006E7ED5" w:rsidRPr="00725735" w14:paraId="45FE10EF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397AD8B" w14:textId="77777777" w:rsidR="006E7ED5" w:rsidRPr="00725735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Provided emotional support (T2)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CE988F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638FD1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35166FE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4E8F4B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01E806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C2F278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80DA30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E34ADD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0.03</w:t>
            </w:r>
          </w:p>
        </w:tc>
      </w:tr>
      <w:tr w:rsidR="006E7ED5" w:rsidRPr="00725735" w14:paraId="26740E1A" w14:textId="77777777" w:rsidTr="007D5E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EDC7605" w14:textId="77777777" w:rsidR="006E7ED5" w:rsidRPr="00725735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Received financial support (T2)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AA8657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948B92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5F3045A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6FAB09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A56282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650994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-0.36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D14D23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2D091BE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b/>
                <w:sz w:val="24"/>
              </w:rPr>
              <w:t>1.03</w:t>
            </w:r>
          </w:p>
        </w:tc>
      </w:tr>
      <w:tr w:rsidR="006E7ED5" w:rsidRPr="00725735" w14:paraId="3C6A12A6" w14:textId="77777777" w:rsidTr="007D5E2C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DBA62" w14:textId="77777777" w:rsidR="006E7ED5" w:rsidRPr="00725735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Provided financial support (T2)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4319F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0697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9F53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C8D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322D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B4EC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B400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E3DEB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b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-0.06</w:t>
            </w:r>
          </w:p>
        </w:tc>
      </w:tr>
      <w:tr w:rsidR="006E7ED5" w:rsidRPr="00725735" w14:paraId="499ED9BE" w14:textId="77777777" w:rsidTr="007D5E2C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3F93" w14:textId="77777777" w:rsidR="006E7ED5" w:rsidRPr="00725735" w:rsidRDefault="006E7ED5" w:rsidP="007D5E2C">
            <w:pPr>
              <w:pStyle w:val="NoSpacing"/>
              <w:rPr>
                <w:rFonts w:ascii="Times New Roman" w:hAnsi="Times New Roman"/>
                <w:sz w:val="24"/>
                <w:lang w:val="en-US"/>
              </w:rPr>
            </w:pPr>
            <w:r w:rsidRPr="00725735">
              <w:rPr>
                <w:rFonts w:ascii="Times New Roman" w:hAnsi="Times New Roman"/>
                <w:sz w:val="24"/>
                <w:lang w:val="en-US"/>
              </w:rPr>
              <w:t>Observations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B90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1,778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72398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1,778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D5BF3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606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D8265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606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045F7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1,362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8F671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1,362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2FB22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459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91606" w14:textId="77777777" w:rsidR="006E7ED5" w:rsidRPr="00725735" w:rsidRDefault="006E7ED5" w:rsidP="007D5E2C">
            <w:pPr>
              <w:pStyle w:val="NoSpacing"/>
              <w:tabs>
                <w:tab w:val="decimal" w:pos="397"/>
              </w:tabs>
              <w:rPr>
                <w:rFonts w:ascii="Times New Roman" w:hAnsi="Times New Roman"/>
                <w:sz w:val="24"/>
              </w:rPr>
            </w:pPr>
            <w:r w:rsidRPr="00725735">
              <w:rPr>
                <w:rFonts w:ascii="Times New Roman" w:hAnsi="Times New Roman"/>
                <w:sz w:val="24"/>
              </w:rPr>
              <w:t>459</w:t>
            </w:r>
          </w:p>
        </w:tc>
      </w:tr>
    </w:tbl>
    <w:p w14:paraId="16445B38" w14:textId="398B656D" w:rsidR="006E7ED5" w:rsidRPr="00725735" w:rsidRDefault="006E7ED5" w:rsidP="00477286">
      <w:pPr>
        <w:keepNext/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i/>
          <w:sz w:val="24"/>
          <w:lang w:val="en-US"/>
        </w:rPr>
      </w:pPr>
      <w:r w:rsidRPr="00725735">
        <w:rPr>
          <w:rFonts w:ascii="Times New Roman" w:hAnsi="Times New Roman"/>
          <w:i/>
          <w:sz w:val="24"/>
          <w:lang w:val="en-US"/>
        </w:rPr>
        <w:t>Source: Generations and Gender Surveys, Wave 1; Weighted; Robust standard errors; Adjusted for age (T1)</w:t>
      </w:r>
      <w:r w:rsidR="009E1B4F" w:rsidRPr="00725735">
        <w:rPr>
          <w:rFonts w:ascii="Times New Roman" w:hAnsi="Times New Roman"/>
          <w:i/>
          <w:sz w:val="24"/>
          <w:lang w:val="en-US"/>
        </w:rPr>
        <w:t>, having lived with both parents in childhood</w:t>
      </w:r>
      <w:r w:rsidRPr="00725735">
        <w:rPr>
          <w:rFonts w:ascii="Times New Roman" w:hAnsi="Times New Roman"/>
          <w:i/>
          <w:sz w:val="24"/>
          <w:lang w:val="en-US"/>
        </w:rPr>
        <w:t>, educational attainment (T1), having experienced death of child (T1), financial difficulty (T1), onset of financial difficulty between T1 and T2, long-standing illness (T1), onset of long-standing illness between T1 and T2, personal care needs (T1), onset of personal care needs between T1 and T2, and country level fixed effects; Coefficient estimates that differ significantly (p &lt;.05) between Eastern European and Western European countries are in bold; Tests o</w:t>
      </w:r>
      <w:r w:rsidR="00126BA0" w:rsidRPr="00725735">
        <w:rPr>
          <w:rFonts w:ascii="Times New Roman" w:hAnsi="Times New Roman"/>
          <w:i/>
          <w:sz w:val="24"/>
          <w:lang w:val="en-US"/>
        </w:rPr>
        <w:t xml:space="preserve">f </w:t>
      </w:r>
      <w:r w:rsidRPr="00725735">
        <w:rPr>
          <w:rFonts w:ascii="Times New Roman" w:hAnsi="Times New Roman"/>
          <w:i/>
          <w:sz w:val="24"/>
          <w:lang w:val="en-US"/>
        </w:rPr>
        <w:t xml:space="preserve">East-West differences in coefficient estimates were conducted by estimating pooled models in which all covariates were interacted </w:t>
      </w:r>
      <w:r w:rsidR="000408B4" w:rsidRPr="00725735">
        <w:rPr>
          <w:rFonts w:ascii="Times New Roman" w:hAnsi="Times New Roman"/>
          <w:i/>
          <w:sz w:val="24"/>
          <w:lang w:val="en-US"/>
        </w:rPr>
        <w:t>with an East-West dummy</w:t>
      </w:r>
      <w:r w:rsidRPr="00725735">
        <w:rPr>
          <w:rFonts w:ascii="Times New Roman" w:hAnsi="Times New Roman"/>
          <w:i/>
          <w:sz w:val="24"/>
          <w:lang w:val="en-US"/>
        </w:rPr>
        <w:t>.</w:t>
      </w:r>
      <w:r w:rsidRPr="00725735">
        <w:rPr>
          <w:rFonts w:ascii="Times New Roman" w:hAnsi="Times New Roman"/>
          <w:i/>
          <w:sz w:val="24"/>
          <w:lang w:val="en-US"/>
        </w:rPr>
        <w:br/>
        <w:t xml:space="preserve">* </w:t>
      </w:r>
      <w:proofErr w:type="gramStart"/>
      <w:r w:rsidRPr="00725735">
        <w:rPr>
          <w:rFonts w:ascii="Times New Roman" w:hAnsi="Times New Roman"/>
          <w:i/>
          <w:sz w:val="24"/>
          <w:lang w:val="en-US"/>
        </w:rPr>
        <w:t>p</w:t>
      </w:r>
      <w:proofErr w:type="gramEnd"/>
      <w:r w:rsidRPr="00725735">
        <w:rPr>
          <w:rFonts w:ascii="Times New Roman" w:hAnsi="Times New Roman"/>
          <w:i/>
          <w:sz w:val="24"/>
          <w:lang w:val="en-US"/>
        </w:rPr>
        <w:t xml:space="preserve"> &lt; .05, ** p &lt; .01, *** p &lt; .001</w:t>
      </w:r>
    </w:p>
    <w:sectPr w:rsidR="006E7ED5" w:rsidRPr="00725735" w:rsidSect="006E7ED5">
      <w:footerReference w:type="default" r:id="rId8"/>
      <w:pgSz w:w="15840" w:h="12240" w:orient="landscape"/>
      <w:pgMar w:top="851" w:right="1276" w:bottom="993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AB14" w14:textId="77777777" w:rsidR="003A71AA" w:rsidRDefault="003A71AA" w:rsidP="00080391">
      <w:pPr>
        <w:spacing w:before="0" w:after="0" w:line="240" w:lineRule="auto"/>
      </w:pPr>
      <w:r>
        <w:separator/>
      </w:r>
    </w:p>
  </w:endnote>
  <w:endnote w:type="continuationSeparator" w:id="0">
    <w:p w14:paraId="797EE0C9" w14:textId="77777777" w:rsidR="003A71AA" w:rsidRDefault="003A71AA" w:rsidP="000803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2FFC" w14:textId="77777777" w:rsidR="007D5E2C" w:rsidRPr="00D845A0" w:rsidRDefault="007D5E2C" w:rsidP="000F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1BC6" w14:textId="77777777" w:rsidR="003A71AA" w:rsidRDefault="003A71AA" w:rsidP="00080391">
      <w:pPr>
        <w:spacing w:before="0" w:after="0" w:line="240" w:lineRule="auto"/>
      </w:pPr>
      <w:r>
        <w:separator/>
      </w:r>
    </w:p>
  </w:footnote>
  <w:footnote w:type="continuationSeparator" w:id="0">
    <w:p w14:paraId="044E4711" w14:textId="77777777" w:rsidR="003A71AA" w:rsidRDefault="003A71AA" w:rsidP="000803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91"/>
    <w:rsid w:val="00000AF2"/>
    <w:rsid w:val="00002148"/>
    <w:rsid w:val="00036C60"/>
    <w:rsid w:val="000408B4"/>
    <w:rsid w:val="000458CA"/>
    <w:rsid w:val="000674FE"/>
    <w:rsid w:val="00074A5B"/>
    <w:rsid w:val="00075227"/>
    <w:rsid w:val="00080391"/>
    <w:rsid w:val="00081B48"/>
    <w:rsid w:val="00083988"/>
    <w:rsid w:val="000873A9"/>
    <w:rsid w:val="0009181F"/>
    <w:rsid w:val="0009362F"/>
    <w:rsid w:val="000B60D4"/>
    <w:rsid w:val="000E1E1B"/>
    <w:rsid w:val="000F133F"/>
    <w:rsid w:val="000F41CF"/>
    <w:rsid w:val="000F5C9C"/>
    <w:rsid w:val="000F70DB"/>
    <w:rsid w:val="000F76FD"/>
    <w:rsid w:val="00126BA0"/>
    <w:rsid w:val="001317BF"/>
    <w:rsid w:val="00143420"/>
    <w:rsid w:val="00164BD5"/>
    <w:rsid w:val="00164C4E"/>
    <w:rsid w:val="00167277"/>
    <w:rsid w:val="00176C9D"/>
    <w:rsid w:val="001854CC"/>
    <w:rsid w:val="0018631B"/>
    <w:rsid w:val="00195C70"/>
    <w:rsid w:val="001A2EA2"/>
    <w:rsid w:val="001B1B47"/>
    <w:rsid w:val="001B2A3E"/>
    <w:rsid w:val="001B541B"/>
    <w:rsid w:val="001B5A15"/>
    <w:rsid w:val="001C357F"/>
    <w:rsid w:val="001C44AB"/>
    <w:rsid w:val="001E4C53"/>
    <w:rsid w:val="001F3A1D"/>
    <w:rsid w:val="002039FD"/>
    <w:rsid w:val="00207014"/>
    <w:rsid w:val="00212246"/>
    <w:rsid w:val="00227E22"/>
    <w:rsid w:val="00230CD3"/>
    <w:rsid w:val="00232ECC"/>
    <w:rsid w:val="00253D8E"/>
    <w:rsid w:val="0026500E"/>
    <w:rsid w:val="00270B3E"/>
    <w:rsid w:val="002719CB"/>
    <w:rsid w:val="00277FCA"/>
    <w:rsid w:val="002A65CF"/>
    <w:rsid w:val="002A675C"/>
    <w:rsid w:val="002F3572"/>
    <w:rsid w:val="002F3867"/>
    <w:rsid w:val="002F6E92"/>
    <w:rsid w:val="0030654E"/>
    <w:rsid w:val="00307C8B"/>
    <w:rsid w:val="00313275"/>
    <w:rsid w:val="003259B8"/>
    <w:rsid w:val="00337B6F"/>
    <w:rsid w:val="00353221"/>
    <w:rsid w:val="00373187"/>
    <w:rsid w:val="00373C3F"/>
    <w:rsid w:val="00390ED8"/>
    <w:rsid w:val="003925E0"/>
    <w:rsid w:val="00393BD9"/>
    <w:rsid w:val="003A14EC"/>
    <w:rsid w:val="003A28A4"/>
    <w:rsid w:val="003A31C9"/>
    <w:rsid w:val="003A71AA"/>
    <w:rsid w:val="003B228C"/>
    <w:rsid w:val="003B48DD"/>
    <w:rsid w:val="003E4FC7"/>
    <w:rsid w:val="003F1BAA"/>
    <w:rsid w:val="0041611D"/>
    <w:rsid w:val="00423DB0"/>
    <w:rsid w:val="00424DE6"/>
    <w:rsid w:val="0042782E"/>
    <w:rsid w:val="00445A20"/>
    <w:rsid w:val="004618C7"/>
    <w:rsid w:val="00467063"/>
    <w:rsid w:val="00477286"/>
    <w:rsid w:val="00480D26"/>
    <w:rsid w:val="004C4D52"/>
    <w:rsid w:val="004D5DD3"/>
    <w:rsid w:val="004E0ABF"/>
    <w:rsid w:val="004F09D3"/>
    <w:rsid w:val="004F7561"/>
    <w:rsid w:val="00511DF5"/>
    <w:rsid w:val="005174DE"/>
    <w:rsid w:val="0054483D"/>
    <w:rsid w:val="00555530"/>
    <w:rsid w:val="00555F56"/>
    <w:rsid w:val="00562E7D"/>
    <w:rsid w:val="005778CE"/>
    <w:rsid w:val="0058759B"/>
    <w:rsid w:val="00587F7B"/>
    <w:rsid w:val="00595B24"/>
    <w:rsid w:val="005A03CD"/>
    <w:rsid w:val="005A11BC"/>
    <w:rsid w:val="005A192B"/>
    <w:rsid w:val="005A524E"/>
    <w:rsid w:val="005B344A"/>
    <w:rsid w:val="005C293A"/>
    <w:rsid w:val="005C48EE"/>
    <w:rsid w:val="005C4C3A"/>
    <w:rsid w:val="005E3A83"/>
    <w:rsid w:val="005E7ACD"/>
    <w:rsid w:val="00601C12"/>
    <w:rsid w:val="006029DE"/>
    <w:rsid w:val="006105E8"/>
    <w:rsid w:val="00613386"/>
    <w:rsid w:val="006261A5"/>
    <w:rsid w:val="00634F95"/>
    <w:rsid w:val="0065596F"/>
    <w:rsid w:val="00677470"/>
    <w:rsid w:val="0069283D"/>
    <w:rsid w:val="006A4612"/>
    <w:rsid w:val="006B7B24"/>
    <w:rsid w:val="006C18A5"/>
    <w:rsid w:val="006C3D79"/>
    <w:rsid w:val="006C443F"/>
    <w:rsid w:val="006C5F8B"/>
    <w:rsid w:val="006E53D8"/>
    <w:rsid w:val="006E7169"/>
    <w:rsid w:val="006E7ED5"/>
    <w:rsid w:val="006F2B6E"/>
    <w:rsid w:val="006F4302"/>
    <w:rsid w:val="006F66CD"/>
    <w:rsid w:val="006F6D57"/>
    <w:rsid w:val="0070243D"/>
    <w:rsid w:val="00722458"/>
    <w:rsid w:val="00725735"/>
    <w:rsid w:val="00733BC4"/>
    <w:rsid w:val="00736830"/>
    <w:rsid w:val="00737791"/>
    <w:rsid w:val="00740EF6"/>
    <w:rsid w:val="007452AF"/>
    <w:rsid w:val="0076108C"/>
    <w:rsid w:val="00761633"/>
    <w:rsid w:val="007721E5"/>
    <w:rsid w:val="00773DFA"/>
    <w:rsid w:val="00776459"/>
    <w:rsid w:val="00785E3F"/>
    <w:rsid w:val="0079764F"/>
    <w:rsid w:val="007A14DB"/>
    <w:rsid w:val="007A6D71"/>
    <w:rsid w:val="007B1AC7"/>
    <w:rsid w:val="007C2AE3"/>
    <w:rsid w:val="007C33FA"/>
    <w:rsid w:val="007C7DF5"/>
    <w:rsid w:val="007D5E2C"/>
    <w:rsid w:val="007F0438"/>
    <w:rsid w:val="007F18CB"/>
    <w:rsid w:val="0080049F"/>
    <w:rsid w:val="00801569"/>
    <w:rsid w:val="008045BC"/>
    <w:rsid w:val="00806ABA"/>
    <w:rsid w:val="00821FC3"/>
    <w:rsid w:val="00826CD9"/>
    <w:rsid w:val="00827A60"/>
    <w:rsid w:val="008522ED"/>
    <w:rsid w:val="00855869"/>
    <w:rsid w:val="00857E59"/>
    <w:rsid w:val="00861CD0"/>
    <w:rsid w:val="008622DE"/>
    <w:rsid w:val="008663FA"/>
    <w:rsid w:val="008670F8"/>
    <w:rsid w:val="00881568"/>
    <w:rsid w:val="00887FF4"/>
    <w:rsid w:val="00890743"/>
    <w:rsid w:val="0089096C"/>
    <w:rsid w:val="008A77A1"/>
    <w:rsid w:val="008B1398"/>
    <w:rsid w:val="008B29B5"/>
    <w:rsid w:val="008D19A2"/>
    <w:rsid w:val="008D7B2C"/>
    <w:rsid w:val="008E4060"/>
    <w:rsid w:val="008F181D"/>
    <w:rsid w:val="00911F65"/>
    <w:rsid w:val="009148EF"/>
    <w:rsid w:val="009179B2"/>
    <w:rsid w:val="00920ACD"/>
    <w:rsid w:val="009256BD"/>
    <w:rsid w:val="00926156"/>
    <w:rsid w:val="009304DB"/>
    <w:rsid w:val="00933FDC"/>
    <w:rsid w:val="00935841"/>
    <w:rsid w:val="009364EA"/>
    <w:rsid w:val="00944863"/>
    <w:rsid w:val="00945BDD"/>
    <w:rsid w:val="0094604A"/>
    <w:rsid w:val="00954D64"/>
    <w:rsid w:val="0095501E"/>
    <w:rsid w:val="00960913"/>
    <w:rsid w:val="009673AC"/>
    <w:rsid w:val="0097786B"/>
    <w:rsid w:val="009A092D"/>
    <w:rsid w:val="009A0C10"/>
    <w:rsid w:val="009D2607"/>
    <w:rsid w:val="009E1B4F"/>
    <w:rsid w:val="009E7831"/>
    <w:rsid w:val="00A0656C"/>
    <w:rsid w:val="00A07C4E"/>
    <w:rsid w:val="00A201AE"/>
    <w:rsid w:val="00A2426C"/>
    <w:rsid w:val="00A53471"/>
    <w:rsid w:val="00A56039"/>
    <w:rsid w:val="00A6648B"/>
    <w:rsid w:val="00A7718A"/>
    <w:rsid w:val="00A825B0"/>
    <w:rsid w:val="00A86DD7"/>
    <w:rsid w:val="00A9115A"/>
    <w:rsid w:val="00A9699D"/>
    <w:rsid w:val="00AA79C8"/>
    <w:rsid w:val="00AB3053"/>
    <w:rsid w:val="00AC3783"/>
    <w:rsid w:val="00AC43BD"/>
    <w:rsid w:val="00AC5670"/>
    <w:rsid w:val="00AC704D"/>
    <w:rsid w:val="00AC75DC"/>
    <w:rsid w:val="00AE166D"/>
    <w:rsid w:val="00B04A46"/>
    <w:rsid w:val="00B054F4"/>
    <w:rsid w:val="00B065E1"/>
    <w:rsid w:val="00B15CFC"/>
    <w:rsid w:val="00B16177"/>
    <w:rsid w:val="00B2015B"/>
    <w:rsid w:val="00B20B5E"/>
    <w:rsid w:val="00B43F50"/>
    <w:rsid w:val="00B51142"/>
    <w:rsid w:val="00B7622E"/>
    <w:rsid w:val="00BA1F5A"/>
    <w:rsid w:val="00BA1FFE"/>
    <w:rsid w:val="00BB0687"/>
    <w:rsid w:val="00BB2800"/>
    <w:rsid w:val="00BC76F9"/>
    <w:rsid w:val="00BD2B3B"/>
    <w:rsid w:val="00BD51C3"/>
    <w:rsid w:val="00BD70E6"/>
    <w:rsid w:val="00BE28B0"/>
    <w:rsid w:val="00BE436C"/>
    <w:rsid w:val="00BE4C67"/>
    <w:rsid w:val="00C009EE"/>
    <w:rsid w:val="00C02014"/>
    <w:rsid w:val="00C02E52"/>
    <w:rsid w:val="00C0592B"/>
    <w:rsid w:val="00C240F9"/>
    <w:rsid w:val="00C3467C"/>
    <w:rsid w:val="00C36592"/>
    <w:rsid w:val="00C50DC0"/>
    <w:rsid w:val="00C64C34"/>
    <w:rsid w:val="00C65953"/>
    <w:rsid w:val="00C67729"/>
    <w:rsid w:val="00C71917"/>
    <w:rsid w:val="00C75665"/>
    <w:rsid w:val="00C756C8"/>
    <w:rsid w:val="00C87144"/>
    <w:rsid w:val="00CA3B49"/>
    <w:rsid w:val="00CA53A1"/>
    <w:rsid w:val="00CC3AB2"/>
    <w:rsid w:val="00CD680E"/>
    <w:rsid w:val="00CE309D"/>
    <w:rsid w:val="00CE3217"/>
    <w:rsid w:val="00CE7A6D"/>
    <w:rsid w:val="00CF6B8E"/>
    <w:rsid w:val="00D105F3"/>
    <w:rsid w:val="00D15F41"/>
    <w:rsid w:val="00D17DB2"/>
    <w:rsid w:val="00D339DF"/>
    <w:rsid w:val="00D44B7B"/>
    <w:rsid w:val="00D50AB7"/>
    <w:rsid w:val="00D551D6"/>
    <w:rsid w:val="00D6414A"/>
    <w:rsid w:val="00D70A01"/>
    <w:rsid w:val="00D70A86"/>
    <w:rsid w:val="00D82C39"/>
    <w:rsid w:val="00D82D2A"/>
    <w:rsid w:val="00D85C14"/>
    <w:rsid w:val="00D943A5"/>
    <w:rsid w:val="00DA1BB8"/>
    <w:rsid w:val="00DB2C42"/>
    <w:rsid w:val="00DF515A"/>
    <w:rsid w:val="00E068F3"/>
    <w:rsid w:val="00E1038B"/>
    <w:rsid w:val="00E35C9D"/>
    <w:rsid w:val="00E37344"/>
    <w:rsid w:val="00E378C5"/>
    <w:rsid w:val="00E43226"/>
    <w:rsid w:val="00E5409F"/>
    <w:rsid w:val="00E554B8"/>
    <w:rsid w:val="00E82899"/>
    <w:rsid w:val="00E93EB1"/>
    <w:rsid w:val="00E94AB0"/>
    <w:rsid w:val="00EA4746"/>
    <w:rsid w:val="00EC0A8A"/>
    <w:rsid w:val="00EC3062"/>
    <w:rsid w:val="00EC6F29"/>
    <w:rsid w:val="00EC7EE9"/>
    <w:rsid w:val="00ED2149"/>
    <w:rsid w:val="00EF3749"/>
    <w:rsid w:val="00EF495C"/>
    <w:rsid w:val="00F01433"/>
    <w:rsid w:val="00F03322"/>
    <w:rsid w:val="00F15CB7"/>
    <w:rsid w:val="00F439B3"/>
    <w:rsid w:val="00F519B6"/>
    <w:rsid w:val="00F64BB7"/>
    <w:rsid w:val="00F657E7"/>
    <w:rsid w:val="00F70A3D"/>
    <w:rsid w:val="00F725C5"/>
    <w:rsid w:val="00FA4438"/>
    <w:rsid w:val="00FB3559"/>
    <w:rsid w:val="00FB5F97"/>
    <w:rsid w:val="00FB641E"/>
    <w:rsid w:val="00FC35A5"/>
    <w:rsid w:val="00FC7F9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789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7"/>
    <w:pPr>
      <w:spacing w:before="120" w:after="120" w:line="480" w:lineRule="auto"/>
      <w:jc w:val="both"/>
    </w:pPr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keepLines/>
      <w:spacing w:before="480" w:after="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91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91"/>
    <w:pPr>
      <w:keepNext/>
      <w:keepLines/>
      <w:spacing w:before="200" w:after="0"/>
      <w:outlineLvl w:val="2"/>
    </w:pPr>
    <w:rPr>
      <w:rFonts w:eastAsiaTheme="majorEastAsia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 w:cs="Times New Roman"/>
      <w:b/>
      <w:bCs/>
      <w:i/>
      <w:color w:val="4F81BD" w:themeColor="accent1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0803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80391"/>
    <w:rPr>
      <w:rFonts w:eastAsiaTheme="minorEastAsia" w:cs="Times New Roman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08039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3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391"/>
    <w:rPr>
      <w:rFonts w:eastAsiaTheme="minorEastAsia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080391"/>
    <w:pPr>
      <w:spacing w:after="0" w:line="240" w:lineRule="auto"/>
      <w:jc w:val="both"/>
    </w:pPr>
    <w:rPr>
      <w:rFonts w:eastAsiaTheme="minorEastAsia" w:cs="Times New Roman"/>
      <w:szCs w:val="24"/>
      <w:lang w:val="nl-NL" w:eastAsia="nl-NL"/>
    </w:rPr>
  </w:style>
  <w:style w:type="paragraph" w:styleId="Bibliography">
    <w:name w:val="Bibliography"/>
    <w:basedOn w:val="Normal"/>
    <w:next w:val="Normal"/>
    <w:uiPriority w:val="37"/>
    <w:unhideWhenUsed/>
    <w:rsid w:val="00080391"/>
  </w:style>
  <w:style w:type="character" w:styleId="Hyperlink">
    <w:name w:val="Hyperlink"/>
    <w:basedOn w:val="DefaultParagraphFont"/>
    <w:uiPriority w:val="99"/>
    <w:unhideWhenUsed/>
    <w:rsid w:val="00080391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apple-converted-space">
    <w:name w:val="apple-converted-space"/>
    <w:basedOn w:val="DefaultParagraphFont"/>
    <w:rsid w:val="00080391"/>
    <w:rPr>
      <w:rFonts w:cs="Times New Roman"/>
    </w:rPr>
  </w:style>
  <w:style w:type="character" w:customStyle="1" w:styleId="cit">
    <w:name w:val="cit"/>
    <w:basedOn w:val="DefaultParagraphFont"/>
    <w:rsid w:val="00080391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080391"/>
    <w:rPr>
      <w:rFonts w:cs="Times New Roman"/>
      <w:i/>
      <w:iCs/>
    </w:rPr>
  </w:style>
  <w:style w:type="character" w:customStyle="1" w:styleId="ref-title">
    <w:name w:val="ref-title"/>
    <w:basedOn w:val="DefaultParagraphFont"/>
    <w:rsid w:val="00080391"/>
    <w:rPr>
      <w:rFonts w:cs="Times New Roman"/>
    </w:rPr>
  </w:style>
  <w:style w:type="character" w:customStyle="1" w:styleId="ref-journal">
    <w:name w:val="ref-journal"/>
    <w:basedOn w:val="DefaultParagraphFont"/>
    <w:rsid w:val="00080391"/>
    <w:rPr>
      <w:rFonts w:cs="Times New Roman"/>
    </w:rPr>
  </w:style>
  <w:style w:type="character" w:customStyle="1" w:styleId="ref-vol">
    <w:name w:val="ref-vol"/>
    <w:basedOn w:val="DefaultParagraphFont"/>
    <w:rsid w:val="00080391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080391"/>
    <w:pPr>
      <w:spacing w:before="0" w:after="200" w:line="240" w:lineRule="auto"/>
      <w:jc w:val="left"/>
    </w:pPr>
    <w:rPr>
      <w:rFonts w:ascii="Calibri" w:hAnsi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80391"/>
    <w:rPr>
      <w:rFonts w:ascii="Calibri" w:eastAsiaTheme="minorEastAsia" w:hAnsi="Calibri" w:cs="Times New Roman"/>
      <w:noProof/>
      <w:lang w:val="en-US"/>
    </w:rPr>
  </w:style>
  <w:style w:type="character" w:customStyle="1" w:styleId="highlight">
    <w:name w:val="highlight"/>
    <w:basedOn w:val="DefaultParagraphFont"/>
    <w:rsid w:val="000803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91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A65C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A9"/>
    <w:rPr>
      <w:rFonts w:asciiTheme="majorHAnsi" w:eastAsiaTheme="minorEastAsia" w:hAnsiTheme="majorHAnsi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7"/>
    <w:pPr>
      <w:spacing w:before="120" w:after="120" w:line="480" w:lineRule="auto"/>
      <w:jc w:val="both"/>
    </w:pPr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keepLines/>
      <w:spacing w:before="480" w:after="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91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91"/>
    <w:pPr>
      <w:keepNext/>
      <w:keepLines/>
      <w:spacing w:before="200" w:after="0"/>
      <w:outlineLvl w:val="2"/>
    </w:pPr>
    <w:rPr>
      <w:rFonts w:eastAsiaTheme="majorEastAsia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 w:cs="Times New Roman"/>
      <w:b/>
      <w:bCs/>
      <w:i/>
      <w:color w:val="4F81BD" w:themeColor="accent1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unhideWhenUsed/>
    <w:rsid w:val="000803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80391"/>
    <w:rPr>
      <w:rFonts w:eastAsiaTheme="minorEastAsia" w:cs="Times New Roman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08039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3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391"/>
    <w:rPr>
      <w:rFonts w:eastAsiaTheme="minorEastAsia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080391"/>
    <w:pPr>
      <w:spacing w:after="0" w:line="240" w:lineRule="auto"/>
      <w:jc w:val="both"/>
    </w:pPr>
    <w:rPr>
      <w:rFonts w:eastAsiaTheme="minorEastAsia" w:cs="Times New Roman"/>
      <w:szCs w:val="24"/>
      <w:lang w:val="nl-NL" w:eastAsia="nl-NL"/>
    </w:rPr>
  </w:style>
  <w:style w:type="paragraph" w:styleId="Bibliography">
    <w:name w:val="Bibliography"/>
    <w:basedOn w:val="Normal"/>
    <w:next w:val="Normal"/>
    <w:uiPriority w:val="37"/>
    <w:unhideWhenUsed/>
    <w:rsid w:val="00080391"/>
  </w:style>
  <w:style w:type="character" w:styleId="Hyperlink">
    <w:name w:val="Hyperlink"/>
    <w:basedOn w:val="DefaultParagraphFont"/>
    <w:uiPriority w:val="99"/>
    <w:unhideWhenUsed/>
    <w:rsid w:val="00080391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apple-converted-space">
    <w:name w:val="apple-converted-space"/>
    <w:basedOn w:val="DefaultParagraphFont"/>
    <w:rsid w:val="00080391"/>
    <w:rPr>
      <w:rFonts w:cs="Times New Roman"/>
    </w:rPr>
  </w:style>
  <w:style w:type="character" w:customStyle="1" w:styleId="cit">
    <w:name w:val="cit"/>
    <w:basedOn w:val="DefaultParagraphFont"/>
    <w:rsid w:val="00080391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080391"/>
    <w:rPr>
      <w:rFonts w:cs="Times New Roman"/>
      <w:i/>
      <w:iCs/>
    </w:rPr>
  </w:style>
  <w:style w:type="character" w:customStyle="1" w:styleId="ref-title">
    <w:name w:val="ref-title"/>
    <w:basedOn w:val="DefaultParagraphFont"/>
    <w:rsid w:val="00080391"/>
    <w:rPr>
      <w:rFonts w:cs="Times New Roman"/>
    </w:rPr>
  </w:style>
  <w:style w:type="character" w:customStyle="1" w:styleId="ref-journal">
    <w:name w:val="ref-journal"/>
    <w:basedOn w:val="DefaultParagraphFont"/>
    <w:rsid w:val="00080391"/>
    <w:rPr>
      <w:rFonts w:cs="Times New Roman"/>
    </w:rPr>
  </w:style>
  <w:style w:type="character" w:customStyle="1" w:styleId="ref-vol">
    <w:name w:val="ref-vol"/>
    <w:basedOn w:val="DefaultParagraphFont"/>
    <w:rsid w:val="00080391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080391"/>
    <w:pPr>
      <w:spacing w:before="0" w:after="200" w:line="240" w:lineRule="auto"/>
      <w:jc w:val="left"/>
    </w:pPr>
    <w:rPr>
      <w:rFonts w:ascii="Calibri" w:hAnsi="Calibr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80391"/>
    <w:rPr>
      <w:rFonts w:ascii="Calibri" w:eastAsiaTheme="minorEastAsia" w:hAnsi="Calibri" w:cs="Times New Roman"/>
      <w:noProof/>
      <w:lang w:val="en-US"/>
    </w:rPr>
  </w:style>
  <w:style w:type="character" w:customStyle="1" w:styleId="highlight">
    <w:name w:val="highlight"/>
    <w:basedOn w:val="DefaultParagraphFont"/>
    <w:rsid w:val="000803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91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A65C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A9"/>
    <w:rPr>
      <w:rFonts w:asciiTheme="majorHAnsi" w:eastAsiaTheme="minorEastAsia" w:hAnsiTheme="majorHAnsi" w:cs="Times New Roman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27E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22"/>
    <w:rPr>
      <w:rFonts w:asciiTheme="majorHAnsi" w:eastAsiaTheme="minorEastAsia" w:hAnsiTheme="majorHAnsi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DBCD2F-1573-4E7C-A077-F391FE0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8CE0453E.dotm</Template>
  <TotalTime>1</TotalTime>
  <Pages>1</Pages>
  <Words>287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Administrator</cp:lastModifiedBy>
  <cp:revision>2</cp:revision>
  <dcterms:created xsi:type="dcterms:W3CDTF">2017-03-31T13:41:00Z</dcterms:created>
  <dcterms:modified xsi:type="dcterms:W3CDTF">2017-03-31T13:41:00Z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b99885a6-8515-3d31-ba40-00ecaafd841d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