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5BCF1" w14:textId="77777777" w:rsidR="0022241A" w:rsidRPr="00976CA0" w:rsidRDefault="00E478CD" w:rsidP="00C16673">
      <w:pPr>
        <w:spacing w:line="480" w:lineRule="auto"/>
        <w:jc w:val="both"/>
        <w:outlineLvl w:val="0"/>
        <w:rPr>
          <w:b/>
          <w:color w:val="000000" w:themeColor="text1"/>
        </w:rPr>
      </w:pPr>
      <w:r w:rsidRPr="00976CA0">
        <w:rPr>
          <w:b/>
          <w:color w:val="000000" w:themeColor="text1"/>
        </w:rPr>
        <w:t>Methodological Appendix</w:t>
      </w:r>
    </w:p>
    <w:p w14:paraId="31DE1ADB" w14:textId="77777777" w:rsidR="00BF48F2" w:rsidRPr="00976CA0" w:rsidRDefault="00E478CD" w:rsidP="007A0E08">
      <w:pPr>
        <w:spacing w:before="240" w:line="480" w:lineRule="auto"/>
        <w:jc w:val="both"/>
        <w:rPr>
          <w:color w:val="000000" w:themeColor="text1"/>
        </w:rPr>
      </w:pPr>
      <w:r w:rsidRPr="00976CA0">
        <w:rPr>
          <w:color w:val="000000" w:themeColor="text1"/>
        </w:rPr>
        <w:t>In what follow</w:t>
      </w:r>
      <w:r w:rsidR="00976CA0">
        <w:rPr>
          <w:color w:val="000000" w:themeColor="text1"/>
        </w:rPr>
        <w:t>s,</w:t>
      </w:r>
      <w:r w:rsidRPr="00976CA0">
        <w:rPr>
          <w:color w:val="000000" w:themeColor="text1"/>
        </w:rPr>
        <w:t xml:space="preserve"> we present some</w:t>
      </w:r>
      <w:r w:rsidR="001308FF" w:rsidRPr="00976CA0">
        <w:rPr>
          <w:color w:val="000000" w:themeColor="text1"/>
        </w:rPr>
        <w:t xml:space="preserve"> </w:t>
      </w:r>
      <w:r w:rsidR="00BF48F2" w:rsidRPr="00976CA0">
        <w:rPr>
          <w:color w:val="000000" w:themeColor="text1"/>
        </w:rPr>
        <w:t>technical</w:t>
      </w:r>
      <w:r w:rsidR="001308FF" w:rsidRPr="00976CA0">
        <w:rPr>
          <w:color w:val="000000" w:themeColor="text1"/>
        </w:rPr>
        <w:t xml:space="preserve"> details</w:t>
      </w:r>
      <w:r w:rsidR="00BF48F2" w:rsidRPr="00976CA0">
        <w:rPr>
          <w:color w:val="000000" w:themeColor="text1"/>
        </w:rPr>
        <w:t xml:space="preserve"> of the approach </w:t>
      </w:r>
      <w:r w:rsidR="001308FF" w:rsidRPr="00976CA0">
        <w:rPr>
          <w:color w:val="000000" w:themeColor="text1"/>
        </w:rPr>
        <w:t>we adopt</w:t>
      </w:r>
      <w:r w:rsidR="00BF48F2" w:rsidRPr="00976CA0">
        <w:rPr>
          <w:color w:val="000000" w:themeColor="text1"/>
        </w:rPr>
        <w:t>.</w:t>
      </w:r>
      <w:r w:rsidRPr="00976CA0">
        <w:rPr>
          <w:color w:val="000000" w:themeColor="text1"/>
        </w:rPr>
        <w:t xml:space="preserve"> A.1. </w:t>
      </w:r>
      <w:r w:rsidR="009F23DE" w:rsidRPr="00976CA0">
        <w:rPr>
          <w:color w:val="000000" w:themeColor="text1"/>
        </w:rPr>
        <w:t xml:space="preserve">summarizes </w:t>
      </w:r>
      <w:r w:rsidR="00ED6A9E" w:rsidRPr="00976CA0">
        <w:rPr>
          <w:color w:val="000000" w:themeColor="text1"/>
        </w:rPr>
        <w:t xml:space="preserve">and provides some examples of </w:t>
      </w:r>
      <w:r w:rsidR="009F23DE" w:rsidRPr="00976CA0">
        <w:rPr>
          <w:color w:val="000000" w:themeColor="text1"/>
        </w:rPr>
        <w:t xml:space="preserve">the non-parametric estimate </w:t>
      </w:r>
      <w:r w:rsidR="0003457A" w:rsidRPr="00976CA0">
        <w:rPr>
          <w:color w:val="000000" w:themeColor="text1"/>
        </w:rPr>
        <w:t xml:space="preserve">approach </w:t>
      </w:r>
      <w:r w:rsidR="00ED6A9E" w:rsidRPr="00976CA0">
        <w:rPr>
          <w:color w:val="000000" w:themeColor="text1"/>
        </w:rPr>
        <w:t>for</w:t>
      </w:r>
      <w:r w:rsidR="009F23DE" w:rsidRPr="00976CA0">
        <w:rPr>
          <w:color w:val="000000" w:themeColor="text1"/>
        </w:rPr>
        <w:t xml:space="preserve"> </w:t>
      </w:r>
      <w:r w:rsidR="0003457A" w:rsidRPr="00976CA0">
        <w:rPr>
          <w:color w:val="000000" w:themeColor="text1"/>
        </w:rPr>
        <w:t>the distribution</w:t>
      </w:r>
      <w:r w:rsidR="009F23DE" w:rsidRPr="00976CA0">
        <w:rPr>
          <w:color w:val="000000" w:themeColor="text1"/>
        </w:rPr>
        <w:t xml:space="preserve"> of wages; A.2. </w:t>
      </w:r>
      <w:r w:rsidRPr="00976CA0">
        <w:rPr>
          <w:color w:val="000000" w:themeColor="text1"/>
        </w:rPr>
        <w:t>summarizes the</w:t>
      </w:r>
      <w:r w:rsidR="00ED6A9E" w:rsidRPr="00976CA0">
        <w:rPr>
          <w:color w:val="000000" w:themeColor="text1"/>
        </w:rPr>
        <w:t xml:space="preserve"> i</w:t>
      </w:r>
      <w:r w:rsidRPr="00976CA0">
        <w:rPr>
          <w:color w:val="000000" w:themeColor="text1"/>
        </w:rPr>
        <w:t xml:space="preserve">nverse </w:t>
      </w:r>
      <w:r w:rsidR="00ED6A9E" w:rsidRPr="00976CA0">
        <w:rPr>
          <w:color w:val="000000" w:themeColor="text1"/>
        </w:rPr>
        <w:t>p</w:t>
      </w:r>
      <w:r w:rsidRPr="00976CA0">
        <w:rPr>
          <w:color w:val="000000" w:themeColor="text1"/>
        </w:rPr>
        <w:t>r</w:t>
      </w:r>
      <w:r w:rsidR="009F23DE" w:rsidRPr="00976CA0">
        <w:rPr>
          <w:color w:val="000000" w:themeColor="text1"/>
        </w:rPr>
        <w:t xml:space="preserve">obability </w:t>
      </w:r>
      <w:r w:rsidR="00ED6A9E" w:rsidRPr="00976CA0">
        <w:rPr>
          <w:color w:val="000000" w:themeColor="text1"/>
        </w:rPr>
        <w:t>w</w:t>
      </w:r>
      <w:r w:rsidR="009F23DE" w:rsidRPr="00976CA0">
        <w:rPr>
          <w:color w:val="000000" w:themeColor="text1"/>
        </w:rPr>
        <w:t>eighted approach</w:t>
      </w:r>
      <w:r w:rsidR="0003457A" w:rsidRPr="00976CA0">
        <w:rPr>
          <w:color w:val="000000" w:themeColor="text1"/>
        </w:rPr>
        <w:t xml:space="preserve">, </w:t>
      </w:r>
      <w:r w:rsidR="00ED6A9E" w:rsidRPr="00976CA0">
        <w:rPr>
          <w:color w:val="000000" w:themeColor="text1"/>
        </w:rPr>
        <w:t xml:space="preserve">which </w:t>
      </w:r>
      <w:r w:rsidR="0003457A" w:rsidRPr="00976CA0">
        <w:rPr>
          <w:color w:val="000000" w:themeColor="text1"/>
        </w:rPr>
        <w:t>allows us to answer some “what” question</w:t>
      </w:r>
      <w:r w:rsidR="00ED6A9E" w:rsidRPr="00976CA0">
        <w:rPr>
          <w:color w:val="000000" w:themeColor="text1"/>
        </w:rPr>
        <w:t xml:space="preserve">s related to the </w:t>
      </w:r>
      <w:r w:rsidR="0003457A" w:rsidRPr="00976CA0">
        <w:rPr>
          <w:color w:val="000000" w:themeColor="text1"/>
        </w:rPr>
        <w:t>econom</w:t>
      </w:r>
      <w:r w:rsidR="00ED6A9E" w:rsidRPr="00976CA0">
        <w:rPr>
          <w:color w:val="000000" w:themeColor="text1"/>
        </w:rPr>
        <w:t>ies</w:t>
      </w:r>
      <w:r w:rsidR="009F23DE" w:rsidRPr="00976CA0">
        <w:rPr>
          <w:color w:val="000000" w:themeColor="text1"/>
        </w:rPr>
        <w:t>; A.3</w:t>
      </w:r>
      <w:r w:rsidRPr="00976CA0">
        <w:rPr>
          <w:color w:val="000000" w:themeColor="text1"/>
        </w:rPr>
        <w:t xml:space="preserve">. </w:t>
      </w:r>
      <w:r w:rsidR="00AD55BC" w:rsidRPr="00976CA0">
        <w:rPr>
          <w:color w:val="000000" w:themeColor="text1"/>
        </w:rPr>
        <w:t>discusses</w:t>
      </w:r>
      <w:r w:rsidRPr="00976CA0">
        <w:rPr>
          <w:color w:val="000000" w:themeColor="text1"/>
        </w:rPr>
        <w:t xml:space="preserve"> </w:t>
      </w:r>
      <w:r w:rsidR="00ED6A9E" w:rsidRPr="00976CA0">
        <w:rPr>
          <w:color w:val="000000" w:themeColor="text1"/>
        </w:rPr>
        <w:t xml:space="preserve">the choice of </w:t>
      </w:r>
      <w:r w:rsidR="00C16673" w:rsidRPr="00976CA0">
        <w:rPr>
          <w:color w:val="000000" w:themeColor="text1"/>
        </w:rPr>
        <w:t xml:space="preserve">the set of regressors </w:t>
      </w:r>
      <w:r w:rsidR="00ED6A9E" w:rsidRPr="00976CA0">
        <w:rPr>
          <w:color w:val="000000" w:themeColor="text1"/>
        </w:rPr>
        <w:t xml:space="preserve">to model </w:t>
      </w:r>
      <w:r w:rsidR="009F23DE" w:rsidRPr="00976CA0">
        <w:rPr>
          <w:color w:val="000000" w:themeColor="text1"/>
        </w:rPr>
        <w:t>the probability of being a middle manager</w:t>
      </w:r>
      <w:r w:rsidR="0003457A" w:rsidRPr="00976CA0">
        <w:rPr>
          <w:color w:val="000000" w:themeColor="text1"/>
        </w:rPr>
        <w:t xml:space="preserve"> </w:t>
      </w:r>
      <w:r w:rsidR="00ED6A9E" w:rsidRPr="00976CA0">
        <w:rPr>
          <w:color w:val="000000" w:themeColor="text1"/>
        </w:rPr>
        <w:t xml:space="preserve">for </w:t>
      </w:r>
      <w:r w:rsidR="002C0247" w:rsidRPr="00976CA0">
        <w:rPr>
          <w:color w:val="000000" w:themeColor="text1"/>
        </w:rPr>
        <w:t>international comparison</w:t>
      </w:r>
      <w:r w:rsidR="00ED6A9E" w:rsidRPr="00976CA0">
        <w:rPr>
          <w:color w:val="000000" w:themeColor="text1"/>
        </w:rPr>
        <w:t xml:space="preserve"> and </w:t>
      </w:r>
      <w:r w:rsidR="00C16673" w:rsidRPr="00976CA0">
        <w:rPr>
          <w:color w:val="000000" w:themeColor="text1"/>
        </w:rPr>
        <w:t xml:space="preserve">presents </w:t>
      </w:r>
      <w:r w:rsidR="00ED6A9E" w:rsidRPr="00976CA0">
        <w:rPr>
          <w:color w:val="000000" w:themeColor="text1"/>
        </w:rPr>
        <w:t>some</w:t>
      </w:r>
      <w:r w:rsidR="00C16673" w:rsidRPr="00976CA0">
        <w:rPr>
          <w:color w:val="000000" w:themeColor="text1"/>
        </w:rPr>
        <w:t xml:space="preserve"> empirical exercises</w:t>
      </w:r>
      <w:r w:rsidR="002C0247" w:rsidRPr="00976CA0">
        <w:rPr>
          <w:color w:val="000000" w:themeColor="text1"/>
        </w:rPr>
        <w:t xml:space="preserve">; A.4. presents some </w:t>
      </w:r>
      <w:r w:rsidR="00C16673" w:rsidRPr="00976CA0">
        <w:rPr>
          <w:color w:val="000000" w:themeColor="text1"/>
        </w:rPr>
        <w:t>empirical</w:t>
      </w:r>
      <w:r w:rsidR="00B45C0C" w:rsidRPr="00976CA0">
        <w:rPr>
          <w:color w:val="000000" w:themeColor="text1"/>
        </w:rPr>
        <w:t xml:space="preserve"> exercises</w:t>
      </w:r>
      <w:r w:rsidR="00976CA0">
        <w:rPr>
          <w:color w:val="000000" w:themeColor="text1"/>
        </w:rPr>
        <w:t>;</w:t>
      </w:r>
      <w:r w:rsidR="002C0247" w:rsidRPr="00976CA0">
        <w:rPr>
          <w:color w:val="000000" w:themeColor="text1"/>
        </w:rPr>
        <w:t xml:space="preserve"> and A.5.</w:t>
      </w:r>
      <w:r w:rsidR="0003457A" w:rsidRPr="00976CA0">
        <w:rPr>
          <w:color w:val="000000" w:themeColor="text1"/>
        </w:rPr>
        <w:t xml:space="preserve"> discusses </w:t>
      </w:r>
      <w:r w:rsidR="00ED6A9E" w:rsidRPr="00976CA0">
        <w:rPr>
          <w:color w:val="000000" w:themeColor="text1"/>
        </w:rPr>
        <w:t xml:space="preserve">estimations of </w:t>
      </w:r>
      <w:r w:rsidR="0003457A" w:rsidRPr="00976CA0">
        <w:rPr>
          <w:color w:val="000000" w:themeColor="text1"/>
        </w:rPr>
        <w:t xml:space="preserve">“what if” </w:t>
      </w:r>
      <w:r w:rsidR="00976CA0">
        <w:rPr>
          <w:color w:val="000000" w:themeColor="text1"/>
        </w:rPr>
        <w:t xml:space="preserve">questions </w:t>
      </w:r>
      <w:r w:rsidR="00ED6A9E" w:rsidRPr="00976CA0">
        <w:rPr>
          <w:color w:val="000000" w:themeColor="text1"/>
        </w:rPr>
        <w:t xml:space="preserve">related to the </w:t>
      </w:r>
      <w:r w:rsidR="0003457A" w:rsidRPr="00976CA0">
        <w:rPr>
          <w:color w:val="000000" w:themeColor="text1"/>
        </w:rPr>
        <w:t>economies</w:t>
      </w:r>
      <w:r w:rsidR="00645563" w:rsidRPr="00976CA0">
        <w:rPr>
          <w:color w:val="000000" w:themeColor="text1"/>
        </w:rPr>
        <w:t xml:space="preserve"> </w:t>
      </w:r>
      <w:r w:rsidR="009C28C2" w:rsidRPr="00976CA0">
        <w:rPr>
          <w:color w:val="000000" w:themeColor="text1"/>
        </w:rPr>
        <w:t>analys</w:t>
      </w:r>
      <w:r w:rsidR="00ED6A9E" w:rsidRPr="00976CA0">
        <w:rPr>
          <w:color w:val="000000" w:themeColor="text1"/>
        </w:rPr>
        <w:t xml:space="preserve">ed and a </w:t>
      </w:r>
      <w:r w:rsidR="0003457A" w:rsidRPr="00976CA0">
        <w:rPr>
          <w:color w:val="000000" w:themeColor="text1"/>
        </w:rPr>
        <w:t>reference economy.</w:t>
      </w:r>
    </w:p>
    <w:p w14:paraId="30B90AF7" w14:textId="77777777" w:rsidR="008E6A20" w:rsidRPr="00976CA0" w:rsidRDefault="008E6A20" w:rsidP="00D179B5">
      <w:pPr>
        <w:spacing w:before="720" w:line="480" w:lineRule="auto"/>
        <w:jc w:val="both"/>
        <w:outlineLvl w:val="0"/>
        <w:rPr>
          <w:b/>
          <w:color w:val="000000" w:themeColor="text1"/>
        </w:rPr>
      </w:pPr>
      <w:r w:rsidRPr="00976CA0">
        <w:rPr>
          <w:b/>
          <w:color w:val="000000" w:themeColor="text1"/>
        </w:rPr>
        <w:t xml:space="preserve">A.1. </w:t>
      </w:r>
      <w:r w:rsidR="00ED6A9E" w:rsidRPr="00976CA0">
        <w:rPr>
          <w:b/>
          <w:color w:val="000000" w:themeColor="text1"/>
        </w:rPr>
        <w:t>N</w:t>
      </w:r>
      <w:r w:rsidR="00D179B5" w:rsidRPr="00976CA0">
        <w:rPr>
          <w:b/>
          <w:color w:val="000000" w:themeColor="text1"/>
        </w:rPr>
        <w:t>on-</w:t>
      </w:r>
      <w:r w:rsidR="008049E8" w:rsidRPr="00976CA0">
        <w:rPr>
          <w:b/>
          <w:color w:val="000000" w:themeColor="text1"/>
        </w:rPr>
        <w:t xml:space="preserve">parametric </w:t>
      </w:r>
      <w:r w:rsidR="00D179B5" w:rsidRPr="00976CA0">
        <w:rPr>
          <w:b/>
          <w:color w:val="000000" w:themeColor="text1"/>
        </w:rPr>
        <w:t>approach to estimat</w:t>
      </w:r>
      <w:r w:rsidR="00ED6A9E" w:rsidRPr="00976CA0">
        <w:rPr>
          <w:b/>
          <w:color w:val="000000" w:themeColor="text1"/>
        </w:rPr>
        <w:t>ing</w:t>
      </w:r>
      <w:r w:rsidR="008049E8" w:rsidRPr="00976CA0">
        <w:rPr>
          <w:b/>
          <w:color w:val="000000" w:themeColor="text1"/>
        </w:rPr>
        <w:t xml:space="preserve"> the distribution</w:t>
      </w:r>
      <w:r w:rsidR="00617586" w:rsidRPr="00976CA0">
        <w:rPr>
          <w:b/>
          <w:color w:val="000000" w:themeColor="text1"/>
        </w:rPr>
        <w:t xml:space="preserve"> of wages</w:t>
      </w:r>
    </w:p>
    <w:p w14:paraId="45E6838A" w14:textId="77777777" w:rsidR="007A0E08" w:rsidRPr="00976CA0" w:rsidRDefault="009F23DE" w:rsidP="007A0E08">
      <w:pPr>
        <w:spacing w:before="240" w:line="480" w:lineRule="auto"/>
        <w:jc w:val="both"/>
        <w:rPr>
          <w:color w:val="000000" w:themeColor="text1"/>
        </w:rPr>
      </w:pPr>
      <w:r w:rsidRPr="00976CA0">
        <w:t xml:space="preserve">The appeal of estimating and comparing the distribution (of the </w:t>
      </w:r>
      <w:r w:rsidRPr="00976CA0">
        <w:rPr>
          <w:i/>
        </w:rPr>
        <w:t>ln</w:t>
      </w:r>
      <w:r w:rsidR="007A0E08" w:rsidRPr="00976CA0">
        <w:t xml:space="preserve"> of) wages</w:t>
      </w:r>
      <w:r w:rsidRPr="00976CA0">
        <w:t xml:space="preserve"> relies especially on the possibility of </w:t>
      </w:r>
      <w:r w:rsidRPr="00976CA0">
        <w:rPr>
          <w:color w:val="000000" w:themeColor="text1"/>
        </w:rPr>
        <w:t xml:space="preserve">theorizing directly </w:t>
      </w:r>
      <w:r w:rsidR="00ED6A9E" w:rsidRPr="00976CA0">
        <w:rPr>
          <w:color w:val="000000" w:themeColor="text1"/>
        </w:rPr>
        <w:t xml:space="preserve">about </w:t>
      </w:r>
      <w:r w:rsidRPr="00976CA0">
        <w:rPr>
          <w:color w:val="000000" w:themeColor="text1"/>
        </w:rPr>
        <w:t>the entire distribution</w:t>
      </w:r>
      <w:r w:rsidR="007A0E08" w:rsidRPr="00976CA0">
        <w:rPr>
          <w:color w:val="000000" w:themeColor="text1"/>
        </w:rPr>
        <w:t xml:space="preserve"> of wages</w:t>
      </w:r>
      <w:r w:rsidR="00976CA0">
        <w:rPr>
          <w:color w:val="000000" w:themeColor="text1"/>
        </w:rPr>
        <w:t>,</w:t>
      </w:r>
      <w:r w:rsidR="00ED6A9E" w:rsidRPr="00976CA0">
        <w:rPr>
          <w:color w:val="000000" w:themeColor="text1"/>
        </w:rPr>
        <w:t xml:space="preserve"> which</w:t>
      </w:r>
      <w:r w:rsidR="00976CA0">
        <w:rPr>
          <w:color w:val="000000" w:themeColor="text1"/>
        </w:rPr>
        <w:t>,</w:t>
      </w:r>
      <w:r w:rsidR="007A0E08" w:rsidRPr="00976CA0">
        <w:rPr>
          <w:color w:val="000000" w:themeColor="text1"/>
        </w:rPr>
        <w:t xml:space="preserve"> in turn, </w:t>
      </w:r>
      <w:r w:rsidR="00ED6A9E" w:rsidRPr="00976CA0">
        <w:rPr>
          <w:color w:val="000000" w:themeColor="text1"/>
        </w:rPr>
        <w:t xml:space="preserve">negates the need for </w:t>
      </w:r>
      <w:r w:rsidR="007A0E08" w:rsidRPr="00976CA0">
        <w:rPr>
          <w:color w:val="000000" w:themeColor="text1"/>
        </w:rPr>
        <w:t>a representative agent</w:t>
      </w:r>
      <w:r w:rsidRPr="00976CA0">
        <w:rPr>
          <w:color w:val="000000" w:themeColor="text1"/>
        </w:rPr>
        <w:t>.</w:t>
      </w:r>
    </w:p>
    <w:p w14:paraId="37512EDC" w14:textId="77777777" w:rsidR="009F23DE" w:rsidRPr="00976CA0" w:rsidRDefault="009F23DE" w:rsidP="007A0E08">
      <w:pPr>
        <w:spacing w:before="240" w:line="480" w:lineRule="auto"/>
        <w:jc w:val="both"/>
      </w:pPr>
      <w:r w:rsidRPr="00976CA0">
        <w:rPr>
          <w:color w:val="000000" w:themeColor="text1"/>
        </w:rPr>
        <w:t xml:space="preserve">Distributions can be estimated </w:t>
      </w:r>
      <w:r w:rsidR="00ED6A9E" w:rsidRPr="00976CA0">
        <w:rPr>
          <w:color w:val="000000" w:themeColor="text1"/>
        </w:rPr>
        <w:t xml:space="preserve">using </w:t>
      </w:r>
      <w:r w:rsidRPr="00976CA0">
        <w:rPr>
          <w:color w:val="000000" w:themeColor="text1"/>
        </w:rPr>
        <w:t>parametric and non</w:t>
      </w:r>
      <w:r w:rsidR="007A0E08" w:rsidRPr="00976CA0">
        <w:rPr>
          <w:color w:val="000000" w:themeColor="text1"/>
        </w:rPr>
        <w:t>parametric frameworks. H</w:t>
      </w:r>
      <w:r w:rsidRPr="00976CA0">
        <w:rPr>
          <w:color w:val="000000" w:themeColor="text1"/>
        </w:rPr>
        <w:t>owever, the former typically</w:t>
      </w:r>
      <w:r w:rsidRPr="00976CA0">
        <w:t xml:space="preserve"> make use of only a given number of moments (</w:t>
      </w:r>
      <w:r w:rsidR="00976CA0">
        <w:t xml:space="preserve">usually </w:t>
      </w:r>
      <w:r w:rsidRPr="00976CA0">
        <w:t>the first two</w:t>
      </w:r>
      <w:r w:rsidR="00ED6A9E" w:rsidRPr="00976CA0">
        <w:t xml:space="preserve"> -</w:t>
      </w:r>
      <w:r w:rsidRPr="00976CA0">
        <w:t xml:space="preserve"> the conditional mean and the variance), while the latter allows for analysis of the entire distribution of the variable</w:t>
      </w:r>
      <w:r w:rsidR="00ED6A9E" w:rsidRPr="00976CA0">
        <w:t>s</w:t>
      </w:r>
      <w:r w:rsidRPr="00976CA0">
        <w:t xml:space="preserve"> of interest. The use of </w:t>
      </w:r>
      <w:r w:rsidR="00ED6A9E" w:rsidRPr="00976CA0">
        <w:t xml:space="preserve">a </w:t>
      </w:r>
      <w:r w:rsidRPr="00976CA0">
        <w:t xml:space="preserve">nonparametric approach when estimating distributions </w:t>
      </w:r>
      <w:r w:rsidR="00ED6A9E" w:rsidRPr="00976CA0">
        <w:t xml:space="preserve">allows </w:t>
      </w:r>
      <w:r w:rsidRPr="00976CA0">
        <w:t xml:space="preserve">us to go beyond the idea of </w:t>
      </w:r>
      <w:r w:rsidR="00ED6A9E" w:rsidRPr="00976CA0">
        <w:t>a</w:t>
      </w:r>
      <w:r w:rsidRPr="00976CA0">
        <w:t xml:space="preserve"> representative </w:t>
      </w:r>
      <w:r w:rsidR="007A0E08" w:rsidRPr="00976CA0">
        <w:t>agent</w:t>
      </w:r>
      <w:r w:rsidRPr="00976CA0">
        <w:t xml:space="preserve">. This explains its appeal </w:t>
      </w:r>
      <w:r w:rsidR="00ED6A9E" w:rsidRPr="00976CA0">
        <w:t xml:space="preserve">in analyses of </w:t>
      </w:r>
      <w:r w:rsidRPr="00976CA0">
        <w:t>behavio</w:t>
      </w:r>
      <w:r w:rsidR="00976CA0">
        <w:t>u</w:t>
      </w:r>
      <w:r w:rsidRPr="00976CA0">
        <w:t xml:space="preserve">r </w:t>
      </w:r>
      <w:r w:rsidR="00ED6A9E" w:rsidRPr="00976CA0">
        <w:t xml:space="preserve">in </w:t>
      </w:r>
      <w:r w:rsidRPr="00976CA0">
        <w:t>large an</w:t>
      </w:r>
      <w:r w:rsidR="007E6BB6" w:rsidRPr="00976CA0">
        <w:t>d heterogeneous samples of individuals</w:t>
      </w:r>
      <w:r w:rsidRPr="00976CA0">
        <w:t>, as in our case.</w:t>
      </w:r>
    </w:p>
    <w:p w14:paraId="407F6CB6" w14:textId="77777777" w:rsidR="009F23DE" w:rsidRPr="00976CA0" w:rsidRDefault="009F23DE" w:rsidP="007A0E08">
      <w:pPr>
        <w:spacing w:before="240" w:line="480" w:lineRule="auto"/>
        <w:jc w:val="both"/>
      </w:pPr>
      <w:r w:rsidRPr="00976CA0">
        <w:rPr>
          <w:color w:val="000000" w:themeColor="text1"/>
        </w:rPr>
        <w:t>Following</w:t>
      </w:r>
      <w:r w:rsidRPr="00976CA0">
        <w:t xml:space="preserve"> Silverman (1986), let us define a wide class of nonparametric density estimators (the Rosenblatt-Parzen kernel density estimator) as:</w:t>
      </w:r>
    </w:p>
    <w:p w14:paraId="737A6432" w14:textId="77777777" w:rsidR="007A0E08" w:rsidRPr="00976CA0" w:rsidRDefault="007A0E08" w:rsidP="007A0E08">
      <w:pPr>
        <w:numPr>
          <w:ilvl w:val="0"/>
          <w:numId w:val="13"/>
        </w:numPr>
        <w:spacing w:line="480" w:lineRule="auto"/>
        <w:ind w:hanging="720"/>
        <w:jc w:val="both"/>
        <w:rPr>
          <w:rFonts w:ascii="Times" w:hAnsi="Times"/>
          <w:color w:val="000000" w:themeColor="text1"/>
        </w:rPr>
      </w:pPr>
      <w:r w:rsidRPr="00976CA0">
        <w:rPr>
          <w:color w:val="000000" w:themeColor="text1"/>
          <w:position w:val="-28"/>
        </w:rPr>
        <w:object w:dxaOrig="2880" w:dyaOrig="680" w14:anchorId="450A7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5.6pt" o:ole="">
            <v:imagedata r:id="rId8" o:title=""/>
          </v:shape>
          <o:OLEObject Type="Embed" ProgID="Equation.3" ShapeID="_x0000_i1025" DrawAspect="Content" ObjectID="_1546090407" r:id="rId9"/>
        </w:object>
      </w:r>
      <w:r w:rsidRPr="00976CA0">
        <w:rPr>
          <w:color w:val="000000" w:themeColor="text1"/>
        </w:rPr>
        <w:t>,</w:t>
      </w:r>
    </w:p>
    <w:p w14:paraId="3962C973" w14:textId="77777777" w:rsidR="007A0E08" w:rsidRPr="00976CA0" w:rsidRDefault="007A0E08" w:rsidP="007A0E08">
      <w:pPr>
        <w:spacing w:line="480" w:lineRule="auto"/>
        <w:jc w:val="both"/>
        <w:rPr>
          <w:rFonts w:ascii="Times" w:hAnsi="Times"/>
          <w:color w:val="000000" w:themeColor="text1"/>
        </w:rPr>
      </w:pPr>
      <w:r w:rsidRPr="00976CA0">
        <w:rPr>
          <w:rFonts w:ascii="Times" w:hAnsi="Times"/>
          <w:color w:val="000000" w:themeColor="text1"/>
        </w:rPr>
        <w:lastRenderedPageBreak/>
        <w:t xml:space="preserve">where </w:t>
      </w:r>
      <w:r w:rsidRPr="00976CA0">
        <w:rPr>
          <w:rFonts w:ascii="Times" w:hAnsi="Times"/>
          <w:i/>
          <w:color w:val="000000" w:themeColor="text1"/>
        </w:rPr>
        <w:t>N</w:t>
      </w:r>
      <w:r w:rsidRPr="00976CA0">
        <w:rPr>
          <w:rFonts w:ascii="Times" w:hAnsi="Times"/>
          <w:color w:val="000000" w:themeColor="text1"/>
        </w:rPr>
        <w:t xml:space="preserve"> is the number of observations, </w:t>
      </w:r>
      <w:r w:rsidRPr="00976CA0">
        <w:rPr>
          <w:rFonts w:ascii="Times" w:hAnsi="Times"/>
          <w:i/>
          <w:color w:val="000000" w:themeColor="text1"/>
        </w:rPr>
        <w:t>w</w:t>
      </w:r>
      <w:r w:rsidRPr="00976CA0">
        <w:rPr>
          <w:rFonts w:ascii="Times" w:hAnsi="Times"/>
          <w:color w:val="000000" w:themeColor="text1"/>
        </w:rPr>
        <w:t xml:space="preserve"> is the ln of wage and </w:t>
      </w:r>
      <w:r w:rsidRPr="00976CA0">
        <w:rPr>
          <w:rFonts w:ascii="Times" w:hAnsi="Times"/>
          <w:i/>
          <w:color w:val="000000" w:themeColor="text1"/>
        </w:rPr>
        <w:t>h</w:t>
      </w:r>
      <w:r w:rsidRPr="00976CA0">
        <w:rPr>
          <w:rFonts w:ascii="Times" w:hAnsi="Times"/>
          <w:color w:val="000000" w:themeColor="text1"/>
        </w:rPr>
        <w:t xml:space="preserve"> is the bandwidth</w:t>
      </w:r>
      <w:r w:rsidR="00976CA0">
        <w:rPr>
          <w:rFonts w:ascii="Times" w:hAnsi="Times"/>
          <w:color w:val="000000" w:themeColor="text1"/>
        </w:rPr>
        <w:t>.</w:t>
      </w:r>
      <w:r w:rsidRPr="00976CA0">
        <w:rPr>
          <w:rFonts w:ascii="Times" w:hAnsi="Times"/>
          <w:color w:val="000000" w:themeColor="text1"/>
        </w:rPr>
        <w:t xml:space="preserve"> </w:t>
      </w:r>
      <w:r w:rsidRPr="00976CA0">
        <w:rPr>
          <w:rFonts w:ascii="Times" w:hAnsi="Times"/>
          <w:i/>
          <w:color w:val="000000" w:themeColor="text1"/>
        </w:rPr>
        <w:t>K(.)</w:t>
      </w:r>
      <w:r w:rsidRPr="00976CA0">
        <w:rPr>
          <w:rFonts w:ascii="Times" w:hAnsi="Times"/>
          <w:color w:val="000000" w:themeColor="text1"/>
        </w:rPr>
        <w:t xml:space="preserve"> is the kernel density function which </w:t>
      </w:r>
      <w:r w:rsidRPr="00976CA0">
        <w:rPr>
          <w:color w:val="000000" w:themeColor="text1"/>
        </w:rPr>
        <w:t>satisfies:</w:t>
      </w:r>
    </w:p>
    <w:p w14:paraId="1DD72136" w14:textId="77777777" w:rsidR="007A0E08" w:rsidRPr="00976CA0" w:rsidRDefault="007A0E08" w:rsidP="007A0E08">
      <w:pPr>
        <w:pStyle w:val="ListParagraph"/>
        <w:numPr>
          <w:ilvl w:val="0"/>
          <w:numId w:val="13"/>
        </w:numPr>
        <w:spacing w:line="480" w:lineRule="auto"/>
        <w:ind w:hanging="720"/>
        <w:contextualSpacing w:val="0"/>
        <w:jc w:val="both"/>
        <w:rPr>
          <w:color w:val="000000" w:themeColor="text1"/>
        </w:rPr>
      </w:pPr>
      <w:r w:rsidRPr="00976CA0">
        <w:rPr>
          <w:position w:val="-30"/>
        </w:rPr>
        <w:object w:dxaOrig="1340" w:dyaOrig="740" w14:anchorId="3C9E6ACA">
          <v:shape id="_x0000_i1026" type="#_x0000_t75" style="width:67.15pt;height:36.4pt" o:ole="">
            <v:imagedata r:id="rId10" o:title=""/>
          </v:shape>
          <o:OLEObject Type="Embed" ProgID="Equation.3" ShapeID="_x0000_i1026" DrawAspect="Content" ObjectID="_1546090408" r:id="rId11"/>
        </w:object>
      </w:r>
      <w:r w:rsidRPr="00976CA0">
        <w:t>.</w:t>
      </w:r>
    </w:p>
    <w:p w14:paraId="6121E5B0" w14:textId="77777777" w:rsidR="00EC32B2" w:rsidRPr="00976CA0" w:rsidRDefault="009F23DE" w:rsidP="00EC32B2">
      <w:pPr>
        <w:spacing w:before="240" w:line="480" w:lineRule="auto"/>
        <w:jc w:val="both"/>
      </w:pPr>
      <w:r w:rsidRPr="00976CA0">
        <w:t xml:space="preserve">Many alternative kernel functions can be used, each </w:t>
      </w:r>
      <w:r w:rsidR="00ED6A9E" w:rsidRPr="00976CA0">
        <w:t xml:space="preserve">of which </w:t>
      </w:r>
      <w:r w:rsidR="00976CA0">
        <w:t xml:space="preserve">offers </w:t>
      </w:r>
      <w:r w:rsidRPr="00976CA0">
        <w:t xml:space="preserve">different advantages and </w:t>
      </w:r>
      <w:r w:rsidRPr="00976CA0">
        <w:rPr>
          <w:color w:val="000000" w:themeColor="text1"/>
        </w:rPr>
        <w:t>disadvantages</w:t>
      </w:r>
      <w:r w:rsidRPr="00976CA0">
        <w:t>, especially in terms of efficiency and smoothing power. In our analysis, we make use of the Gaussian kernel</w:t>
      </w:r>
      <w:r w:rsidR="00976CA0">
        <w:t>,</w:t>
      </w:r>
      <w:r w:rsidR="005722CE" w:rsidRPr="00976CA0">
        <w:t xml:space="preserve"> which</w:t>
      </w:r>
      <w:r w:rsidR="00D179B5" w:rsidRPr="00976CA0">
        <w:t xml:space="preserve"> is </w:t>
      </w:r>
      <w:r w:rsidRPr="00976CA0">
        <w:t>the height of the standard normal distribution evaluated at (</w:t>
      </w:r>
      <w:r w:rsidR="007A0E08" w:rsidRPr="00976CA0">
        <w:rPr>
          <w:i/>
        </w:rPr>
        <w:t>w</w:t>
      </w:r>
      <w:r w:rsidRPr="00976CA0">
        <w:t xml:space="preserve"> – </w:t>
      </w:r>
      <w:r w:rsidR="007A0E08" w:rsidRPr="00976CA0">
        <w:rPr>
          <w:i/>
        </w:rPr>
        <w:t>w</w:t>
      </w:r>
      <w:r w:rsidRPr="00976CA0">
        <w:rPr>
          <w:i/>
          <w:vertAlign w:val="subscript"/>
        </w:rPr>
        <w:t>i</w:t>
      </w:r>
      <w:r w:rsidRPr="00976CA0">
        <w:t xml:space="preserve">) given the bandwidth </w:t>
      </w:r>
      <w:r w:rsidRPr="00976CA0">
        <w:rPr>
          <w:i/>
        </w:rPr>
        <w:t>h</w:t>
      </w:r>
      <w:r w:rsidRPr="00976CA0">
        <w:t xml:space="preserve">. </w:t>
      </w:r>
      <w:r w:rsidR="00EC32B2" w:rsidRPr="00976CA0">
        <w:rPr>
          <w:color w:val="000000" w:themeColor="text1"/>
        </w:rPr>
        <w:t xml:space="preserve">We use the Gaussian kernel because of its </w:t>
      </w:r>
      <w:r w:rsidR="005722CE" w:rsidRPr="00976CA0">
        <w:rPr>
          <w:color w:val="000000" w:themeColor="text1"/>
        </w:rPr>
        <w:t xml:space="preserve">property of </w:t>
      </w:r>
      <w:r w:rsidR="00EC32B2" w:rsidRPr="00976CA0">
        <w:rPr>
          <w:color w:val="000000" w:themeColor="text1"/>
        </w:rPr>
        <w:t xml:space="preserve">monotonicity of peaks and </w:t>
      </w:r>
      <w:r w:rsidR="00A95D25" w:rsidRPr="00976CA0">
        <w:t>valleys</w:t>
      </w:r>
      <w:r w:rsidR="00EC32B2" w:rsidRPr="00976CA0">
        <w:rPr>
          <w:color w:val="000000" w:themeColor="text1"/>
        </w:rPr>
        <w:t xml:space="preserve"> with respect to changes in the smoothing parameter (Sheather, 2004)</w:t>
      </w:r>
      <w:r w:rsidR="00EC32B2" w:rsidRPr="00976CA0">
        <w:rPr>
          <w:rFonts w:ascii="Times" w:hAnsi="Times"/>
          <w:color w:val="000000" w:themeColor="text1"/>
        </w:rPr>
        <w:t>.</w:t>
      </w:r>
    </w:p>
    <w:p w14:paraId="6C757F4E" w14:textId="77777777" w:rsidR="00A818AF" w:rsidRPr="00976CA0" w:rsidRDefault="009F23DE" w:rsidP="00D179B5">
      <w:pPr>
        <w:spacing w:before="240" w:line="480" w:lineRule="auto"/>
        <w:jc w:val="both"/>
        <w:rPr>
          <w:color w:val="000000" w:themeColor="text1"/>
        </w:rPr>
      </w:pPr>
      <w:r w:rsidRPr="00976CA0">
        <w:rPr>
          <w:i/>
        </w:rPr>
        <w:t>h</w:t>
      </w:r>
      <w:r w:rsidRPr="00976CA0">
        <w:t xml:space="preserve"> is the crucial decision </w:t>
      </w:r>
      <w:r w:rsidR="005722CE" w:rsidRPr="00976CA0">
        <w:t xml:space="preserve">in the estimation of </w:t>
      </w:r>
      <w:r w:rsidRPr="00976CA0">
        <w:t xml:space="preserve">distributions </w:t>
      </w:r>
      <w:r w:rsidR="005722CE" w:rsidRPr="00976CA0">
        <w:t xml:space="preserve">using </w:t>
      </w:r>
      <w:r w:rsidRPr="00976CA0">
        <w:t xml:space="preserve">a nonparametric approach. </w:t>
      </w:r>
      <w:r w:rsidR="005722CE" w:rsidRPr="00976CA0">
        <w:t xml:space="preserve">A </w:t>
      </w:r>
      <w:r w:rsidRPr="00976CA0">
        <w:t xml:space="preserve">number of bandwidth selectors </w:t>
      </w:r>
      <w:r w:rsidR="005722CE" w:rsidRPr="00976CA0">
        <w:t xml:space="preserve">is </w:t>
      </w:r>
      <w:r w:rsidRPr="00976CA0">
        <w:t xml:space="preserve">available. In what follows, we report </w:t>
      </w:r>
      <w:r w:rsidR="005722CE" w:rsidRPr="00976CA0">
        <w:t xml:space="preserve">the </w:t>
      </w:r>
      <w:r w:rsidRPr="00976CA0">
        <w:t xml:space="preserve">results based on the </w:t>
      </w:r>
      <w:r w:rsidR="00EC32B2" w:rsidRPr="00976CA0">
        <w:t xml:space="preserve">average of the </w:t>
      </w:r>
      <w:r w:rsidRPr="00976CA0">
        <w:t xml:space="preserve">optimal rule of thumb proposed by Silverman (1986) since it is </w:t>
      </w:r>
      <w:r w:rsidR="005722CE" w:rsidRPr="00976CA0">
        <w:t xml:space="preserve">generally </w:t>
      </w:r>
      <w:r w:rsidRPr="00976CA0">
        <w:t xml:space="preserve">acknowledged </w:t>
      </w:r>
      <w:r w:rsidR="005722CE" w:rsidRPr="00976CA0">
        <w:t xml:space="preserve">to be the best performing, especially when </w:t>
      </w:r>
      <w:r w:rsidRPr="00976CA0">
        <w:t xml:space="preserve">the kernel density function applied to the data </w:t>
      </w:r>
      <w:r w:rsidR="007A0E08" w:rsidRPr="00976CA0">
        <w:t>is Gaussian, as in our case.</w:t>
      </w:r>
      <w:r w:rsidR="00EC32B2" w:rsidRPr="00976CA0">
        <w:t xml:space="preserve"> It </w:t>
      </w:r>
      <w:r w:rsidR="00976CA0">
        <w:t xml:space="preserve">should </w:t>
      </w:r>
      <w:r w:rsidR="00EC32B2" w:rsidRPr="00976CA0">
        <w:t>be noted that</w:t>
      </w:r>
      <w:r w:rsidR="00976CA0">
        <w:t>,</w:t>
      </w:r>
      <w:r w:rsidR="00EC32B2" w:rsidRPr="00976CA0">
        <w:t xml:space="preserve"> g</w:t>
      </w:r>
      <w:r w:rsidRPr="00976CA0">
        <w:t xml:space="preserve">iven the </w:t>
      </w:r>
      <w:r w:rsidR="005722CE" w:rsidRPr="00976CA0">
        <w:t xml:space="preserve">large numbers in </w:t>
      </w:r>
      <w:r w:rsidRPr="00976CA0">
        <w:t xml:space="preserve">our sample, the choice </w:t>
      </w:r>
      <w:r w:rsidR="005722CE" w:rsidRPr="00976CA0">
        <w:t xml:space="preserve">of </w:t>
      </w:r>
      <w:r w:rsidR="00EC32B2" w:rsidRPr="00976CA0">
        <w:t xml:space="preserve">kernel function and </w:t>
      </w:r>
      <w:r w:rsidRPr="00976CA0">
        <w:t>bandwidth selector are unlikely to affect the results</w:t>
      </w:r>
      <w:r w:rsidR="005722CE" w:rsidRPr="00976CA0">
        <w:t xml:space="preserve"> significantly</w:t>
      </w:r>
      <w:r w:rsidRPr="00976CA0">
        <w:t>.</w:t>
      </w:r>
      <w:r w:rsidR="00D179B5" w:rsidRPr="00976CA0">
        <w:t xml:space="preserve"> </w:t>
      </w:r>
      <w:r w:rsidR="007A0E08" w:rsidRPr="00976CA0">
        <w:rPr>
          <w:color w:val="000000" w:themeColor="text1"/>
        </w:rPr>
        <w:t xml:space="preserve">Marron and Schmitz </w:t>
      </w:r>
      <w:r w:rsidR="00886168" w:rsidRPr="00976CA0">
        <w:rPr>
          <w:color w:val="000000" w:themeColor="text1"/>
        </w:rPr>
        <w:fldChar w:fldCharType="begin" w:fldLock="1"/>
      </w:r>
      <w:r w:rsidR="007A0E08" w:rsidRPr="00976CA0">
        <w:rPr>
          <w:color w:val="000000" w:themeColor="text1"/>
        </w:rPr>
        <w:instrText>ADDIN CSL_CITATION { "citationItems" : [ { "id" : "ITEM-1", "itemData" : { "DOI" : "10.1017/S0266466600013177", "ISSN" : "0266-4666", "author" : [ { "dropping-particle" : "", "family" : "Marron", "given" : "J.S.", "non-dropping-particle" : "", "parse-names" : false, "suffix" : "" }, { "dropping-particle" : "", "family" : "Schmitz", "given" : "H.-P.", "non-dropping-particle" : "", "parse-names" : false, "suffix" : "" } ], "container-title" : "Econometric Theory", "id" : "ITEM-1", "issue" : "04", "issued" : { "date-parts" : [ [ "1992", "12", "18" ] ] }, "page" : "476-488", "publisher" : "Cambridge University Press", "title" : "Simultaneous Density Estimation of Several Income Distributions", "type" : "article-journal", "volume" : "8" }, "suppress-author" : 1, "uris" : [ "http://www.mendeley.com/documents/?uuid=6991abb0-5e2d-36be-aee7-9594364b8ee1" ] } ], "mendeley" : { "formattedCitation" : "(1992)", "plainTextFormattedCitation" : "(1992)", "previouslyFormattedCitation" : "(1992)" }, "properties" : { "noteIndex" : 0 }, "schema" : "https://github.com/citation-style-language/schema/raw/master/csl-citation.json" }</w:instrText>
      </w:r>
      <w:r w:rsidR="00886168" w:rsidRPr="00976CA0">
        <w:rPr>
          <w:color w:val="000000" w:themeColor="text1"/>
        </w:rPr>
        <w:fldChar w:fldCharType="separate"/>
      </w:r>
      <w:r w:rsidR="007A0E08" w:rsidRPr="00976CA0">
        <w:rPr>
          <w:noProof/>
          <w:color w:val="000000" w:themeColor="text1"/>
        </w:rPr>
        <w:t>(1992)</w:t>
      </w:r>
      <w:r w:rsidR="00886168" w:rsidRPr="00976CA0">
        <w:rPr>
          <w:color w:val="000000" w:themeColor="text1"/>
        </w:rPr>
        <w:fldChar w:fldCharType="end"/>
      </w:r>
      <w:r w:rsidR="00D179B5" w:rsidRPr="00976CA0">
        <w:rPr>
          <w:color w:val="000000" w:themeColor="text1"/>
        </w:rPr>
        <w:t xml:space="preserve"> suggest</w:t>
      </w:r>
      <w:r w:rsidR="007A0E08" w:rsidRPr="00976CA0">
        <w:rPr>
          <w:color w:val="000000" w:themeColor="text1"/>
        </w:rPr>
        <w:t xml:space="preserve"> that comparisons </w:t>
      </w:r>
      <w:r w:rsidR="00D179B5" w:rsidRPr="00976CA0">
        <w:rPr>
          <w:color w:val="000000" w:themeColor="text1"/>
        </w:rPr>
        <w:t xml:space="preserve">across distributions </w:t>
      </w:r>
      <w:r w:rsidR="005722CE" w:rsidRPr="00976CA0">
        <w:rPr>
          <w:color w:val="000000" w:themeColor="text1"/>
        </w:rPr>
        <w:t xml:space="preserve">should </w:t>
      </w:r>
      <w:r w:rsidR="007A0E08" w:rsidRPr="00976CA0">
        <w:rPr>
          <w:color w:val="000000" w:themeColor="text1"/>
        </w:rPr>
        <w:t xml:space="preserve">be made under the condition that the same kernel </w:t>
      </w:r>
      <w:r w:rsidR="007A0E08" w:rsidRPr="00976CA0">
        <w:rPr>
          <w:i/>
          <w:color w:val="000000" w:themeColor="text1"/>
        </w:rPr>
        <w:t>K()</w:t>
      </w:r>
      <w:r w:rsidR="007A0E08" w:rsidRPr="00976CA0">
        <w:rPr>
          <w:color w:val="000000" w:themeColor="text1"/>
        </w:rPr>
        <w:t xml:space="preserve">, and the same smoothing parameter </w:t>
      </w:r>
      <w:r w:rsidR="007A0E08" w:rsidRPr="00976CA0">
        <w:rPr>
          <w:i/>
          <w:color w:val="000000" w:themeColor="text1"/>
        </w:rPr>
        <w:t>h</w:t>
      </w:r>
      <w:r w:rsidR="007A0E08" w:rsidRPr="00976CA0">
        <w:rPr>
          <w:color w:val="000000" w:themeColor="text1"/>
        </w:rPr>
        <w:t xml:space="preserve"> are adopted in Eq. (1).</w:t>
      </w:r>
    </w:p>
    <w:p w14:paraId="72A1C287" w14:textId="77777777" w:rsidR="00BE4EE3" w:rsidRPr="00976CA0" w:rsidRDefault="00BE4EE3" w:rsidP="00BE4EE3">
      <w:pPr>
        <w:spacing w:before="240" w:line="480" w:lineRule="auto"/>
        <w:jc w:val="both"/>
        <w:rPr>
          <w:color w:val="000000" w:themeColor="text1"/>
        </w:rPr>
      </w:pPr>
      <w:r w:rsidRPr="00976CA0">
        <w:rPr>
          <w:color w:val="000000" w:themeColor="text1"/>
        </w:rPr>
        <w:t xml:space="preserve">In </w:t>
      </w:r>
      <w:r w:rsidR="005722CE" w:rsidRPr="00976CA0">
        <w:rPr>
          <w:color w:val="000000" w:themeColor="text1"/>
        </w:rPr>
        <w:t>F</w:t>
      </w:r>
      <w:r w:rsidRPr="00976CA0">
        <w:rPr>
          <w:color w:val="000000" w:themeColor="text1"/>
        </w:rPr>
        <w:t>igure A.1., Panel</w:t>
      </w:r>
      <w:r w:rsidR="005722CE" w:rsidRPr="00976CA0">
        <w:rPr>
          <w:color w:val="000000" w:themeColor="text1"/>
        </w:rPr>
        <w:t>s</w:t>
      </w:r>
      <w:r w:rsidRPr="00976CA0">
        <w:rPr>
          <w:color w:val="000000" w:themeColor="text1"/>
        </w:rPr>
        <w:t xml:space="preserve"> 1 and 2 report </w:t>
      </w:r>
      <w:r w:rsidR="005722CE" w:rsidRPr="00976CA0">
        <w:rPr>
          <w:color w:val="000000" w:themeColor="text1"/>
        </w:rPr>
        <w:t xml:space="preserve">the </w:t>
      </w:r>
      <w:r w:rsidRPr="00976CA0">
        <w:rPr>
          <w:color w:val="000000" w:themeColor="text1"/>
        </w:rPr>
        <w:t>results for the sample of employees and the subsample of middle managers and productive employees in the UK. Panel</w:t>
      </w:r>
      <w:r w:rsidR="005722CE" w:rsidRPr="00976CA0">
        <w:rPr>
          <w:color w:val="000000" w:themeColor="text1"/>
        </w:rPr>
        <w:t>s</w:t>
      </w:r>
      <w:r w:rsidRPr="00976CA0">
        <w:rPr>
          <w:color w:val="000000" w:themeColor="text1"/>
        </w:rPr>
        <w:t xml:space="preserve"> 3 and 4 report</w:t>
      </w:r>
      <w:r w:rsidR="005722CE" w:rsidRPr="00976CA0">
        <w:rPr>
          <w:color w:val="000000" w:themeColor="text1"/>
        </w:rPr>
        <w:t xml:space="preserve"> the</w:t>
      </w:r>
      <w:r w:rsidRPr="00976CA0">
        <w:rPr>
          <w:color w:val="000000" w:themeColor="text1"/>
        </w:rPr>
        <w:t xml:space="preserve"> </w:t>
      </w:r>
      <w:r w:rsidR="00F1674C" w:rsidRPr="00976CA0">
        <w:rPr>
          <w:color w:val="000000" w:themeColor="text1"/>
        </w:rPr>
        <w:t>results</w:t>
      </w:r>
      <w:r w:rsidRPr="00976CA0">
        <w:rPr>
          <w:color w:val="000000" w:themeColor="text1"/>
        </w:rPr>
        <w:t xml:space="preserve"> for Germany.</w:t>
      </w:r>
    </w:p>
    <w:p w14:paraId="42B0A429" w14:textId="77777777" w:rsidR="00D179B5" w:rsidRPr="00976CA0" w:rsidRDefault="00D179B5" w:rsidP="00D179B5">
      <w:pPr>
        <w:spacing w:before="720" w:line="480" w:lineRule="auto"/>
        <w:jc w:val="both"/>
        <w:outlineLvl w:val="0"/>
        <w:rPr>
          <w:b/>
          <w:color w:val="000000" w:themeColor="text1"/>
        </w:rPr>
      </w:pPr>
      <w:r w:rsidRPr="00976CA0">
        <w:rPr>
          <w:b/>
          <w:color w:val="000000" w:themeColor="text1"/>
        </w:rPr>
        <w:t xml:space="preserve">A.2. </w:t>
      </w:r>
      <w:r w:rsidR="00A818AF" w:rsidRPr="00976CA0">
        <w:rPr>
          <w:b/>
          <w:color w:val="000000" w:themeColor="text1"/>
        </w:rPr>
        <w:t>Answering “w</w:t>
      </w:r>
      <w:r w:rsidRPr="00976CA0">
        <w:rPr>
          <w:b/>
          <w:color w:val="000000" w:themeColor="text1"/>
        </w:rPr>
        <w:t>hat if</w:t>
      </w:r>
      <w:r w:rsidR="00A818AF" w:rsidRPr="00976CA0">
        <w:rPr>
          <w:b/>
          <w:color w:val="000000" w:themeColor="text1"/>
        </w:rPr>
        <w:t>” questions</w:t>
      </w:r>
      <w:r w:rsidRPr="00976CA0">
        <w:rPr>
          <w:b/>
          <w:color w:val="000000" w:themeColor="text1"/>
        </w:rPr>
        <w:t>: the semi-parametric approach to estimate distribution</w:t>
      </w:r>
      <w:r w:rsidR="005722CE" w:rsidRPr="00976CA0">
        <w:rPr>
          <w:b/>
          <w:color w:val="000000" w:themeColor="text1"/>
        </w:rPr>
        <w:t>s</w:t>
      </w:r>
    </w:p>
    <w:p w14:paraId="0D96A120" w14:textId="77777777" w:rsidR="007E6BB6" w:rsidRPr="00976CA0" w:rsidRDefault="00BE4EE3" w:rsidP="001308FF">
      <w:pPr>
        <w:spacing w:before="240" w:line="480" w:lineRule="auto"/>
        <w:jc w:val="both"/>
      </w:pPr>
      <w:r w:rsidRPr="00976CA0">
        <w:rPr>
          <w:color w:val="000000" w:themeColor="text1"/>
        </w:rPr>
        <w:t>The differences across the</w:t>
      </w:r>
      <w:r w:rsidR="00AB1BCE" w:rsidRPr="00976CA0">
        <w:rPr>
          <w:color w:val="000000" w:themeColor="text1"/>
        </w:rPr>
        <w:t xml:space="preserve"> distributions in Pane</w:t>
      </w:r>
      <w:r w:rsidRPr="00976CA0">
        <w:rPr>
          <w:color w:val="000000" w:themeColor="text1"/>
        </w:rPr>
        <w:t>l</w:t>
      </w:r>
      <w:r w:rsidR="00AB1BCE" w:rsidRPr="00976CA0">
        <w:rPr>
          <w:color w:val="000000" w:themeColor="text1"/>
        </w:rPr>
        <w:t xml:space="preserve"> 2 </w:t>
      </w:r>
      <w:r w:rsidRPr="00976CA0">
        <w:rPr>
          <w:color w:val="000000" w:themeColor="text1"/>
        </w:rPr>
        <w:t>(</w:t>
      </w:r>
      <w:r w:rsidR="00AB1BCE" w:rsidRPr="00976CA0">
        <w:rPr>
          <w:color w:val="000000" w:themeColor="text1"/>
        </w:rPr>
        <w:t xml:space="preserve">and </w:t>
      </w:r>
      <w:r w:rsidR="005722CE" w:rsidRPr="00976CA0">
        <w:rPr>
          <w:color w:val="000000" w:themeColor="text1"/>
        </w:rPr>
        <w:t>P</w:t>
      </w:r>
      <w:r w:rsidRPr="00976CA0">
        <w:rPr>
          <w:color w:val="000000" w:themeColor="text1"/>
        </w:rPr>
        <w:t xml:space="preserve">anel </w:t>
      </w:r>
      <w:r w:rsidR="00AB1BCE" w:rsidRPr="00976CA0">
        <w:rPr>
          <w:color w:val="000000" w:themeColor="text1"/>
        </w:rPr>
        <w:t xml:space="preserve">4 </w:t>
      </w:r>
      <w:r w:rsidRPr="00976CA0">
        <w:rPr>
          <w:color w:val="000000" w:themeColor="text1"/>
        </w:rPr>
        <w:t xml:space="preserve">for Germany) </w:t>
      </w:r>
      <w:r w:rsidR="00AB1BCE" w:rsidRPr="00976CA0">
        <w:rPr>
          <w:color w:val="000000" w:themeColor="text1"/>
        </w:rPr>
        <w:t xml:space="preserve">cannot be </w:t>
      </w:r>
      <w:r w:rsidR="001308FF" w:rsidRPr="00976CA0">
        <w:rPr>
          <w:color w:val="000000" w:themeColor="text1"/>
        </w:rPr>
        <w:t>taken</w:t>
      </w:r>
      <w:r w:rsidR="00AB1BCE" w:rsidRPr="00976CA0">
        <w:rPr>
          <w:color w:val="000000" w:themeColor="text1"/>
        </w:rPr>
        <w:t xml:space="preserve"> as being the premium</w:t>
      </w:r>
      <w:r w:rsidR="005722CE" w:rsidRPr="00976CA0">
        <w:rPr>
          <w:color w:val="000000" w:themeColor="text1"/>
        </w:rPr>
        <w:t>s</w:t>
      </w:r>
      <w:r w:rsidR="00AB1BCE" w:rsidRPr="00976CA0">
        <w:rPr>
          <w:color w:val="000000" w:themeColor="text1"/>
        </w:rPr>
        <w:t xml:space="preserve"> for midd</w:t>
      </w:r>
      <w:r w:rsidR="001308FF" w:rsidRPr="00976CA0">
        <w:rPr>
          <w:color w:val="000000" w:themeColor="text1"/>
        </w:rPr>
        <w:t xml:space="preserve">le management in </w:t>
      </w:r>
      <w:r w:rsidR="005722CE" w:rsidRPr="00976CA0">
        <w:rPr>
          <w:color w:val="000000" w:themeColor="text1"/>
        </w:rPr>
        <w:t xml:space="preserve">the </w:t>
      </w:r>
      <w:r w:rsidR="001308FF" w:rsidRPr="00976CA0">
        <w:rPr>
          <w:color w:val="000000" w:themeColor="text1"/>
        </w:rPr>
        <w:t>UK and Germany, because</w:t>
      </w:r>
      <w:r w:rsidR="00AB1BCE" w:rsidRPr="00976CA0">
        <w:rPr>
          <w:color w:val="000000" w:themeColor="text1"/>
        </w:rPr>
        <w:t xml:space="preserve"> they </w:t>
      </w:r>
      <w:r w:rsidR="001308FF" w:rsidRPr="00976CA0">
        <w:rPr>
          <w:color w:val="000000" w:themeColor="text1"/>
        </w:rPr>
        <w:t xml:space="preserve">do not </w:t>
      </w:r>
      <w:r w:rsidR="00AB1BCE" w:rsidRPr="00976CA0">
        <w:rPr>
          <w:color w:val="000000" w:themeColor="text1"/>
        </w:rPr>
        <w:t xml:space="preserve">take </w:t>
      </w:r>
      <w:r w:rsidR="00AB1BCE" w:rsidRPr="00976CA0">
        <w:rPr>
          <w:color w:val="000000" w:themeColor="text1"/>
        </w:rPr>
        <w:lastRenderedPageBreak/>
        <w:t>account of the difference in the personal characteristic endowments of middle managers</w:t>
      </w:r>
      <w:r w:rsidR="001308FF" w:rsidRPr="00976CA0">
        <w:rPr>
          <w:color w:val="000000" w:themeColor="text1"/>
        </w:rPr>
        <w:t xml:space="preserve"> with respect to the control group</w:t>
      </w:r>
      <w:r w:rsidR="00AB1BCE" w:rsidRPr="00976CA0">
        <w:rPr>
          <w:color w:val="000000" w:themeColor="text1"/>
        </w:rPr>
        <w:t>.</w:t>
      </w:r>
      <w:r w:rsidR="00DD3DBA" w:rsidRPr="00976CA0">
        <w:rPr>
          <w:color w:val="000000" w:themeColor="text1"/>
        </w:rPr>
        <w:t xml:space="preserve"> </w:t>
      </w:r>
      <w:r w:rsidR="005722CE" w:rsidRPr="00976CA0">
        <w:rPr>
          <w:color w:val="000000" w:themeColor="text1"/>
        </w:rPr>
        <w:t>In other words</w:t>
      </w:r>
      <w:r w:rsidR="007E6BB6" w:rsidRPr="00976CA0">
        <w:t>, use of the fully nonparametric density estimation approach makes it difficult to perform hypothesis testing exercises.</w:t>
      </w:r>
    </w:p>
    <w:p w14:paraId="66AFEF23" w14:textId="227BCE1D" w:rsidR="00DD3DBA" w:rsidRPr="00976CA0" w:rsidRDefault="007E6BB6" w:rsidP="001308FF">
      <w:pPr>
        <w:spacing w:before="240" w:line="480" w:lineRule="auto"/>
        <w:jc w:val="both"/>
        <w:rPr>
          <w:color w:val="000000" w:themeColor="text1"/>
        </w:rPr>
      </w:pPr>
      <w:r w:rsidRPr="00976CA0">
        <w:t>Therefore, as suggested by DiNardo, Fortin and Lemieux (1996), we compare the estimate of the nonparametric distribution of wages with the distribution estimated under some “what if” questions, the so-called counterfactual distributions, that is</w:t>
      </w:r>
      <w:r w:rsidR="005722CE" w:rsidRPr="00976CA0">
        <w:t>,</w:t>
      </w:r>
      <w:r w:rsidRPr="00976CA0">
        <w:t xml:space="preserve"> the distribution</w:t>
      </w:r>
      <w:r w:rsidR="005722CE" w:rsidRPr="00976CA0">
        <w:t>s</w:t>
      </w:r>
      <w:r w:rsidRPr="00976CA0">
        <w:t xml:space="preserve"> that would have prevailed in the economy if the impact of “being a middle manager” w</w:t>
      </w:r>
      <w:r w:rsidR="005722CE" w:rsidRPr="00976CA0">
        <w:t>ere</w:t>
      </w:r>
      <w:r w:rsidRPr="00976CA0">
        <w:t xml:space="preserve"> removed.</w:t>
      </w:r>
    </w:p>
    <w:p w14:paraId="0675F97F" w14:textId="77777777" w:rsidR="00A818AF" w:rsidRPr="00976CA0" w:rsidRDefault="00A818AF" w:rsidP="004F5914">
      <w:pPr>
        <w:spacing w:before="480" w:after="240" w:line="480" w:lineRule="auto"/>
        <w:jc w:val="both"/>
        <w:rPr>
          <w:color w:val="000000" w:themeColor="text1"/>
        </w:rPr>
      </w:pPr>
      <w:r w:rsidRPr="00976CA0">
        <w:rPr>
          <w:noProof/>
          <w:lang w:val="en-US" w:eastAsia="en-US"/>
        </w:rPr>
        <w:drawing>
          <wp:inline distT="0" distB="0" distL="0" distR="0" wp14:anchorId="24739409" wp14:editId="0102F025">
            <wp:extent cx="6116320" cy="5728522"/>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5728522"/>
                    </a:xfrm>
                    <a:prstGeom prst="rect">
                      <a:avLst/>
                    </a:prstGeom>
                    <a:noFill/>
                    <a:ln>
                      <a:noFill/>
                    </a:ln>
                  </pic:spPr>
                </pic:pic>
              </a:graphicData>
            </a:graphic>
          </wp:inline>
        </w:drawing>
      </w:r>
    </w:p>
    <w:p w14:paraId="76F12033" w14:textId="766775A1" w:rsidR="00AB1BCE" w:rsidRPr="00976CA0" w:rsidRDefault="00AB1BCE" w:rsidP="001308FF">
      <w:pPr>
        <w:spacing w:before="240" w:line="480" w:lineRule="auto"/>
        <w:jc w:val="both"/>
        <w:rPr>
          <w:color w:val="000000" w:themeColor="text1"/>
        </w:rPr>
      </w:pPr>
      <w:r w:rsidRPr="00976CA0">
        <w:rPr>
          <w:color w:val="000000" w:themeColor="text1"/>
        </w:rPr>
        <w:lastRenderedPageBreak/>
        <w:t xml:space="preserve">Since Oaxaca </w:t>
      </w:r>
      <w:r w:rsidR="00886168" w:rsidRPr="00976CA0">
        <w:rPr>
          <w:color w:val="000000" w:themeColor="text1"/>
        </w:rPr>
        <w:fldChar w:fldCharType="begin" w:fldLock="1"/>
      </w:r>
      <w:r w:rsidRPr="00976CA0">
        <w:rPr>
          <w:color w:val="000000" w:themeColor="text1"/>
        </w:rPr>
        <w:instrText>ADDIN CSL_CITATION { "citationItems" : [ { "id" : "ITEM-1", "itemData" : { "DOI" : "10.1080/00420986820080431", "ISBN" : "6072552749", "ISSN" : "00206598", "PMID" : "5714088", "abstract" : "CULTURE, TRADITION, AND OVERT DISCRIMINATION tend to make restrictive the terms by which women may participate in the labor force. These influences combine to generate an unfavorable occupational distribution of female workers vis-a-vis male workers and to create pay differences between males and females within the same occupation. The result is a chronic earnings gap between male and female full-time, year-round workers. Unfortunately, explanations at this level of generality are mainly descriptive. It is the purpose of this paper to estimate the average extent of discrimination against female workers in the United States and to provide a quantitative assessment of the sources of male-female wage differentials.", "author" : [ { "dropping-particle" : "", "family" : "Oaxaca Ronald", "given" : "", "non-dropping-particle" : "", "parse-names" : false, "suffix" : "" } ], "container-title" : "International Economic Review", "id" : "ITEM-1", "issue" : "3", "issued" : { "date-parts" : [ [ "1973" ] ] }, "page" : "693-709", "title" : "Male-Female Wage Differentials in Urban Labor Markets", "type" : "speech", "volume" : "14" }, "suppress-author" : 1, "uris" : [ "http://www.mendeley.com/documents/?uuid=1ef341e1-9174-43c8-b030-2dcb35e99b57" ] } ], "mendeley" : { "formattedCitation" : "(1973)", "plainTextFormattedCitation" : "(1973)", "previouslyFormattedCitation" : "(1973)" }, "properties" : { "noteIndex" : 0 }, "schema" : "https://github.com/citation-style-language/schema/raw/master/csl-citation.json" }</w:instrText>
      </w:r>
      <w:r w:rsidR="00886168" w:rsidRPr="00976CA0">
        <w:rPr>
          <w:color w:val="000000" w:themeColor="text1"/>
        </w:rPr>
        <w:fldChar w:fldCharType="separate"/>
      </w:r>
      <w:r w:rsidRPr="00976CA0">
        <w:rPr>
          <w:noProof/>
          <w:color w:val="000000" w:themeColor="text1"/>
        </w:rPr>
        <w:t>(1973)</w:t>
      </w:r>
      <w:r w:rsidR="00886168" w:rsidRPr="00976CA0">
        <w:rPr>
          <w:color w:val="000000" w:themeColor="text1"/>
        </w:rPr>
        <w:fldChar w:fldCharType="end"/>
      </w:r>
      <w:r w:rsidRPr="00976CA0">
        <w:rPr>
          <w:color w:val="000000" w:themeColor="text1"/>
        </w:rPr>
        <w:t xml:space="preserve"> and Blinder </w:t>
      </w:r>
      <w:r w:rsidR="00886168" w:rsidRPr="00976CA0">
        <w:rPr>
          <w:color w:val="000000" w:themeColor="text1"/>
        </w:rPr>
        <w:fldChar w:fldCharType="begin" w:fldLock="1"/>
      </w:r>
      <w:r w:rsidR="00287B2A">
        <w:rPr>
          <w:color w:val="000000" w:themeColor="text1"/>
        </w:rPr>
        <w:instrText>ADDIN CSL_CITATION { "citationItems" : [ { "id" : "ITEM-1", "itemData" : { "ISSN" : "0022-166X", "PMID" : "5080767", "abstract" : "Regressions explaining the wage rates of white males, black males, and white females are used to analyze the white-black wage differential among men and the male-female wage differential among whites. A distinction is drawn between reduced form and structural wage equations, and both are estimated. They are shown to have very different implications for analyzing the white-black and male-female wage differentials. When the two sets of estimates are synthesized, they jointly imply that 70 percent of the overall race differential and 100 percent of the overall sex differential are ultimately attributable to discrimination of various sorts.", "author" : [ { "dropping-particle" : "", "family" : "Blinder", "given" : "Alan S.", "non-dropping-particle" : "", "parse-names" : false, "suffix" : "" } ], "container-title" : "The Journal of Human Resources", "id" : "ITEM-1", "issue" : "4", "issued" : { "date-parts" : [ [ "1973" ] ] }, "page" : "436-455", "title" : "Wage Discrimination: Reduced Form and Structural Estimates", "type" : "article-journal", "volume" : "8" }, "suppress-author" : 1, "uris" : [ "http://www.mendeley.com/documents/?uuid=d49f77c3-7971-43a2-b01b-6c1ddc1c5deb" ] } ], "mendeley" : { "formattedCitation" : "(1973)", "plainTextFormattedCitation" : "(1973)", "previouslyFormattedCitation" : "(1973)" }, "properties" : { "noteIndex" : 0 }, "schema" : "https://github.com/citation-style-language/schema/raw/master/csl-citation.json" }</w:instrText>
      </w:r>
      <w:r w:rsidR="00886168" w:rsidRPr="00976CA0">
        <w:rPr>
          <w:color w:val="000000" w:themeColor="text1"/>
        </w:rPr>
        <w:fldChar w:fldCharType="separate"/>
      </w:r>
      <w:r w:rsidRPr="00976CA0">
        <w:rPr>
          <w:noProof/>
          <w:color w:val="000000" w:themeColor="text1"/>
        </w:rPr>
        <w:t>(1973)</w:t>
      </w:r>
      <w:r w:rsidR="00886168" w:rsidRPr="00976CA0">
        <w:rPr>
          <w:color w:val="000000" w:themeColor="text1"/>
        </w:rPr>
        <w:fldChar w:fldCharType="end"/>
      </w:r>
      <w:r w:rsidRPr="00976CA0">
        <w:rPr>
          <w:color w:val="000000" w:themeColor="text1"/>
        </w:rPr>
        <w:t>, a number of methods have been proposed to decompose differences in the mean</w:t>
      </w:r>
      <w:r w:rsidR="005722CE" w:rsidRPr="00976CA0">
        <w:rPr>
          <w:color w:val="000000" w:themeColor="text1"/>
        </w:rPr>
        <w:t>s</w:t>
      </w:r>
      <w:r w:rsidRPr="00976CA0">
        <w:rPr>
          <w:color w:val="000000" w:themeColor="text1"/>
        </w:rPr>
        <w:t xml:space="preserve"> of an outcome variable that are attributable to a number of independent variables. We are interested in the distribution of wages and rely on methods for decomposing distributional parameters other than the mean. In our work</w:t>
      </w:r>
      <w:r w:rsidR="00976CA0">
        <w:rPr>
          <w:color w:val="000000" w:themeColor="text1"/>
        </w:rPr>
        <w:t>,</w:t>
      </w:r>
      <w:r w:rsidRPr="00976CA0">
        <w:rPr>
          <w:color w:val="000000" w:themeColor="text1"/>
        </w:rPr>
        <w:t xml:space="preserve"> we adopt </w:t>
      </w:r>
      <w:r w:rsidR="005722CE" w:rsidRPr="00976CA0">
        <w:rPr>
          <w:color w:val="000000" w:themeColor="text1"/>
        </w:rPr>
        <w:t xml:space="preserve">the </w:t>
      </w:r>
      <w:r w:rsidR="00976CA0">
        <w:rPr>
          <w:color w:val="000000" w:themeColor="text1"/>
        </w:rPr>
        <w:t>I</w:t>
      </w:r>
      <w:r w:rsidRPr="00976CA0">
        <w:rPr>
          <w:color w:val="000000" w:themeColor="text1"/>
        </w:rPr>
        <w:t xml:space="preserve">nverse </w:t>
      </w:r>
      <w:r w:rsidR="00976CA0">
        <w:rPr>
          <w:color w:val="000000" w:themeColor="text1"/>
        </w:rPr>
        <w:t>P</w:t>
      </w:r>
      <w:r w:rsidRPr="00976CA0">
        <w:rPr>
          <w:color w:val="000000" w:themeColor="text1"/>
        </w:rPr>
        <w:t xml:space="preserve">robability </w:t>
      </w:r>
      <w:r w:rsidR="00976CA0">
        <w:rPr>
          <w:color w:val="000000" w:themeColor="text1"/>
        </w:rPr>
        <w:t>W</w:t>
      </w:r>
      <w:r w:rsidRPr="00976CA0">
        <w:rPr>
          <w:color w:val="000000" w:themeColor="text1"/>
        </w:rPr>
        <w:t xml:space="preserve">eighting (IPW) originally </w:t>
      </w:r>
      <w:r w:rsidR="00B85C8E" w:rsidRPr="00976CA0">
        <w:rPr>
          <w:color w:val="000000" w:themeColor="text1"/>
        </w:rPr>
        <w:t>proposed by Di</w:t>
      </w:r>
      <w:r w:rsidRPr="00976CA0">
        <w:rPr>
          <w:color w:val="000000" w:themeColor="text1"/>
        </w:rPr>
        <w:t>Nardo, Fortin and Lemieux (1996) in the context of the gender wage gap literature. This method is preferred if the aim</w:t>
      </w:r>
      <w:r w:rsidR="00976CA0">
        <w:rPr>
          <w:color w:val="000000" w:themeColor="text1"/>
        </w:rPr>
        <w:t>,</w:t>
      </w:r>
      <w:r w:rsidRPr="00976CA0">
        <w:rPr>
          <w:color w:val="000000" w:themeColor="text1"/>
        </w:rPr>
        <w:t xml:space="preserve"> as in our case, is decomposition of the overall difference in the distribution of the outcome variable into its explained and unexplained components, which is descri</w:t>
      </w:r>
      <w:r w:rsidR="004F5914" w:rsidRPr="00976CA0">
        <w:rPr>
          <w:color w:val="000000" w:themeColor="text1"/>
        </w:rPr>
        <w:t xml:space="preserve">bed as aggregate decomposition. </w:t>
      </w:r>
      <w:r w:rsidRPr="00976CA0">
        <w:rPr>
          <w:color w:val="000000" w:themeColor="text1"/>
        </w:rPr>
        <w:t>Its main advantage lies in its simplicity. Let</w:t>
      </w:r>
      <w:r w:rsidRPr="00976CA0">
        <w:rPr>
          <w:rFonts w:ascii="Times" w:hAnsi="Times"/>
          <w:color w:val="000000" w:themeColor="text1"/>
        </w:rPr>
        <w:t>:</w:t>
      </w:r>
    </w:p>
    <w:p w14:paraId="1B6D4508" w14:textId="77777777" w:rsidR="00AB1BCE" w:rsidRPr="00976CA0" w:rsidRDefault="00AB1BCE" w:rsidP="00AB1BCE">
      <w:pPr>
        <w:pStyle w:val="ListParagraph"/>
        <w:numPr>
          <w:ilvl w:val="0"/>
          <w:numId w:val="13"/>
        </w:numPr>
        <w:suppressAutoHyphens/>
        <w:autoSpaceDN w:val="0"/>
        <w:spacing w:line="480" w:lineRule="auto"/>
        <w:ind w:hanging="578"/>
        <w:contextualSpacing w:val="0"/>
        <w:jc w:val="both"/>
        <w:textAlignment w:val="baseline"/>
        <w:rPr>
          <w:color w:val="000000" w:themeColor="text1"/>
        </w:rPr>
      </w:pPr>
      <w:r w:rsidRPr="00976CA0">
        <w:rPr>
          <w:color w:val="000000" w:themeColor="text1"/>
          <w:position w:val="-16"/>
        </w:rPr>
        <w:object w:dxaOrig="2200" w:dyaOrig="440" w14:anchorId="68C36ADE">
          <v:shape id="_x0000_i1027" type="#_x0000_t75" style="width:108.4pt;height:21.85pt" o:ole="">
            <v:imagedata r:id="rId13" o:title=""/>
          </v:shape>
          <o:OLEObject Type="Embed" ProgID="Equation.3" ShapeID="_x0000_i1027" DrawAspect="Content" ObjectID="_1546090409" r:id="rId14"/>
        </w:object>
      </w:r>
    </w:p>
    <w:p w14:paraId="49FE0B2A" w14:textId="77777777" w:rsidR="00AB1BCE" w:rsidRPr="00976CA0" w:rsidRDefault="00AB1BCE" w:rsidP="00AB1BCE">
      <w:pPr>
        <w:spacing w:line="480" w:lineRule="auto"/>
        <w:jc w:val="both"/>
        <w:rPr>
          <w:rFonts w:ascii="Times" w:hAnsi="Times"/>
          <w:color w:val="000000" w:themeColor="text1"/>
        </w:rPr>
      </w:pPr>
      <w:r w:rsidRPr="00976CA0">
        <w:rPr>
          <w:rFonts w:ascii="Times" w:hAnsi="Times"/>
          <w:color w:val="000000" w:themeColor="text1"/>
        </w:rPr>
        <w:t xml:space="preserve">be the actual distribution of wages, where </w:t>
      </w:r>
      <w:r w:rsidRPr="00976CA0">
        <w:rPr>
          <w:rFonts w:ascii="Times" w:hAnsi="Times"/>
          <w:i/>
          <w:color w:val="000000" w:themeColor="text1"/>
        </w:rPr>
        <w:t>w</w:t>
      </w:r>
      <w:r w:rsidRPr="00976CA0">
        <w:rPr>
          <w:rFonts w:ascii="Times" w:hAnsi="Times"/>
          <w:color w:val="000000" w:themeColor="text1"/>
        </w:rPr>
        <w:t xml:space="preserve"> is the wage, </w:t>
      </w:r>
      <w:r w:rsidRPr="00976CA0">
        <w:rPr>
          <w:color w:val="000000" w:themeColor="text1"/>
          <w:position w:val="-14"/>
        </w:rPr>
        <w:object w:dxaOrig="720" w:dyaOrig="400" w14:anchorId="2BE7C607">
          <v:shape id="_x0000_i1028" type="#_x0000_t75" style="width:36.4pt;height:21.85pt" o:ole="">
            <v:imagedata r:id="rId15" o:title=""/>
          </v:shape>
          <o:OLEObject Type="Embed" ProgID="Equation.3" ShapeID="_x0000_i1028" DrawAspect="Content" ObjectID="_1546090410" r:id="rId16"/>
        </w:object>
      </w:r>
      <w:r w:rsidRPr="00976CA0">
        <w:rPr>
          <w:rFonts w:ascii="Times" w:hAnsi="Times"/>
          <w:color w:val="000000" w:themeColor="text1"/>
        </w:rPr>
        <w:t xml:space="preserve"> is the conditional density of wages and </w:t>
      </w:r>
      <w:r w:rsidRPr="00976CA0">
        <w:rPr>
          <w:color w:val="000000" w:themeColor="text1"/>
          <w:position w:val="-10"/>
        </w:rPr>
        <w:object w:dxaOrig="440" w:dyaOrig="320" w14:anchorId="75A4D7C0">
          <v:shape id="_x0000_i1029" type="#_x0000_t75" style="width:21.85pt;height:17pt" o:ole="">
            <v:imagedata r:id="rId17" o:title=""/>
          </v:shape>
          <o:OLEObject Type="Embed" ProgID="Equation.3" ShapeID="_x0000_i1029" DrawAspect="Content" ObjectID="_1546090411" r:id="rId18"/>
        </w:object>
      </w:r>
      <w:r w:rsidRPr="00976CA0">
        <w:rPr>
          <w:rFonts w:ascii="Times" w:hAnsi="Times"/>
          <w:color w:val="000000" w:themeColor="text1"/>
        </w:rPr>
        <w:t xml:space="preserve"> is the density of the vector of </w:t>
      </w:r>
      <w:r w:rsidRPr="00976CA0">
        <w:rPr>
          <w:rFonts w:ascii="Times" w:hAnsi="Times"/>
          <w:i/>
          <w:color w:val="000000" w:themeColor="text1"/>
        </w:rPr>
        <w:t>x</w:t>
      </w:r>
      <w:r w:rsidRPr="00976CA0">
        <w:rPr>
          <w:rFonts w:ascii="Times" w:hAnsi="Times"/>
          <w:color w:val="000000" w:themeColor="text1"/>
        </w:rPr>
        <w:t xml:space="preserve"> characteristics</w:t>
      </w:r>
      <w:r w:rsidR="00976CA0">
        <w:rPr>
          <w:rFonts w:ascii="Times" w:hAnsi="Times"/>
          <w:color w:val="000000" w:themeColor="text1"/>
        </w:rPr>
        <w:t>,</w:t>
      </w:r>
      <w:r w:rsidRPr="00976CA0">
        <w:rPr>
          <w:rFonts w:ascii="Times" w:hAnsi="Times"/>
          <w:color w:val="000000" w:themeColor="text1"/>
        </w:rPr>
        <w:t xml:space="preserve"> among which the dummy variable </w:t>
      </w:r>
      <w:r w:rsidRPr="00976CA0">
        <w:rPr>
          <w:rFonts w:ascii="Times" w:hAnsi="Times"/>
          <w:i/>
          <w:color w:val="000000" w:themeColor="text1"/>
        </w:rPr>
        <w:t>m</w:t>
      </w:r>
      <w:r w:rsidRPr="00976CA0">
        <w:rPr>
          <w:rFonts w:ascii="Times" w:hAnsi="Times"/>
          <w:color w:val="000000" w:themeColor="text1"/>
        </w:rPr>
        <w:t xml:space="preserve"> is equal to 1 if the individual is a middle manager and zero otherwise. The approach consists of comparing the distribution in Eq. (1) with the distribution of wages that would prevail if, other thing</w:t>
      </w:r>
      <w:r w:rsidR="005722CE" w:rsidRPr="00976CA0">
        <w:rPr>
          <w:rFonts w:ascii="Times" w:hAnsi="Times"/>
          <w:color w:val="000000" w:themeColor="text1"/>
        </w:rPr>
        <w:t>s</w:t>
      </w:r>
      <w:r w:rsidRPr="00976CA0">
        <w:rPr>
          <w:rFonts w:ascii="Times" w:hAnsi="Times"/>
          <w:color w:val="000000" w:themeColor="text1"/>
        </w:rPr>
        <w:t xml:space="preserve"> being equal, none of the individuals was a middle manager:</w:t>
      </w:r>
    </w:p>
    <w:p w14:paraId="31FF1A22" w14:textId="77777777" w:rsidR="00AB1BCE" w:rsidRPr="00976CA0" w:rsidRDefault="00AB1BCE" w:rsidP="00AB1BCE">
      <w:pPr>
        <w:pStyle w:val="ListParagraph"/>
        <w:numPr>
          <w:ilvl w:val="0"/>
          <w:numId w:val="13"/>
        </w:numPr>
        <w:suppressAutoHyphens/>
        <w:autoSpaceDN w:val="0"/>
        <w:spacing w:line="480" w:lineRule="auto"/>
        <w:ind w:hanging="578"/>
        <w:contextualSpacing w:val="0"/>
        <w:jc w:val="both"/>
        <w:textAlignment w:val="baseline"/>
        <w:rPr>
          <w:color w:val="000000" w:themeColor="text1"/>
        </w:rPr>
      </w:pPr>
      <w:r w:rsidRPr="00976CA0">
        <w:rPr>
          <w:color w:val="000000" w:themeColor="text1"/>
          <w:position w:val="-16"/>
        </w:rPr>
        <w:object w:dxaOrig="2620" w:dyaOrig="440" w14:anchorId="4FF5DF74">
          <v:shape id="_x0000_i1030" type="#_x0000_t75" style="width:128.65pt;height:21.85pt" o:ole="">
            <v:imagedata r:id="rId19" o:title=""/>
          </v:shape>
          <o:OLEObject Type="Embed" ProgID="Equation.3" ShapeID="_x0000_i1030" DrawAspect="Content" ObjectID="_1546090412" r:id="rId20"/>
        </w:object>
      </w:r>
      <w:r w:rsidRPr="00976CA0">
        <w:rPr>
          <w:color w:val="000000" w:themeColor="text1"/>
        </w:rPr>
        <w:t>,</w:t>
      </w:r>
    </w:p>
    <w:p w14:paraId="229A55F5" w14:textId="77777777" w:rsidR="00AB1BCE" w:rsidRPr="00976CA0" w:rsidRDefault="00AB1BCE" w:rsidP="00AB1BCE">
      <w:pPr>
        <w:spacing w:line="480" w:lineRule="auto"/>
        <w:jc w:val="both"/>
        <w:rPr>
          <w:color w:val="000000" w:themeColor="text1"/>
        </w:rPr>
      </w:pPr>
      <w:r w:rsidRPr="00976CA0">
        <w:rPr>
          <w:rFonts w:ascii="Times" w:hAnsi="Times"/>
          <w:color w:val="000000" w:themeColor="text1"/>
        </w:rPr>
        <w:t xml:space="preserve">where </w:t>
      </w:r>
      <w:r w:rsidRPr="00976CA0">
        <w:rPr>
          <w:rFonts w:ascii="Times" w:hAnsi="Times"/>
          <w:i/>
          <w:color w:val="000000" w:themeColor="text1"/>
        </w:rPr>
        <w:t>nm</w:t>
      </w:r>
      <w:r w:rsidRPr="00976CA0">
        <w:rPr>
          <w:rFonts w:ascii="Times" w:hAnsi="Times"/>
          <w:color w:val="000000" w:themeColor="text1"/>
        </w:rPr>
        <w:t xml:space="preserve"> denotes ‘not managers’ and </w:t>
      </w:r>
      <w:r w:rsidRPr="00976CA0">
        <w:rPr>
          <w:color w:val="000000" w:themeColor="text1"/>
          <w:position w:val="-14"/>
        </w:rPr>
        <w:object w:dxaOrig="880" w:dyaOrig="400" w14:anchorId="268A44FA">
          <v:shape id="_x0000_i1031" type="#_x0000_t75" style="width:44.5pt;height:21.85pt" o:ole="">
            <v:imagedata r:id="rId21" o:title=""/>
          </v:shape>
          <o:OLEObject Type="Embed" ProgID="Equation.3" ShapeID="_x0000_i1031" DrawAspect="Content" ObjectID="_1546090413" r:id="rId22"/>
        </w:object>
      </w:r>
      <w:r w:rsidRPr="00976CA0">
        <w:rPr>
          <w:rFonts w:ascii="Times" w:hAnsi="Times"/>
          <w:color w:val="000000" w:themeColor="text1"/>
        </w:rPr>
        <w:t xml:space="preserve"> is the conditional density of wages associated to this group of observations. The wage premium to management is taken as the horizontal difference between the distributions in Eq. (1), the actual distribution of wages, and Eq. (2), the counterfactual distribution of wages, that is</w:t>
      </w:r>
      <w:r w:rsidR="00653961" w:rsidRPr="00976CA0">
        <w:rPr>
          <w:rFonts w:ascii="Times" w:hAnsi="Times"/>
          <w:color w:val="000000" w:themeColor="text1"/>
        </w:rPr>
        <w:t>,</w:t>
      </w:r>
      <w:r w:rsidRPr="00976CA0">
        <w:rPr>
          <w:rFonts w:ascii="Times" w:hAnsi="Times"/>
          <w:color w:val="000000" w:themeColor="text1"/>
        </w:rPr>
        <w:t xml:space="preserve"> the distribution of wage</w:t>
      </w:r>
      <w:r w:rsidR="00653961" w:rsidRPr="00976CA0">
        <w:rPr>
          <w:rFonts w:ascii="Times" w:hAnsi="Times"/>
          <w:color w:val="000000" w:themeColor="text1"/>
        </w:rPr>
        <w:t>s</w:t>
      </w:r>
      <w:r w:rsidRPr="00976CA0">
        <w:rPr>
          <w:rFonts w:ascii="Times" w:hAnsi="Times"/>
          <w:color w:val="000000" w:themeColor="text1"/>
        </w:rPr>
        <w:t xml:space="preserve"> that would prevail if none of the individual</w:t>
      </w:r>
      <w:r w:rsidR="00653961" w:rsidRPr="00976CA0">
        <w:rPr>
          <w:rFonts w:ascii="Times" w:hAnsi="Times"/>
          <w:color w:val="000000" w:themeColor="text1"/>
        </w:rPr>
        <w:t>s</w:t>
      </w:r>
      <w:r w:rsidRPr="00976CA0">
        <w:rPr>
          <w:rFonts w:ascii="Times" w:hAnsi="Times"/>
          <w:color w:val="000000" w:themeColor="text1"/>
        </w:rPr>
        <w:t xml:space="preserve"> was a middle manager, </w:t>
      </w:r>
      <w:r w:rsidRPr="00976CA0">
        <w:rPr>
          <w:rFonts w:ascii="Times" w:hAnsi="Times"/>
          <w:i/>
          <w:color w:val="000000" w:themeColor="text1"/>
        </w:rPr>
        <w:t>other things being equal</w:t>
      </w:r>
      <w:r w:rsidRPr="00976CA0">
        <w:rPr>
          <w:rFonts w:ascii="Times" w:hAnsi="Times"/>
          <w:color w:val="000000" w:themeColor="text1"/>
        </w:rPr>
        <w:t xml:space="preserve">. This condition is obtained by using in Eq. (2) the density of the vector of </w:t>
      </w:r>
      <w:r w:rsidRPr="00976CA0">
        <w:rPr>
          <w:rFonts w:ascii="Times" w:hAnsi="Times"/>
          <w:i/>
          <w:color w:val="000000" w:themeColor="text1"/>
        </w:rPr>
        <w:t>x</w:t>
      </w:r>
      <w:r w:rsidRPr="00976CA0">
        <w:rPr>
          <w:rFonts w:ascii="Times" w:hAnsi="Times"/>
          <w:color w:val="000000" w:themeColor="text1"/>
        </w:rPr>
        <w:t xml:space="preserve"> characteristics </w:t>
      </w:r>
      <w:r w:rsidRPr="00976CA0">
        <w:rPr>
          <w:color w:val="000000" w:themeColor="text1"/>
          <w:position w:val="-10"/>
        </w:rPr>
        <w:object w:dxaOrig="440" w:dyaOrig="320" w14:anchorId="2184EA83">
          <v:shape id="_x0000_i1032" type="#_x0000_t75" style="width:21.85pt;height:17pt" o:ole="">
            <v:imagedata r:id="rId17" o:title=""/>
          </v:shape>
          <o:OLEObject Type="Embed" ProgID="Equation.3" ShapeID="_x0000_i1032" DrawAspect="Content" ObjectID="_1546090414" r:id="rId23"/>
        </w:object>
      </w:r>
      <w:r w:rsidRPr="00976CA0">
        <w:rPr>
          <w:color w:val="000000" w:themeColor="text1"/>
        </w:rPr>
        <w:t xml:space="preserve"> associated to the entire sample instead of </w:t>
      </w:r>
      <w:r w:rsidRPr="00976CA0">
        <w:rPr>
          <w:color w:val="000000" w:themeColor="text1"/>
          <w:position w:val="-14"/>
        </w:rPr>
        <w:object w:dxaOrig="1020" w:dyaOrig="400" w14:anchorId="03256635">
          <v:shape id="_x0000_i1033" type="#_x0000_t75" style="width:51.8pt;height:21.85pt" o:ole="">
            <v:imagedata r:id="rId24" o:title=""/>
          </v:shape>
          <o:OLEObject Type="Embed" ProgID="Equation.3" ShapeID="_x0000_i1033" DrawAspect="Content" ObjectID="_1546090415" r:id="rId25"/>
        </w:object>
      </w:r>
      <w:r w:rsidRPr="00976CA0">
        <w:rPr>
          <w:color w:val="000000" w:themeColor="text1"/>
        </w:rPr>
        <w:t xml:space="preserve">, </w:t>
      </w:r>
      <w:r w:rsidR="0073644A" w:rsidRPr="00976CA0">
        <w:rPr>
          <w:color w:val="000000" w:themeColor="text1"/>
        </w:rPr>
        <w:t xml:space="preserve">and </w:t>
      </w:r>
      <w:r w:rsidRPr="00976CA0">
        <w:rPr>
          <w:rFonts w:ascii="Times" w:hAnsi="Times"/>
          <w:color w:val="000000" w:themeColor="text1"/>
        </w:rPr>
        <w:t xml:space="preserve">the density of the </w:t>
      </w:r>
      <w:r w:rsidRPr="00976CA0">
        <w:rPr>
          <w:rFonts w:ascii="Times" w:hAnsi="Times"/>
          <w:i/>
          <w:color w:val="000000" w:themeColor="text1"/>
        </w:rPr>
        <w:t>x</w:t>
      </w:r>
      <w:r w:rsidRPr="00976CA0">
        <w:rPr>
          <w:rFonts w:ascii="Times" w:hAnsi="Times"/>
          <w:color w:val="000000" w:themeColor="text1"/>
        </w:rPr>
        <w:t xml:space="preserve"> characteristics associated to the subsample of observations for which </w:t>
      </w:r>
      <w:r w:rsidRPr="00976CA0">
        <w:rPr>
          <w:rFonts w:ascii="Times" w:hAnsi="Times"/>
          <w:i/>
          <w:color w:val="000000" w:themeColor="text1"/>
        </w:rPr>
        <w:t>m=0</w:t>
      </w:r>
      <w:r w:rsidRPr="00976CA0">
        <w:rPr>
          <w:rFonts w:ascii="Times" w:hAnsi="Times"/>
          <w:color w:val="000000" w:themeColor="text1"/>
        </w:rPr>
        <w:t>.</w:t>
      </w:r>
    </w:p>
    <w:p w14:paraId="15E0560C" w14:textId="24EBEBB5" w:rsidR="00AB1BCE" w:rsidRPr="00976CA0" w:rsidRDefault="00880261" w:rsidP="001308FF">
      <w:pPr>
        <w:spacing w:before="240" w:line="480" w:lineRule="auto"/>
        <w:jc w:val="both"/>
        <w:rPr>
          <w:rFonts w:ascii="Times" w:hAnsi="Times"/>
          <w:color w:val="000000" w:themeColor="text1"/>
        </w:rPr>
      </w:pPr>
      <w:r w:rsidRPr="00976CA0">
        <w:rPr>
          <w:rFonts w:ascii="Times" w:hAnsi="Times"/>
          <w:color w:val="000000" w:themeColor="text1"/>
        </w:rPr>
        <w:lastRenderedPageBreak/>
        <w:t>T</w:t>
      </w:r>
      <w:r w:rsidR="00AB1BCE" w:rsidRPr="00976CA0">
        <w:rPr>
          <w:rFonts w:ascii="Times" w:hAnsi="Times"/>
          <w:color w:val="000000" w:themeColor="text1"/>
        </w:rPr>
        <w:t>he d</w:t>
      </w:r>
      <w:r w:rsidR="00FB6577" w:rsidRPr="00976CA0">
        <w:rPr>
          <w:rFonts w:ascii="Times" w:hAnsi="Times"/>
          <w:color w:val="000000" w:themeColor="text1"/>
        </w:rPr>
        <w:t xml:space="preserve">istribution in Eq. (2) </w:t>
      </w:r>
      <w:r w:rsidRPr="00976CA0">
        <w:rPr>
          <w:rFonts w:ascii="Times" w:hAnsi="Times"/>
          <w:color w:val="000000" w:themeColor="text1"/>
        </w:rPr>
        <w:t xml:space="preserve">is </w:t>
      </w:r>
      <w:r w:rsidR="00FB6577" w:rsidRPr="00976CA0">
        <w:rPr>
          <w:rFonts w:ascii="Times" w:hAnsi="Times"/>
          <w:color w:val="000000" w:themeColor="text1"/>
        </w:rPr>
        <w:t>obtained</w:t>
      </w:r>
      <w:r w:rsidR="00AB1BCE" w:rsidRPr="00976CA0">
        <w:rPr>
          <w:rFonts w:ascii="Times" w:hAnsi="Times"/>
          <w:color w:val="000000" w:themeColor="text1"/>
        </w:rPr>
        <w:t xml:space="preserve"> </w:t>
      </w:r>
      <w:r w:rsidRPr="00976CA0">
        <w:rPr>
          <w:rFonts w:ascii="Times" w:hAnsi="Times"/>
          <w:color w:val="000000" w:themeColor="text1"/>
        </w:rPr>
        <w:t xml:space="preserve">following </w:t>
      </w:r>
      <w:r w:rsidR="00746DEC" w:rsidRPr="00976CA0">
        <w:rPr>
          <w:rFonts w:ascii="Times" w:hAnsi="Times"/>
          <w:color w:val="000000" w:themeColor="text1"/>
        </w:rPr>
        <w:t>Di</w:t>
      </w:r>
      <w:bookmarkStart w:id="0" w:name="_GoBack"/>
      <w:bookmarkEnd w:id="0"/>
      <w:r w:rsidR="00AB1BCE" w:rsidRPr="00976CA0">
        <w:rPr>
          <w:rFonts w:ascii="Times" w:hAnsi="Times"/>
          <w:color w:val="000000" w:themeColor="text1"/>
        </w:rPr>
        <w:t>Nardo, Fortin and Lemieux (1996)</w:t>
      </w:r>
      <w:r w:rsidRPr="00976CA0">
        <w:rPr>
          <w:rFonts w:ascii="Times" w:hAnsi="Times"/>
          <w:color w:val="000000" w:themeColor="text1"/>
        </w:rPr>
        <w:t xml:space="preserve">, </w:t>
      </w:r>
      <w:r w:rsidR="00653961" w:rsidRPr="00976CA0">
        <w:rPr>
          <w:rFonts w:ascii="Times" w:hAnsi="Times"/>
          <w:color w:val="000000" w:themeColor="text1"/>
        </w:rPr>
        <w:t xml:space="preserve">who </w:t>
      </w:r>
      <w:r w:rsidR="00AB1BCE" w:rsidRPr="00976CA0">
        <w:rPr>
          <w:rFonts w:ascii="Times" w:hAnsi="Times"/>
          <w:color w:val="000000" w:themeColor="text1"/>
        </w:rPr>
        <w:t>suggest explo</w:t>
      </w:r>
      <w:r w:rsidRPr="00976CA0">
        <w:rPr>
          <w:rFonts w:ascii="Times" w:hAnsi="Times"/>
          <w:color w:val="000000" w:themeColor="text1"/>
        </w:rPr>
        <w:t>iting Bayes law to obtain its</w:t>
      </w:r>
      <w:r w:rsidR="00AB1BCE" w:rsidRPr="00976CA0">
        <w:rPr>
          <w:rFonts w:ascii="Times" w:hAnsi="Times"/>
          <w:color w:val="000000" w:themeColor="text1"/>
        </w:rPr>
        <w:t xml:space="preserve"> estimate:</w:t>
      </w:r>
    </w:p>
    <w:p w14:paraId="5A51CD1F" w14:textId="77777777" w:rsidR="00AB1BCE" w:rsidRPr="00976CA0" w:rsidRDefault="00AB1BCE" w:rsidP="00AB1BCE">
      <w:pPr>
        <w:pStyle w:val="ListParagraph"/>
        <w:numPr>
          <w:ilvl w:val="0"/>
          <w:numId w:val="13"/>
        </w:numPr>
        <w:suppressAutoHyphens/>
        <w:autoSpaceDN w:val="0"/>
        <w:spacing w:line="480" w:lineRule="auto"/>
        <w:ind w:hanging="720"/>
        <w:contextualSpacing w:val="0"/>
        <w:jc w:val="both"/>
        <w:textAlignment w:val="baseline"/>
        <w:rPr>
          <w:color w:val="000000" w:themeColor="text1"/>
        </w:rPr>
      </w:pPr>
      <w:r w:rsidRPr="00976CA0">
        <w:rPr>
          <w:color w:val="000000" w:themeColor="text1"/>
          <w:position w:val="-32"/>
        </w:rPr>
        <w:object w:dxaOrig="2860" w:dyaOrig="700" w14:anchorId="4CCE9EB9">
          <v:shape id="_x0000_i1034" type="#_x0000_t75" style="width:143.2pt;height:35.6pt" o:ole="">
            <v:imagedata r:id="rId26" o:title=""/>
          </v:shape>
          <o:OLEObject Type="Embed" ProgID="Equation.3" ShapeID="_x0000_i1034" DrawAspect="Content" ObjectID="_1546090416" r:id="rId27"/>
        </w:object>
      </w:r>
      <w:r w:rsidRPr="00976CA0">
        <w:rPr>
          <w:color w:val="000000" w:themeColor="text1"/>
        </w:rPr>
        <w:t>,</w:t>
      </w:r>
    </w:p>
    <w:p w14:paraId="0F36F209" w14:textId="77777777" w:rsidR="00AB1BCE" w:rsidRPr="00976CA0" w:rsidRDefault="00AB1BCE" w:rsidP="00AB1BCE">
      <w:pPr>
        <w:spacing w:line="480" w:lineRule="auto"/>
        <w:jc w:val="both"/>
        <w:rPr>
          <w:rFonts w:ascii="Times" w:hAnsi="Times"/>
          <w:color w:val="000000" w:themeColor="text1"/>
        </w:rPr>
      </w:pPr>
      <w:r w:rsidRPr="00976CA0">
        <w:rPr>
          <w:rFonts w:ascii="Times" w:hAnsi="Times"/>
          <w:color w:val="000000" w:themeColor="text1"/>
        </w:rPr>
        <w:t xml:space="preserve">where </w:t>
      </w:r>
      <w:r w:rsidRPr="00976CA0">
        <w:rPr>
          <w:rFonts w:ascii="Times" w:hAnsi="Times"/>
          <w:color w:val="000000" w:themeColor="text1"/>
          <w:position w:val="-10"/>
        </w:rPr>
        <w:object w:dxaOrig="1040" w:dyaOrig="320" w14:anchorId="2DAC0424">
          <v:shape id="_x0000_i1035" type="#_x0000_t75" style="width:51.8pt;height:17pt" o:ole="">
            <v:imagedata r:id="rId28" o:title=""/>
          </v:shape>
          <o:OLEObject Type="Embed" ProgID="Equation.3" ShapeID="_x0000_i1035" DrawAspect="Content" ObjectID="_1546090417" r:id="rId29"/>
        </w:object>
      </w:r>
      <w:r w:rsidRPr="00976CA0">
        <w:rPr>
          <w:rFonts w:ascii="Times" w:hAnsi="Times"/>
          <w:color w:val="000000" w:themeColor="text1"/>
        </w:rPr>
        <w:t xml:space="preserve"> and </w:t>
      </w:r>
      <w:r w:rsidRPr="00976CA0">
        <w:rPr>
          <w:rFonts w:ascii="Times" w:hAnsi="Times"/>
          <w:color w:val="000000" w:themeColor="text1"/>
          <w:position w:val="-14"/>
        </w:rPr>
        <w:object w:dxaOrig="1200" w:dyaOrig="400" w14:anchorId="3B2796E5">
          <v:shape id="_x0000_i1036" type="#_x0000_t75" style="width:60.65pt;height:21.85pt" o:ole="">
            <v:imagedata r:id="rId30" o:title=""/>
          </v:shape>
          <o:OLEObject Type="Embed" ProgID="Equation.3" ShapeID="_x0000_i1036" DrawAspect="Content" ObjectID="_1546090418" r:id="rId31"/>
        </w:object>
      </w:r>
      <w:r w:rsidRPr="00976CA0">
        <w:rPr>
          <w:rFonts w:ascii="Times" w:hAnsi="Times"/>
          <w:color w:val="000000" w:themeColor="text1"/>
        </w:rPr>
        <w:t xml:space="preserve"> are the unconditional and conditional probabilities</w:t>
      </w:r>
      <w:r w:rsidR="00653961" w:rsidRPr="00976CA0">
        <w:rPr>
          <w:rFonts w:ascii="Times" w:hAnsi="Times"/>
          <w:color w:val="000000" w:themeColor="text1"/>
        </w:rPr>
        <w:t xml:space="preserve"> respectively</w:t>
      </w:r>
      <w:r w:rsidRPr="00976CA0">
        <w:rPr>
          <w:i/>
          <w:color w:val="000000" w:themeColor="text1"/>
        </w:rPr>
        <w:t xml:space="preserve"> </w:t>
      </w:r>
      <w:r w:rsidRPr="00976CA0">
        <w:rPr>
          <w:color w:val="000000" w:themeColor="text1"/>
        </w:rPr>
        <w:t>of</w:t>
      </w:r>
      <w:r w:rsidRPr="00976CA0">
        <w:rPr>
          <w:rFonts w:ascii="Times" w:hAnsi="Times"/>
          <w:color w:val="000000" w:themeColor="text1"/>
        </w:rPr>
        <w:t xml:space="preserve"> not being a middle manager. Use Eq. (3) in Eq. (2) to obtain:</w:t>
      </w:r>
    </w:p>
    <w:p w14:paraId="49EFF998" w14:textId="77777777" w:rsidR="00AB1BCE" w:rsidRPr="00976CA0" w:rsidRDefault="00AB1BCE" w:rsidP="00AB1BCE">
      <w:pPr>
        <w:numPr>
          <w:ilvl w:val="0"/>
          <w:numId w:val="13"/>
        </w:numPr>
        <w:spacing w:line="480" w:lineRule="auto"/>
        <w:ind w:hanging="720"/>
        <w:jc w:val="both"/>
        <w:rPr>
          <w:rFonts w:ascii="Times" w:hAnsi="Times"/>
          <w:color w:val="000000" w:themeColor="text1"/>
        </w:rPr>
      </w:pPr>
      <w:r w:rsidRPr="00976CA0">
        <w:rPr>
          <w:color w:val="000000" w:themeColor="text1"/>
          <w:position w:val="-16"/>
        </w:rPr>
        <w:object w:dxaOrig="3580" w:dyaOrig="440" w14:anchorId="78D4A368">
          <v:shape id="_x0000_i1037" type="#_x0000_t75" style="width:214.4pt;height:25.1pt" o:ole="">
            <v:imagedata r:id="rId32" o:title=""/>
          </v:shape>
          <o:OLEObject Type="Embed" ProgID="Equation.3" ShapeID="_x0000_i1037" DrawAspect="Content" ObjectID="_1546090419" r:id="rId33"/>
        </w:object>
      </w:r>
      <w:r w:rsidRPr="00976CA0">
        <w:rPr>
          <w:color w:val="000000" w:themeColor="text1"/>
        </w:rPr>
        <w:t>,</w:t>
      </w:r>
    </w:p>
    <w:p w14:paraId="16470A26" w14:textId="77777777" w:rsidR="00AB1BCE" w:rsidRPr="00976CA0" w:rsidRDefault="00AB1BCE" w:rsidP="00AB1BCE">
      <w:pPr>
        <w:spacing w:line="480" w:lineRule="auto"/>
        <w:jc w:val="both"/>
        <w:rPr>
          <w:rFonts w:ascii="Times" w:hAnsi="Times"/>
          <w:color w:val="000000" w:themeColor="text1"/>
        </w:rPr>
      </w:pPr>
      <w:r w:rsidRPr="00976CA0">
        <w:rPr>
          <w:rFonts w:ascii="Times" w:hAnsi="Times"/>
          <w:color w:val="000000" w:themeColor="text1"/>
        </w:rPr>
        <w:t>where:</w:t>
      </w:r>
    </w:p>
    <w:p w14:paraId="3E5D03AF" w14:textId="77777777" w:rsidR="00AB1BCE" w:rsidRPr="00976CA0" w:rsidRDefault="00AB1BCE" w:rsidP="00AB1BCE">
      <w:pPr>
        <w:numPr>
          <w:ilvl w:val="0"/>
          <w:numId w:val="13"/>
        </w:numPr>
        <w:spacing w:line="480" w:lineRule="auto"/>
        <w:ind w:hanging="720"/>
        <w:jc w:val="both"/>
        <w:rPr>
          <w:rFonts w:ascii="Times" w:hAnsi="Times"/>
          <w:color w:val="000000" w:themeColor="text1"/>
        </w:rPr>
      </w:pPr>
      <w:r w:rsidRPr="00976CA0">
        <w:rPr>
          <w:color w:val="000000" w:themeColor="text1"/>
          <w:position w:val="-32"/>
        </w:rPr>
        <w:object w:dxaOrig="2140" w:dyaOrig="700" w14:anchorId="108DD348">
          <v:shape id="_x0000_i1038" type="#_x0000_t75" style="width:106.8pt;height:35.6pt" o:ole="">
            <v:imagedata r:id="rId34" o:title=""/>
          </v:shape>
          <o:OLEObject Type="Embed" ProgID="Equation.3" ShapeID="_x0000_i1038" DrawAspect="Content" ObjectID="_1546090420" r:id="rId35"/>
        </w:object>
      </w:r>
      <w:r w:rsidRPr="00976CA0">
        <w:rPr>
          <w:color w:val="000000" w:themeColor="text1"/>
        </w:rPr>
        <w:t>.</w:t>
      </w:r>
    </w:p>
    <w:p w14:paraId="11632D0A" w14:textId="77777777" w:rsidR="00AB1BCE" w:rsidRPr="00976CA0" w:rsidRDefault="00AB1BCE" w:rsidP="001308FF">
      <w:pPr>
        <w:spacing w:before="240" w:line="480" w:lineRule="auto"/>
        <w:jc w:val="both"/>
        <w:rPr>
          <w:rFonts w:ascii="Times" w:hAnsi="Times"/>
          <w:color w:val="000000" w:themeColor="text1"/>
        </w:rPr>
      </w:pPr>
      <w:r w:rsidRPr="00976CA0">
        <w:rPr>
          <w:rFonts w:ascii="Times" w:hAnsi="Times"/>
          <w:color w:val="000000" w:themeColor="text1"/>
        </w:rPr>
        <w:t xml:space="preserve">The authors note that Eq. (4) is the distribution of wages associated to the </w:t>
      </w:r>
      <w:r w:rsidRPr="00976CA0">
        <w:rPr>
          <w:rFonts w:ascii="Times" w:hAnsi="Times"/>
          <w:i/>
          <w:color w:val="000000" w:themeColor="text1"/>
        </w:rPr>
        <w:t>nm</w:t>
      </w:r>
      <w:r w:rsidRPr="00976CA0">
        <w:rPr>
          <w:rFonts w:ascii="Times" w:hAnsi="Times"/>
          <w:color w:val="000000" w:themeColor="text1"/>
        </w:rPr>
        <w:t xml:space="preserve"> subsample up to the unknown re-weighting function, </w:t>
      </w:r>
      <w:r w:rsidRPr="00976CA0">
        <w:rPr>
          <w:color w:val="000000" w:themeColor="text1"/>
          <w:position w:val="-10"/>
        </w:rPr>
        <w:object w:dxaOrig="720" w:dyaOrig="360" w14:anchorId="2BEF266F">
          <v:shape id="_x0000_i1039" type="#_x0000_t75" style="width:36.4pt;height:17pt" o:ole="">
            <v:imagedata r:id="rId36" o:title=""/>
          </v:shape>
          <o:OLEObject Type="Embed" ProgID="Equation.3" ShapeID="_x0000_i1039" DrawAspect="Content" ObjectID="_1546090421" r:id="rId37"/>
        </w:object>
      </w:r>
      <w:r w:rsidRPr="00976CA0">
        <w:rPr>
          <w:rFonts w:ascii="Times" w:hAnsi="Times"/>
          <w:color w:val="000000" w:themeColor="text1"/>
        </w:rPr>
        <w:t xml:space="preserve">. This reweighting function is the crucial element </w:t>
      </w:r>
      <w:r w:rsidR="00653961" w:rsidRPr="00976CA0">
        <w:rPr>
          <w:rFonts w:ascii="Times" w:hAnsi="Times"/>
          <w:color w:val="000000" w:themeColor="text1"/>
        </w:rPr>
        <w:t xml:space="preserve">in </w:t>
      </w:r>
      <w:r w:rsidRPr="00976CA0">
        <w:rPr>
          <w:rFonts w:ascii="Times" w:hAnsi="Times"/>
          <w:color w:val="000000" w:themeColor="text1"/>
        </w:rPr>
        <w:t xml:space="preserve">the decomposition of the distribution of wages and is built by estimating a probit model to obtain the conditional probability of supervising other employees given </w:t>
      </w:r>
      <w:r w:rsidRPr="00976CA0">
        <w:rPr>
          <w:rFonts w:ascii="Times" w:hAnsi="Times"/>
          <w:i/>
          <w:color w:val="000000" w:themeColor="text1"/>
        </w:rPr>
        <w:t>x</w:t>
      </w:r>
      <w:r w:rsidRPr="00976CA0">
        <w:rPr>
          <w:rFonts w:ascii="Times" w:hAnsi="Times"/>
          <w:color w:val="000000" w:themeColor="text1"/>
        </w:rPr>
        <w:t>:</w:t>
      </w:r>
    </w:p>
    <w:p w14:paraId="24C391A8" w14:textId="77777777" w:rsidR="00AB1BCE" w:rsidRPr="00976CA0" w:rsidRDefault="004F5914" w:rsidP="00AB1BCE">
      <w:pPr>
        <w:numPr>
          <w:ilvl w:val="0"/>
          <w:numId w:val="13"/>
        </w:numPr>
        <w:spacing w:line="480" w:lineRule="auto"/>
        <w:ind w:hanging="720"/>
        <w:jc w:val="both"/>
        <w:rPr>
          <w:rFonts w:ascii="Times" w:hAnsi="Times"/>
          <w:color w:val="000000" w:themeColor="text1"/>
        </w:rPr>
      </w:pPr>
      <w:r w:rsidRPr="00976CA0">
        <w:rPr>
          <w:color w:val="000000" w:themeColor="text1"/>
          <w:position w:val="-14"/>
        </w:rPr>
        <w:object w:dxaOrig="1840" w:dyaOrig="400" w14:anchorId="10A2296C">
          <v:shape id="_x0000_i1040" type="#_x0000_t75" style="width:92.2pt;height:21.85pt" o:ole="">
            <v:imagedata r:id="rId38" o:title=""/>
          </v:shape>
          <o:OLEObject Type="Embed" ProgID="Equation.3" ShapeID="_x0000_i1040" DrawAspect="Content" ObjectID="_1546090422" r:id="rId39"/>
        </w:object>
      </w:r>
      <w:r w:rsidR="00AB1BCE" w:rsidRPr="00976CA0">
        <w:rPr>
          <w:color w:val="000000" w:themeColor="text1"/>
        </w:rPr>
        <w:t>,</w:t>
      </w:r>
    </w:p>
    <w:p w14:paraId="7DB79645" w14:textId="77777777" w:rsidR="00AB1BCE" w:rsidRPr="00976CA0" w:rsidRDefault="00AB1BCE" w:rsidP="00AB1BCE">
      <w:pPr>
        <w:spacing w:line="480" w:lineRule="auto"/>
        <w:jc w:val="both"/>
        <w:rPr>
          <w:rFonts w:ascii="Times" w:hAnsi="Times"/>
          <w:color w:val="000000" w:themeColor="text1"/>
        </w:rPr>
      </w:pPr>
      <w:r w:rsidRPr="00976CA0">
        <w:rPr>
          <w:rFonts w:ascii="Times" w:hAnsi="Times"/>
          <w:color w:val="000000" w:themeColor="text1"/>
        </w:rPr>
        <w:t xml:space="preserve">and using </w:t>
      </w:r>
      <w:r w:rsidR="00653961" w:rsidRPr="00976CA0">
        <w:rPr>
          <w:rFonts w:ascii="Times" w:hAnsi="Times"/>
          <w:color w:val="000000" w:themeColor="text1"/>
        </w:rPr>
        <w:t xml:space="preserve">the </w:t>
      </w:r>
      <w:r w:rsidRPr="00976CA0">
        <w:rPr>
          <w:rFonts w:ascii="Times" w:hAnsi="Times"/>
          <w:color w:val="000000" w:themeColor="text1"/>
        </w:rPr>
        <w:t>predicted values:</w:t>
      </w:r>
    </w:p>
    <w:p w14:paraId="070CD6C5" w14:textId="77777777" w:rsidR="00AB1BCE" w:rsidRPr="00976CA0" w:rsidRDefault="00AB1BCE" w:rsidP="00AB1BCE">
      <w:pPr>
        <w:numPr>
          <w:ilvl w:val="0"/>
          <w:numId w:val="13"/>
        </w:numPr>
        <w:spacing w:line="480" w:lineRule="auto"/>
        <w:ind w:hanging="720"/>
        <w:jc w:val="both"/>
        <w:rPr>
          <w:rFonts w:ascii="Times" w:hAnsi="Times"/>
          <w:color w:val="000000" w:themeColor="text1"/>
        </w:rPr>
      </w:pPr>
      <w:r w:rsidRPr="00976CA0">
        <w:rPr>
          <w:color w:val="000000" w:themeColor="text1"/>
          <w:position w:val="-32"/>
        </w:rPr>
        <w:object w:dxaOrig="2299" w:dyaOrig="700" w14:anchorId="381BD772">
          <v:shape id="_x0000_i1041" type="#_x0000_t75" style="width:114.9pt;height:35.6pt" o:ole="">
            <v:imagedata r:id="rId40" o:title=""/>
          </v:shape>
          <o:OLEObject Type="Embed" ProgID="Equation.3" ShapeID="_x0000_i1041" DrawAspect="Content" ObjectID="_1546090423" r:id="rId41"/>
        </w:object>
      </w:r>
      <w:r w:rsidRPr="00976CA0">
        <w:rPr>
          <w:color w:val="000000" w:themeColor="text1"/>
        </w:rPr>
        <w:t>,</w:t>
      </w:r>
    </w:p>
    <w:p w14:paraId="1298073B" w14:textId="77777777" w:rsidR="00AB1BCE" w:rsidRPr="00976CA0" w:rsidRDefault="00AB1BCE" w:rsidP="00AB1BCE">
      <w:pPr>
        <w:spacing w:line="480" w:lineRule="auto"/>
        <w:jc w:val="both"/>
        <w:rPr>
          <w:rFonts w:ascii="Times" w:hAnsi="Times"/>
          <w:color w:val="000000" w:themeColor="text1"/>
        </w:rPr>
      </w:pPr>
      <w:r w:rsidRPr="00976CA0">
        <w:rPr>
          <w:rFonts w:ascii="Times" w:hAnsi="Times"/>
          <w:color w:val="000000" w:themeColor="text1"/>
        </w:rPr>
        <w:t xml:space="preserve">where </w:t>
      </w:r>
      <w:r w:rsidRPr="00976CA0">
        <w:rPr>
          <w:color w:val="000000" w:themeColor="text1"/>
          <w:position w:val="-10"/>
        </w:rPr>
        <w:object w:dxaOrig="480" w:dyaOrig="340" w14:anchorId="1F2507A2">
          <v:shape id="_x0000_i1042" type="#_x0000_t75" style="width:25.1pt;height:17pt" o:ole="">
            <v:imagedata r:id="rId42" o:title=""/>
          </v:shape>
          <o:OLEObject Type="Embed" ProgID="Equation.3" ShapeID="_x0000_i1042" DrawAspect="Content" ObjectID="_1546090424" r:id="rId43"/>
        </w:object>
      </w:r>
      <w:r w:rsidRPr="00976CA0">
        <w:rPr>
          <w:color w:val="000000" w:themeColor="text1"/>
        </w:rPr>
        <w:t xml:space="preserve"> </w:t>
      </w:r>
      <w:r w:rsidR="00653961" w:rsidRPr="00976CA0">
        <w:rPr>
          <w:color w:val="000000" w:themeColor="text1"/>
        </w:rPr>
        <w:t xml:space="preserve">is the </w:t>
      </w:r>
      <w:r w:rsidRPr="00976CA0">
        <w:rPr>
          <w:color w:val="000000" w:themeColor="text1"/>
        </w:rPr>
        <w:t>fitted probability.</w:t>
      </w:r>
    </w:p>
    <w:p w14:paraId="6D5A16BB" w14:textId="77777777" w:rsidR="00AB1BCE" w:rsidRPr="00976CA0" w:rsidRDefault="00AB1BCE" w:rsidP="001308FF">
      <w:pPr>
        <w:spacing w:before="240" w:line="480" w:lineRule="auto"/>
        <w:jc w:val="both"/>
        <w:rPr>
          <w:rFonts w:ascii="Times" w:hAnsi="Times"/>
          <w:color w:val="000000" w:themeColor="text1"/>
        </w:rPr>
      </w:pPr>
      <w:r w:rsidRPr="00976CA0">
        <w:rPr>
          <w:rFonts w:ascii="Times" w:hAnsi="Times"/>
          <w:color w:val="000000" w:themeColor="text1"/>
        </w:rPr>
        <w:t>Eq. (7) give</w:t>
      </w:r>
      <w:r w:rsidR="00653961" w:rsidRPr="00976CA0">
        <w:rPr>
          <w:rFonts w:ascii="Times" w:hAnsi="Times"/>
          <w:color w:val="000000" w:themeColor="text1"/>
        </w:rPr>
        <w:t>s</w:t>
      </w:r>
      <w:r w:rsidRPr="00976CA0">
        <w:rPr>
          <w:rFonts w:ascii="Times" w:hAnsi="Times"/>
          <w:color w:val="000000" w:themeColor="text1"/>
        </w:rPr>
        <w:t xml:space="preserve"> the estimate of </w:t>
      </w:r>
      <w:r w:rsidRPr="00976CA0">
        <w:rPr>
          <w:color w:val="000000" w:themeColor="text1"/>
          <w:position w:val="-10"/>
        </w:rPr>
        <w:object w:dxaOrig="720" w:dyaOrig="360" w14:anchorId="6AA295CF">
          <v:shape id="_x0000_i1043" type="#_x0000_t75" style="width:36.4pt;height:17pt" o:ole="">
            <v:imagedata r:id="rId44" o:title=""/>
          </v:shape>
          <o:OLEObject Type="Embed" ProgID="Equation.3" ShapeID="_x0000_i1043" DrawAspect="Content" ObjectID="_1546090425" r:id="rId45"/>
        </w:object>
      </w:r>
      <w:r w:rsidRPr="00976CA0">
        <w:rPr>
          <w:color w:val="000000" w:themeColor="text1"/>
        </w:rPr>
        <w:t xml:space="preserve"> needed to reweight the distribution of wages for the subsample of employees </w:t>
      </w:r>
      <w:r w:rsidR="00653961" w:rsidRPr="00976CA0">
        <w:rPr>
          <w:color w:val="000000" w:themeColor="text1"/>
        </w:rPr>
        <w:t xml:space="preserve">who </w:t>
      </w:r>
      <w:r w:rsidRPr="00976CA0">
        <w:rPr>
          <w:color w:val="000000" w:themeColor="text1"/>
        </w:rPr>
        <w:t>are not middle managers in Eq. (2)</w:t>
      </w:r>
      <w:r w:rsidRPr="00976CA0">
        <w:rPr>
          <w:rFonts w:ascii="Times" w:hAnsi="Times"/>
          <w:color w:val="000000" w:themeColor="text1"/>
        </w:rPr>
        <w:t>. These weights are used to compute the otherwise fully non-parametric Rosenblatt-Parzen kernel density estimator:</w:t>
      </w:r>
    </w:p>
    <w:p w14:paraId="3426FBE5" w14:textId="77777777" w:rsidR="00AB1BCE" w:rsidRPr="00976CA0" w:rsidRDefault="00AB1BCE" w:rsidP="00AB1BCE">
      <w:pPr>
        <w:numPr>
          <w:ilvl w:val="0"/>
          <w:numId w:val="13"/>
        </w:numPr>
        <w:spacing w:line="480" w:lineRule="auto"/>
        <w:ind w:hanging="720"/>
        <w:jc w:val="both"/>
        <w:rPr>
          <w:rFonts w:ascii="Times" w:hAnsi="Times"/>
          <w:color w:val="000000" w:themeColor="text1"/>
        </w:rPr>
      </w:pPr>
      <w:r w:rsidRPr="00976CA0">
        <w:rPr>
          <w:color w:val="000000" w:themeColor="text1"/>
          <w:position w:val="-28"/>
        </w:rPr>
        <w:object w:dxaOrig="3440" w:dyaOrig="720" w14:anchorId="7A5A1CBC">
          <v:shape id="_x0000_i1044" type="#_x0000_t75" style="width:172.3pt;height:36.4pt" o:ole="">
            <v:imagedata r:id="rId46" o:title=""/>
          </v:shape>
          <o:OLEObject Type="Embed" ProgID="Equation.3" ShapeID="_x0000_i1044" DrawAspect="Content" ObjectID="_1546090426" r:id="rId47"/>
        </w:object>
      </w:r>
      <w:r w:rsidR="007E6BB6" w:rsidRPr="00976CA0">
        <w:rPr>
          <w:color w:val="000000" w:themeColor="text1"/>
        </w:rPr>
        <w:t>.</w:t>
      </w:r>
    </w:p>
    <w:p w14:paraId="569A52B0" w14:textId="77777777" w:rsidR="00AB1BCE" w:rsidRPr="00976CA0" w:rsidRDefault="00AB1BCE" w:rsidP="001308FF">
      <w:pPr>
        <w:spacing w:before="240" w:line="480" w:lineRule="auto"/>
        <w:jc w:val="both"/>
        <w:rPr>
          <w:color w:val="000000" w:themeColor="text1"/>
        </w:rPr>
      </w:pPr>
      <w:r w:rsidRPr="00976CA0">
        <w:rPr>
          <w:color w:val="000000" w:themeColor="text1"/>
        </w:rPr>
        <w:lastRenderedPageBreak/>
        <w:t xml:space="preserve">The </w:t>
      </w:r>
      <w:r w:rsidR="004F5914" w:rsidRPr="00976CA0">
        <w:rPr>
          <w:color w:val="000000" w:themeColor="text1"/>
        </w:rPr>
        <w:t>decomposition is performed for the</w:t>
      </w:r>
      <w:r w:rsidRPr="00976CA0">
        <w:rPr>
          <w:color w:val="000000" w:themeColor="text1"/>
        </w:rPr>
        <w:t xml:space="preserve"> UK </w:t>
      </w:r>
      <w:r w:rsidR="007E6BB6" w:rsidRPr="00976CA0">
        <w:rPr>
          <w:color w:val="000000" w:themeColor="text1"/>
        </w:rPr>
        <w:t xml:space="preserve">and Germany </w:t>
      </w:r>
      <w:r w:rsidR="00976CA0">
        <w:rPr>
          <w:color w:val="000000" w:themeColor="text1"/>
        </w:rPr>
        <w:t>separately</w:t>
      </w:r>
      <w:r w:rsidR="004F5914" w:rsidRPr="00976CA0">
        <w:rPr>
          <w:color w:val="000000" w:themeColor="text1"/>
        </w:rPr>
        <w:t>. Comparison</w:t>
      </w:r>
      <w:r w:rsidR="00653961" w:rsidRPr="00976CA0">
        <w:rPr>
          <w:color w:val="000000" w:themeColor="text1"/>
        </w:rPr>
        <w:t xml:space="preserve"> of </w:t>
      </w:r>
      <w:r w:rsidR="004F5914" w:rsidRPr="00976CA0">
        <w:rPr>
          <w:color w:val="000000" w:themeColor="text1"/>
        </w:rPr>
        <w:t xml:space="preserve">these results </w:t>
      </w:r>
      <w:r w:rsidR="00653961" w:rsidRPr="00976CA0">
        <w:rPr>
          <w:color w:val="000000" w:themeColor="text1"/>
        </w:rPr>
        <w:t xml:space="preserve">provides </w:t>
      </w:r>
      <w:r w:rsidRPr="00976CA0">
        <w:rPr>
          <w:color w:val="000000" w:themeColor="text1"/>
        </w:rPr>
        <w:t>evidence in favour</w:t>
      </w:r>
      <w:r w:rsidR="004F5914" w:rsidRPr="00976CA0">
        <w:rPr>
          <w:color w:val="000000" w:themeColor="text1"/>
        </w:rPr>
        <w:t xml:space="preserve"> </w:t>
      </w:r>
      <w:r w:rsidR="00653961" w:rsidRPr="00976CA0">
        <w:rPr>
          <w:color w:val="000000" w:themeColor="text1"/>
        </w:rPr>
        <w:t xml:space="preserve">of </w:t>
      </w:r>
      <w:r w:rsidR="004F5914" w:rsidRPr="00976CA0">
        <w:rPr>
          <w:color w:val="000000" w:themeColor="text1"/>
        </w:rPr>
        <w:t xml:space="preserve">or against </w:t>
      </w:r>
      <w:r w:rsidR="00653961" w:rsidRPr="00976CA0">
        <w:rPr>
          <w:color w:val="000000" w:themeColor="text1"/>
        </w:rPr>
        <w:t xml:space="preserve">our </w:t>
      </w:r>
      <w:r w:rsidR="007E6BB6" w:rsidRPr="00976CA0">
        <w:rPr>
          <w:color w:val="000000" w:themeColor="text1"/>
        </w:rPr>
        <w:t>hypothesis (1).</w:t>
      </w:r>
    </w:p>
    <w:p w14:paraId="79630340" w14:textId="77777777" w:rsidR="00B259B3" w:rsidRPr="00976CA0" w:rsidRDefault="001308FF" w:rsidP="00B259B3">
      <w:pPr>
        <w:spacing w:before="720" w:line="480" w:lineRule="auto"/>
        <w:jc w:val="both"/>
        <w:outlineLvl w:val="0"/>
        <w:rPr>
          <w:b/>
          <w:color w:val="000000" w:themeColor="text1"/>
        </w:rPr>
      </w:pPr>
      <w:r w:rsidRPr="00976CA0">
        <w:rPr>
          <w:b/>
          <w:color w:val="000000" w:themeColor="text1"/>
        </w:rPr>
        <w:t>A</w:t>
      </w:r>
      <w:r w:rsidR="004F5914" w:rsidRPr="00976CA0">
        <w:rPr>
          <w:b/>
          <w:color w:val="000000" w:themeColor="text1"/>
        </w:rPr>
        <w:t>.3</w:t>
      </w:r>
      <w:r w:rsidR="00AB1BCE" w:rsidRPr="00976CA0">
        <w:rPr>
          <w:b/>
          <w:color w:val="000000" w:themeColor="text1"/>
        </w:rPr>
        <w:t>. Adapting the method to international comparisons</w:t>
      </w:r>
      <w:r w:rsidR="00B259B3" w:rsidRPr="00976CA0">
        <w:rPr>
          <w:b/>
          <w:color w:val="000000" w:themeColor="text1"/>
        </w:rPr>
        <w:t xml:space="preserve">: </w:t>
      </w:r>
      <w:r w:rsidR="00653961" w:rsidRPr="00976CA0">
        <w:rPr>
          <w:b/>
          <w:color w:val="000000" w:themeColor="text1"/>
        </w:rPr>
        <w:t xml:space="preserve">which </w:t>
      </w:r>
      <w:r w:rsidR="00B259B3" w:rsidRPr="00976CA0">
        <w:rPr>
          <w:b/>
          <w:color w:val="000000" w:themeColor="text1"/>
        </w:rPr>
        <w:t>control variables?</w:t>
      </w:r>
    </w:p>
    <w:p w14:paraId="66809BDE" w14:textId="77777777" w:rsidR="00B259B3" w:rsidRPr="00976CA0" w:rsidRDefault="00B259B3" w:rsidP="00B259B3">
      <w:pPr>
        <w:spacing w:before="240" w:line="480" w:lineRule="auto"/>
        <w:jc w:val="both"/>
        <w:rPr>
          <w:color w:val="000000" w:themeColor="text1"/>
        </w:rPr>
      </w:pPr>
      <w:r w:rsidRPr="00976CA0">
        <w:rPr>
          <w:color w:val="000000" w:themeColor="text1"/>
        </w:rPr>
        <w:t>Apart from using the same kernel and the same smoothing parameter for the two samples, the decomposition exercise requires the same specification of the probit model in Eq. (8) for the UK and Germany. Therefore, in estimating the models</w:t>
      </w:r>
      <w:r w:rsidR="00653961" w:rsidRPr="00976CA0">
        <w:rPr>
          <w:color w:val="000000" w:themeColor="text1"/>
        </w:rPr>
        <w:t>,</w:t>
      </w:r>
      <w:r w:rsidRPr="00976CA0">
        <w:rPr>
          <w:color w:val="000000" w:themeColor="text1"/>
        </w:rPr>
        <w:t xml:space="preserve"> we do not apply </w:t>
      </w:r>
      <w:r w:rsidR="00653961" w:rsidRPr="00976CA0">
        <w:rPr>
          <w:color w:val="000000" w:themeColor="text1"/>
        </w:rPr>
        <w:t>a</w:t>
      </w:r>
      <w:r w:rsidRPr="00976CA0">
        <w:rPr>
          <w:color w:val="000000" w:themeColor="text1"/>
        </w:rPr>
        <w:t xml:space="preserve"> general-to-specific approach</w:t>
      </w:r>
      <w:r w:rsidR="00653961" w:rsidRPr="00976CA0">
        <w:rPr>
          <w:color w:val="000000" w:themeColor="text1"/>
        </w:rPr>
        <w:t xml:space="preserve"> since </w:t>
      </w:r>
      <w:r w:rsidRPr="00976CA0">
        <w:rPr>
          <w:color w:val="000000" w:themeColor="text1"/>
        </w:rPr>
        <w:t>this is likely to make the reduced form economy-specific, and we test the joint significance of the following groups of variables:</w:t>
      </w:r>
    </w:p>
    <w:p w14:paraId="6EE889F5" w14:textId="77777777" w:rsidR="00B259B3" w:rsidRPr="00976CA0" w:rsidRDefault="00B259B3" w:rsidP="00B259B3">
      <w:pPr>
        <w:numPr>
          <w:ilvl w:val="0"/>
          <w:numId w:val="14"/>
        </w:numPr>
        <w:spacing w:line="480" w:lineRule="auto"/>
        <w:jc w:val="both"/>
        <w:rPr>
          <w:color w:val="000000" w:themeColor="text1"/>
        </w:rPr>
      </w:pPr>
      <w:r w:rsidRPr="00976CA0">
        <w:rPr>
          <w:color w:val="000000" w:themeColor="text1"/>
        </w:rPr>
        <w:t>variables for individual characteristics: education (4 categories: at most lower secondary school, upper secondary, post-secondary education, at least tertiary); work experience (and its squared, cubic and quartic values); gender; marital status; and two dummies for citizenship type (national/non national, European/non-European);</w:t>
      </w:r>
    </w:p>
    <w:p w14:paraId="6A0174F0" w14:textId="77777777" w:rsidR="00B259B3" w:rsidRPr="00976CA0" w:rsidRDefault="00B259B3" w:rsidP="00B259B3">
      <w:pPr>
        <w:numPr>
          <w:ilvl w:val="0"/>
          <w:numId w:val="14"/>
        </w:numPr>
        <w:spacing w:line="480" w:lineRule="auto"/>
        <w:jc w:val="both"/>
        <w:rPr>
          <w:color w:val="000000" w:themeColor="text1"/>
        </w:rPr>
      </w:pPr>
      <w:r w:rsidRPr="00976CA0">
        <w:rPr>
          <w:color w:val="000000" w:themeColor="text1"/>
        </w:rPr>
        <w:t>variables associated with job characteristics (part time, full time, temporary, permanent);</w:t>
      </w:r>
    </w:p>
    <w:p w14:paraId="54EFFB9F" w14:textId="77777777" w:rsidR="00B259B3" w:rsidRPr="00976CA0" w:rsidRDefault="00B259B3" w:rsidP="00B259B3">
      <w:pPr>
        <w:numPr>
          <w:ilvl w:val="0"/>
          <w:numId w:val="14"/>
        </w:numPr>
        <w:spacing w:line="480" w:lineRule="auto"/>
        <w:jc w:val="both"/>
        <w:rPr>
          <w:color w:val="000000" w:themeColor="text1"/>
        </w:rPr>
      </w:pPr>
      <w:r w:rsidRPr="00976CA0">
        <w:rPr>
          <w:color w:val="000000" w:themeColor="text1"/>
        </w:rPr>
        <w:t>variables associated with firm characteristics (size measured by 3 dummy variables, sector of economic activity based on 13 dummy variables);</w:t>
      </w:r>
    </w:p>
    <w:p w14:paraId="1594D3D6" w14:textId="77777777" w:rsidR="00B259B3" w:rsidRPr="00976CA0" w:rsidRDefault="00B259B3" w:rsidP="00B259B3">
      <w:pPr>
        <w:numPr>
          <w:ilvl w:val="0"/>
          <w:numId w:val="14"/>
        </w:numPr>
        <w:spacing w:line="480" w:lineRule="auto"/>
        <w:jc w:val="both"/>
        <w:rPr>
          <w:color w:val="000000" w:themeColor="text1"/>
        </w:rPr>
      </w:pPr>
      <w:r w:rsidRPr="00976CA0">
        <w:rPr>
          <w:color w:val="000000" w:themeColor="text1"/>
        </w:rPr>
        <w:t>variables for individual skills (4 dummy variables measuring the skills required for the task).</w:t>
      </w:r>
    </w:p>
    <w:p w14:paraId="098F80C0" w14:textId="15301D51" w:rsidR="00B259B3" w:rsidRPr="00976CA0" w:rsidRDefault="00B259B3" w:rsidP="00B259B3">
      <w:pPr>
        <w:spacing w:before="240" w:line="480" w:lineRule="auto"/>
        <w:jc w:val="both"/>
        <w:rPr>
          <w:color w:val="000000" w:themeColor="text1"/>
        </w:rPr>
      </w:pPr>
      <w:r w:rsidRPr="00976CA0">
        <w:rPr>
          <w:color w:val="000000" w:themeColor="text1"/>
        </w:rPr>
        <w:t xml:space="preserve">The variables described in (i), (ii) and (iii) are drawn from DiNardo, Fortin and Lemieux (1996). Combined with the regressors described in (iv), they help to deal with the likely heterogeneity in the data and potential self-selection mechanisms. For instance, if the individual skills of middle managers and other employees differ systematically because the former self select into more rewarding tasks </w:t>
      </w:r>
      <w:r w:rsidR="00886168" w:rsidRPr="00976CA0">
        <w:rPr>
          <w:color w:val="000000" w:themeColor="text1"/>
        </w:rPr>
        <w:fldChar w:fldCharType="begin" w:fldLock="1"/>
      </w:r>
      <w:r w:rsidR="00704ECC">
        <w:rPr>
          <w:color w:val="000000" w:themeColor="text1"/>
        </w:rPr>
        <w:instrText>ADDIN CSL_CITATION { "citationItems" : [ { "id" : "ITEM-1", "itemData" : { "abstract" : "This paper surveys the recent literature on the causal relationship between education and earnings. I focus on four areas of work: theoretical and econometric advances in modelling the causal effect of education in the presence of heterogeneous returns to schooling; recent studies that use institutional aspects of the education system to form instrnmental variables estimates of the return to schooling; recent studies of the earnings and schooling of twins; and recent attempts to explicitly model sources of heterogeneity in the returns to education. Consistent with earlier surveys of the literature, I conclude that the average (or average marginal) return to education is not much below the estimate that emerges from a standard human capital earnings function fit by OLS. Evidence from the latest studies of identical twins suggests a small upward \"ability\" bias - on the order of 10%. A consistent finding among studies using instrnmental variables based on institutional changes in the education system is that the estimated returns to schooling are 20-40% above the corresponding OLS esti- mates. Part of the explanation for this finding may be that marginal returns to schooling for certain subgroups - particularly relatively disadvantaged groups with low education outcomes - are higher than the average marginal returns to education in the population as a whole.", "author" : [ { "dropping-particle" : "", "family" : "Card", "given" : "David", "non-dropping-particle" : "", "parse-names" : false, "suffix" : "" } ], "container-title" : "Handbook of Labor Economics", "id" : "ITEM-1", "issued" : { "date-parts" : [ [ "1999" ] ] }, "page" : "1801\u20131863", "title" : "The causal effect of education on earnings", "type" : "chapter", "volume" : "3" }, "uris" : [ "http://www.mendeley.com/documents/?uuid=2ec53dee-b4a2-4a47-9587-466eda41a11a", "http://www.mendeley.com/documents/?uuid=6ef3c1c1-20a2-4e2d-8460-6956442b0ee5" ] } ], "mendeley" : { "formattedCitation" : "(Card, 1999)", "plainTextFormattedCitation" : "(Card, 1999)", "previouslyFormattedCitation" : "(Card, 1999)" }, "properties" : { "noteIndex" : 0 }, "schema" : "https://github.com/citation-style-language/schema/raw/master/csl-citation.json" }</w:instrText>
      </w:r>
      <w:r w:rsidR="00886168" w:rsidRPr="00976CA0">
        <w:rPr>
          <w:color w:val="000000" w:themeColor="text1"/>
        </w:rPr>
        <w:fldChar w:fldCharType="separate"/>
      </w:r>
      <w:r w:rsidRPr="00976CA0">
        <w:rPr>
          <w:noProof/>
          <w:color w:val="000000" w:themeColor="text1"/>
        </w:rPr>
        <w:t>(Card, 1999)</w:t>
      </w:r>
      <w:r w:rsidR="00886168" w:rsidRPr="00976CA0">
        <w:rPr>
          <w:color w:val="000000" w:themeColor="text1"/>
        </w:rPr>
        <w:fldChar w:fldCharType="end"/>
      </w:r>
      <w:r w:rsidRPr="00976CA0">
        <w:rPr>
          <w:color w:val="000000" w:themeColor="text1"/>
        </w:rPr>
        <w:t>, then the measure we estimate is an unknown combination of the premium to management and the reward for individual skills endowments. The decision to supervise other employees or not depends upon the abilit</w:t>
      </w:r>
      <w:r w:rsidR="00653961" w:rsidRPr="00976CA0">
        <w:rPr>
          <w:color w:val="000000" w:themeColor="text1"/>
        </w:rPr>
        <w:t xml:space="preserve">ies required </w:t>
      </w:r>
      <w:r w:rsidRPr="00976CA0">
        <w:rPr>
          <w:color w:val="000000" w:themeColor="text1"/>
        </w:rPr>
        <w:t xml:space="preserve">for </w:t>
      </w:r>
      <w:r w:rsidR="00653961" w:rsidRPr="00976CA0">
        <w:rPr>
          <w:color w:val="000000" w:themeColor="text1"/>
        </w:rPr>
        <w:t xml:space="preserve">the particular </w:t>
      </w:r>
      <w:r w:rsidRPr="00976CA0">
        <w:rPr>
          <w:color w:val="000000" w:themeColor="text1"/>
        </w:rPr>
        <w:lastRenderedPageBreak/>
        <w:t xml:space="preserve">responsibility, which will result in skilled individuals systematically self-selecting into that job </w:t>
      </w:r>
      <w:r w:rsidR="00886168" w:rsidRPr="00976CA0">
        <w:rPr>
          <w:color w:val="000000" w:themeColor="text1"/>
        </w:rPr>
        <w:fldChar w:fldCharType="begin" w:fldLock="1"/>
      </w:r>
      <w:r w:rsidR="00287B2A">
        <w:rPr>
          <w:color w:val="000000" w:themeColor="text1"/>
        </w:rPr>
        <w:instrText>ADDIN CSL_CITATION { "citationItems" : [ { "id" : "ITEM-1", "itemData" : { "author" : [ { "dropping-particle" : "", "family" : "Cameron", "given" : "V.", "non-dropping-particle" : "", "parse-names" : false, "suffix" : "" }, { "dropping-particle" : "", "family" : "Heckman", "given" : "J.J.", "non-dropping-particle" : "", "parse-names" : false, "suffix" : "" } ], "container-title" : "The Journal of Political Economy", "id" : "ITEM-1", "issue" : "2", "issued" : { "date-parts" : [ [ "1998" ] ] }, "page" : "262-333", "title" : "Life cycle schooling and dynamics selection bias: Models and evidence for five cohorts of American males", "type" : "article-journal", "volume" : "106" }, "uris" : [ "http://www.mendeley.com/documents/?uuid=6f323f23-978b-4836-aab0-e98a1250ce1f", "http://www.mendeley.com/documents/?uuid=86181419-96b0-4147-87e0-3bca8d4f1616" ] } ], "mendeley" : { "formattedCitation" : "(Cameron and Heckman, 1998)", "plainTextFormattedCitation" : "(Cameron and Heckman, 1998)", "previouslyFormattedCitation" : "(Cameron and Heckman, 1998)" }, "properties" : { "noteIndex" : 0 }, "schema" : "https://github.com/citation-style-language/schema/raw/master/csl-citation.json" }</w:instrText>
      </w:r>
      <w:r w:rsidR="00886168" w:rsidRPr="00976CA0">
        <w:rPr>
          <w:color w:val="000000" w:themeColor="text1"/>
        </w:rPr>
        <w:fldChar w:fldCharType="separate"/>
      </w:r>
      <w:r w:rsidR="00704ECC" w:rsidRPr="00704ECC">
        <w:rPr>
          <w:noProof/>
          <w:color w:val="000000" w:themeColor="text1"/>
        </w:rPr>
        <w:t>(Cameron and Heckman, 1998)</w:t>
      </w:r>
      <w:r w:rsidR="00886168" w:rsidRPr="00976CA0">
        <w:rPr>
          <w:color w:val="000000" w:themeColor="text1"/>
        </w:rPr>
        <w:fldChar w:fldCharType="end"/>
      </w:r>
      <w:r w:rsidRPr="00976CA0">
        <w:rPr>
          <w:color w:val="000000" w:themeColor="text1"/>
        </w:rPr>
        <w:t>.</w:t>
      </w:r>
    </w:p>
    <w:p w14:paraId="614B0E94" w14:textId="50394ED3" w:rsidR="00B259B3" w:rsidRPr="00976CA0" w:rsidRDefault="00B259B3" w:rsidP="00B259B3">
      <w:pPr>
        <w:spacing w:before="240" w:line="480" w:lineRule="auto"/>
        <w:jc w:val="both"/>
        <w:rPr>
          <w:color w:val="000000" w:themeColor="text1"/>
        </w:rPr>
      </w:pPr>
      <w:r w:rsidRPr="00976CA0">
        <w:rPr>
          <w:color w:val="000000" w:themeColor="text1"/>
        </w:rPr>
        <w:t xml:space="preserve">The literature on the gender wage gap suggests that this problem should be handled by adopting a panel data approach </w:t>
      </w:r>
      <w:r w:rsidR="00886168" w:rsidRPr="00976CA0">
        <w:rPr>
          <w:color w:val="000000" w:themeColor="text1"/>
        </w:rPr>
        <w:fldChar w:fldCharType="begin" w:fldLock="1"/>
      </w:r>
      <w:r w:rsidR="00287B2A">
        <w:rPr>
          <w:color w:val="000000" w:themeColor="text1"/>
        </w:rPr>
        <w:instrText>ADDIN CSL_CITATION { "citationItems" : [ { "id" : "ITEM-1", "itemData" : { "abstract" : "This chapter provides a comprehensive overview of decomposition methods that have been developed since the seminal work of Oaxaca and Blinder in the early 1970s. These methods are used to decompose the difference in a distributional statistic between two groups, or its change over time, into various explanatory factors. While the original work of Oaxaca and Blinder considered the case of the mean, our main focus is on other distributional statistics besides the mean such as quantiles, the Gini coefficient or the variance. We discuss the assumptions required for identifying the different elements of the decomposition, as well as various estimation methods proposed in the literature. We also illustrate how these methods work in practice by discussing existing applications and working through a set of empirical examples throughout the paper.", "author" : [ { "dropping-particle" : "", "family" : "Fortin", "given" : "Nicole", "non-dropping-particle" : "", "parse-names" : false, "suffix" : "" }, { "dropping-particle" : "", "family" : "Lemieux", "given" : "Thomas", "non-dropping-particle" : "", "parse-names" : false, "suffix" : "" }, { "dropping-particle" : "", "family" : "Firpo", "given" : "Sergio", "non-dropping-particle" : "", "parse-names" : false, "suffix" : "" } ], "container-title" : "NBER Working Paper No. 16045", "id" : "ITEM-1", "issued" : { "date-parts" : [ [ "2010" ] ] }, "page" : "1-118", "title" : "Decomposition methods in ecnomics", "type" : "article-journal" }, "uris" : [ "http://www.mendeley.com/documents/?uuid=85a60bd8-07ad-4007-a098-4a1a972c8eed" ] } ], "mendeley" : { "formattedCitation" : "(Fortin, Lemieux, and Firpo, 2010)", "manualFormatting" : "(Fortin, Lemieux and Firpo, 2010)", "plainTextFormattedCitation" : "(Fortin, Lemieux, and Firpo, 2010)", "previouslyFormattedCitation" : "(Fortin, Lemieux, and Firpo, 2010)" }, "properties" : { "noteIndex" : 0 }, "schema" : "https://github.com/citation-style-language/schema/raw/master/csl-citation.json" }</w:instrText>
      </w:r>
      <w:r w:rsidR="00886168" w:rsidRPr="00976CA0">
        <w:rPr>
          <w:color w:val="000000" w:themeColor="text1"/>
        </w:rPr>
        <w:fldChar w:fldCharType="separate"/>
      </w:r>
      <w:r w:rsidRPr="00976CA0">
        <w:rPr>
          <w:noProof/>
          <w:color w:val="000000" w:themeColor="text1"/>
        </w:rPr>
        <w:t>(Fortin, Lemieux and Firpo, 2010)</w:t>
      </w:r>
      <w:r w:rsidR="00886168" w:rsidRPr="00976CA0">
        <w:rPr>
          <w:color w:val="000000" w:themeColor="text1"/>
        </w:rPr>
        <w:fldChar w:fldCharType="end"/>
      </w:r>
      <w:r w:rsidRPr="00976CA0">
        <w:rPr>
          <w:color w:val="000000" w:themeColor="text1"/>
        </w:rPr>
        <w:t xml:space="preserve">. However, in our context, this is not feasible since the EU-SILC survey data are cross sectional. In our context, using panel data </w:t>
      </w:r>
      <w:r w:rsidR="00653961" w:rsidRPr="00976CA0">
        <w:rPr>
          <w:color w:val="000000" w:themeColor="text1"/>
        </w:rPr>
        <w:t xml:space="preserve">would be </w:t>
      </w:r>
      <w:r w:rsidRPr="00976CA0">
        <w:rPr>
          <w:color w:val="000000" w:themeColor="text1"/>
        </w:rPr>
        <w:t xml:space="preserve">unattractive </w:t>
      </w:r>
      <w:r w:rsidR="00653961" w:rsidRPr="00976CA0">
        <w:rPr>
          <w:color w:val="000000" w:themeColor="text1"/>
        </w:rPr>
        <w:t>also because</w:t>
      </w:r>
      <w:r w:rsidRPr="00976CA0">
        <w:rPr>
          <w:color w:val="000000" w:themeColor="text1"/>
        </w:rPr>
        <w:t xml:space="preserve">: 1) the estimating probability model is non-linear so the assumption of separability is unlikely to hold; and 2) disentangling individual effects is problematic </w:t>
      </w:r>
      <w:r w:rsidR="00653961" w:rsidRPr="00976CA0">
        <w:rPr>
          <w:color w:val="000000" w:themeColor="text1"/>
        </w:rPr>
        <w:t>since</w:t>
      </w:r>
      <w:r w:rsidRPr="00976CA0">
        <w:rPr>
          <w:color w:val="000000" w:themeColor="text1"/>
        </w:rPr>
        <w:t xml:space="preserve"> individual fixed effects can be computed only if the individual experiences both statuses (being a supervisor and not being a supervisor) over the (eventually available) time span. </w:t>
      </w:r>
      <w:r w:rsidR="00653961" w:rsidRPr="00976CA0">
        <w:rPr>
          <w:color w:val="000000" w:themeColor="text1"/>
        </w:rPr>
        <w:t xml:space="preserve">Therefore, we </w:t>
      </w:r>
      <w:r w:rsidRPr="00976CA0">
        <w:rPr>
          <w:color w:val="000000" w:themeColor="text1"/>
        </w:rPr>
        <w:t xml:space="preserve">follow Picchio and Mussida </w:t>
      </w:r>
      <w:r w:rsidR="00886168" w:rsidRPr="00976CA0">
        <w:rPr>
          <w:color w:val="000000" w:themeColor="text1"/>
        </w:rPr>
        <w:fldChar w:fldCharType="begin" w:fldLock="1"/>
      </w:r>
      <w:r w:rsidRPr="00976CA0">
        <w:rPr>
          <w:color w:val="000000" w:themeColor="text1"/>
        </w:rPr>
        <w:instrText>ADDIN CSL_CITATION { "citationItems" : [ { "id" : "ITEM-1", "itemData" : { "DOI" : "10.1016/j.labeco.2011.05.003", "ISBN" : "09275371", "ISSN" : "09275371", "PMID" : "1263263", "abstract" : "Sizeable gender differences in employment rates are observed in many countries. Sample selection into the workforce might therefore be a relevant issue when estimating gender wage gaps. We propose a semi-parametric estimator of densities in the presence of covariates which incorporates sample selection. We describe a simulation algorithm to implement counterfactual comparisons of densities. The proposed methodology is used to investigate the gender wage gap in Italy. We find that, when sample selection is taken into account, the gender wage gap widens, especially at the bottom of the wage distribution. \u00a9 2011 Elsevier B.V.", "author" : [ { "dropping-particle" : "", "family" : "Picchio", "given" : "Matteo", "non-dropping-particle" : "", "parse-names" : false, "suffix" : "" }, { "dropping-particle" : "", "family" : "Mussida", "given" : "Chiara", "non-dropping-particle" : "", "parse-names" : false, "suffix" : "" } ], "container-title" : "Labour Economics", "id" : "ITEM-1", "issue" : "5", "issued" : { "date-parts" : [ [ "2011" ] ] }, "page" : "564-578", "title" : "Gender wage gap: A semi-parametric approach with sample selection correction", "type" : "article-journal", "volume" : "18" }, "suppress-author" : 1, "uris" : [ "http://www.mendeley.com/documents/?uuid=1c2a456b-520b-355e-92c2-817e14746b21" ] } ], "mendeley" : { "formattedCitation" : "(2011)", "plainTextFormattedCitation" : "(2011)", "previouslyFormattedCitation" : "(2011)" }, "properties" : { "noteIndex" : 0 }, "schema" : "https://github.com/citation-style-language/schema/raw/master/csl-citation.json" }</w:instrText>
      </w:r>
      <w:r w:rsidR="00886168" w:rsidRPr="00976CA0">
        <w:rPr>
          <w:color w:val="000000" w:themeColor="text1"/>
        </w:rPr>
        <w:fldChar w:fldCharType="separate"/>
      </w:r>
      <w:r w:rsidRPr="00976CA0">
        <w:rPr>
          <w:noProof/>
          <w:color w:val="000000" w:themeColor="text1"/>
        </w:rPr>
        <w:t>(2011)</w:t>
      </w:r>
      <w:r w:rsidR="00886168" w:rsidRPr="00976CA0">
        <w:rPr>
          <w:color w:val="000000" w:themeColor="text1"/>
        </w:rPr>
        <w:fldChar w:fldCharType="end"/>
      </w:r>
      <w:r w:rsidRPr="00976CA0">
        <w:rPr>
          <w:color w:val="000000" w:themeColor="text1"/>
        </w:rPr>
        <w:t xml:space="preserve"> and use the International Standard Classification of Occupations (ISCO-88). These variables are associated with the type of job chosen by the individual. The categories range from jobs </w:t>
      </w:r>
      <w:r w:rsidR="00653961" w:rsidRPr="00976CA0">
        <w:rPr>
          <w:color w:val="000000" w:themeColor="text1"/>
        </w:rPr>
        <w:t>that</w:t>
      </w:r>
      <w:r w:rsidRPr="00976CA0">
        <w:rPr>
          <w:color w:val="000000" w:themeColor="text1"/>
        </w:rPr>
        <w:t xml:space="preserve"> require a relatively low level of skill</w:t>
      </w:r>
      <w:r w:rsidR="00653961" w:rsidRPr="00976CA0">
        <w:rPr>
          <w:color w:val="000000" w:themeColor="text1"/>
        </w:rPr>
        <w:t>,</w:t>
      </w:r>
      <w:r w:rsidRPr="00976CA0">
        <w:rPr>
          <w:color w:val="000000" w:themeColor="text1"/>
        </w:rPr>
        <w:t xml:space="preserve"> such as plant and machine</w:t>
      </w:r>
      <w:r w:rsidR="00653961" w:rsidRPr="00976CA0">
        <w:rPr>
          <w:color w:val="000000" w:themeColor="text1"/>
        </w:rPr>
        <w:t>ry</w:t>
      </w:r>
      <w:r w:rsidRPr="00976CA0">
        <w:rPr>
          <w:color w:val="000000" w:themeColor="text1"/>
        </w:rPr>
        <w:t xml:space="preserve"> operators and assemblers, to jobs </w:t>
      </w:r>
      <w:r w:rsidR="00653961" w:rsidRPr="00976CA0">
        <w:rPr>
          <w:color w:val="000000" w:themeColor="text1"/>
        </w:rPr>
        <w:t xml:space="preserve">that </w:t>
      </w:r>
      <w:r w:rsidRPr="00976CA0">
        <w:rPr>
          <w:color w:val="000000" w:themeColor="text1"/>
        </w:rPr>
        <w:t>requir</w:t>
      </w:r>
      <w:r w:rsidR="00653961" w:rsidRPr="00976CA0">
        <w:rPr>
          <w:color w:val="000000" w:themeColor="text1"/>
        </w:rPr>
        <w:t>e</w:t>
      </w:r>
      <w:r w:rsidRPr="00976CA0">
        <w:rPr>
          <w:color w:val="000000" w:themeColor="text1"/>
        </w:rPr>
        <w:t xml:space="preserve"> professional</w:t>
      </w:r>
      <w:r w:rsidR="00653961" w:rsidRPr="00976CA0">
        <w:rPr>
          <w:color w:val="000000" w:themeColor="text1"/>
        </w:rPr>
        <w:t xml:space="preserve"> skills such as</w:t>
      </w:r>
      <w:r w:rsidRPr="00976CA0">
        <w:rPr>
          <w:color w:val="000000" w:themeColor="text1"/>
        </w:rPr>
        <w:t xml:space="preserve"> legislators and senior officials, and CEO/non-CEO positions. The variables refer explicitly to the skill level</w:t>
      </w:r>
      <w:r w:rsidR="00653961" w:rsidRPr="00976CA0">
        <w:rPr>
          <w:color w:val="000000" w:themeColor="text1"/>
        </w:rPr>
        <w:t xml:space="preserve"> required</w:t>
      </w:r>
      <w:r w:rsidRPr="00976CA0">
        <w:rPr>
          <w:color w:val="000000" w:themeColor="text1"/>
        </w:rPr>
        <w:t xml:space="preserve"> for the job:</w:t>
      </w:r>
    </w:p>
    <w:p w14:paraId="177B32E3" w14:textId="77777777" w:rsidR="00B259B3" w:rsidRPr="00976CA0" w:rsidRDefault="00B259B3" w:rsidP="00B259B3">
      <w:pPr>
        <w:spacing w:before="240" w:after="240" w:line="360" w:lineRule="auto"/>
        <w:ind w:left="567" w:right="618"/>
        <w:jc w:val="both"/>
        <w:rPr>
          <w:color w:val="000000" w:themeColor="text1"/>
        </w:rPr>
      </w:pPr>
      <w:r w:rsidRPr="00976CA0">
        <w:rPr>
          <w:color w:val="000000" w:themeColor="text1"/>
        </w:rPr>
        <w:t>the basis for the classification in the ISCO-88 scheme is the nature of the job itself and the level of skills required. A job is defined as the set of tasks and duties to be performed. Skills are the abilities to carry out the tasks and duties of a job. Skills consist of two dimensions: skills level and domain specialization (EU-SILC 2009).</w:t>
      </w:r>
    </w:p>
    <w:p w14:paraId="6C5BF040" w14:textId="77777777" w:rsidR="009726BF" w:rsidRPr="00976CA0" w:rsidRDefault="00B259B3" w:rsidP="00B259B3">
      <w:pPr>
        <w:spacing w:line="480" w:lineRule="auto"/>
        <w:jc w:val="both"/>
        <w:rPr>
          <w:color w:val="000000" w:themeColor="text1"/>
        </w:rPr>
      </w:pPr>
      <w:r w:rsidRPr="00976CA0">
        <w:rPr>
          <w:color w:val="000000" w:themeColor="text1"/>
        </w:rPr>
        <w:t xml:space="preserve">We take the number of accurate predictions for the different models as the criteria for choosing among the alternative reduced form models. We note that, because the counterfactual wage premium is computed as the difference between </w:t>
      </w:r>
      <w:r w:rsidR="00D257EC" w:rsidRPr="00976CA0">
        <w:rPr>
          <w:color w:val="000000" w:themeColor="text1"/>
        </w:rPr>
        <w:t>premiums</w:t>
      </w:r>
      <w:r w:rsidRPr="00976CA0">
        <w:rPr>
          <w:color w:val="000000" w:themeColor="text1"/>
        </w:rPr>
        <w:t>, the potential residual bias due to self-selection mechanisms is further dissipated unless there are reasons to expect that skilled individuals working in the UK self-select in</w:t>
      </w:r>
      <w:r w:rsidR="00D210F0" w:rsidRPr="00976CA0">
        <w:rPr>
          <w:color w:val="000000" w:themeColor="text1"/>
        </w:rPr>
        <w:t>to</w:t>
      </w:r>
      <w:r w:rsidRPr="00976CA0">
        <w:rPr>
          <w:color w:val="000000" w:themeColor="text1"/>
        </w:rPr>
        <w:t xml:space="preserve"> jobs differently</w:t>
      </w:r>
      <w:r w:rsidR="00D210F0" w:rsidRPr="00976CA0">
        <w:rPr>
          <w:color w:val="000000" w:themeColor="text1"/>
        </w:rPr>
        <w:t xml:space="preserve"> from</w:t>
      </w:r>
      <w:r w:rsidRPr="00976CA0">
        <w:rPr>
          <w:color w:val="000000" w:themeColor="text1"/>
        </w:rPr>
        <w:t xml:space="preserve"> German</w:t>
      </w:r>
      <w:r w:rsidR="00D210F0" w:rsidRPr="00976CA0">
        <w:rPr>
          <w:color w:val="000000" w:themeColor="text1"/>
        </w:rPr>
        <w:t xml:space="preserve"> individuals</w:t>
      </w:r>
      <w:r w:rsidRPr="00976CA0">
        <w:rPr>
          <w:color w:val="000000" w:themeColor="text1"/>
        </w:rPr>
        <w:t>.</w:t>
      </w:r>
    </w:p>
    <w:p w14:paraId="1E1CB386" w14:textId="77777777" w:rsidR="0008763F" w:rsidRPr="00976CA0" w:rsidRDefault="002C0247" w:rsidP="009726BF">
      <w:pPr>
        <w:spacing w:before="720" w:line="480" w:lineRule="auto"/>
        <w:jc w:val="both"/>
        <w:outlineLvl w:val="0"/>
        <w:rPr>
          <w:b/>
          <w:color w:val="000000" w:themeColor="text1"/>
        </w:rPr>
      </w:pPr>
      <w:r w:rsidRPr="00976CA0">
        <w:rPr>
          <w:b/>
          <w:color w:val="000000" w:themeColor="text1"/>
        </w:rPr>
        <w:lastRenderedPageBreak/>
        <w:t>A4</w:t>
      </w:r>
      <w:r w:rsidR="0008763F" w:rsidRPr="00976CA0">
        <w:rPr>
          <w:b/>
          <w:color w:val="000000" w:themeColor="text1"/>
        </w:rPr>
        <w:t xml:space="preserve">. </w:t>
      </w:r>
      <w:r w:rsidRPr="00976CA0">
        <w:rPr>
          <w:b/>
          <w:color w:val="000000" w:themeColor="text1"/>
        </w:rPr>
        <w:t xml:space="preserve">Wage as a proxy </w:t>
      </w:r>
      <w:r w:rsidR="00D210F0" w:rsidRPr="00976CA0">
        <w:rPr>
          <w:b/>
          <w:color w:val="000000" w:themeColor="text1"/>
        </w:rPr>
        <w:t xml:space="preserve">for </w:t>
      </w:r>
      <w:r w:rsidRPr="00976CA0">
        <w:rPr>
          <w:b/>
          <w:color w:val="000000" w:themeColor="text1"/>
        </w:rPr>
        <w:t>ability,</w:t>
      </w:r>
      <w:r w:rsidR="0008763F" w:rsidRPr="00976CA0">
        <w:rPr>
          <w:b/>
          <w:color w:val="000000" w:themeColor="text1"/>
        </w:rPr>
        <w:t xml:space="preserve"> and</w:t>
      </w:r>
      <w:r w:rsidRPr="00976CA0">
        <w:rPr>
          <w:b/>
          <w:color w:val="000000" w:themeColor="text1"/>
        </w:rPr>
        <w:t xml:space="preserve"> </w:t>
      </w:r>
      <w:r w:rsidR="0008763F" w:rsidRPr="00976CA0">
        <w:rPr>
          <w:b/>
          <w:color w:val="000000" w:themeColor="text1"/>
        </w:rPr>
        <w:t>endogeneity</w:t>
      </w:r>
    </w:p>
    <w:p w14:paraId="4E1FE14A" w14:textId="4B3EBB20" w:rsidR="009726BF" w:rsidRPr="00976CA0" w:rsidRDefault="0008763F" w:rsidP="0008763F">
      <w:pPr>
        <w:spacing w:line="480" w:lineRule="auto"/>
        <w:ind w:firstLine="709"/>
        <w:jc w:val="both"/>
        <w:rPr>
          <w:rFonts w:ascii="Times" w:hAnsi="Times" w:cs="Times"/>
          <w:color w:val="000000" w:themeColor="text1"/>
        </w:rPr>
      </w:pPr>
      <w:r w:rsidRPr="00976CA0">
        <w:rPr>
          <w:color w:val="000000" w:themeColor="text1"/>
        </w:rPr>
        <w:t xml:space="preserve">The four sets of variables described in (i), (ii), (iii) and (iv) help </w:t>
      </w:r>
      <w:r w:rsidR="00D210F0" w:rsidRPr="00976CA0">
        <w:rPr>
          <w:color w:val="000000" w:themeColor="text1"/>
        </w:rPr>
        <w:t>to deal</w:t>
      </w:r>
      <w:r w:rsidRPr="00976CA0">
        <w:rPr>
          <w:color w:val="000000" w:themeColor="text1"/>
        </w:rPr>
        <w:t xml:space="preserve"> with the likely heterogeneity in the data</w:t>
      </w:r>
      <w:r w:rsidR="00D210F0" w:rsidRPr="00976CA0">
        <w:rPr>
          <w:color w:val="000000" w:themeColor="text1"/>
        </w:rPr>
        <w:t>,</w:t>
      </w:r>
      <w:r w:rsidRPr="00976CA0">
        <w:rPr>
          <w:color w:val="000000" w:themeColor="text1"/>
        </w:rPr>
        <w:t xml:space="preserve"> and self-selection mechanism. </w:t>
      </w:r>
      <w:r w:rsidR="00D210F0" w:rsidRPr="00976CA0">
        <w:rPr>
          <w:color w:val="000000" w:themeColor="text1"/>
        </w:rPr>
        <w:t xml:space="preserve">We note </w:t>
      </w:r>
      <w:r w:rsidRPr="00976CA0">
        <w:rPr>
          <w:color w:val="000000" w:themeColor="text1"/>
        </w:rPr>
        <w:t xml:space="preserve">that the decision to supervise other employees depends also upon the wage paid for this responsibility. In turn, this may result in skilled individuals systematically self-selecting into that job </w:t>
      </w:r>
      <w:r w:rsidR="00886168" w:rsidRPr="00976CA0">
        <w:rPr>
          <w:color w:val="000000" w:themeColor="text1"/>
        </w:rPr>
        <w:fldChar w:fldCharType="begin" w:fldLock="1"/>
      </w:r>
      <w:r w:rsidR="00287B2A">
        <w:rPr>
          <w:color w:val="000000" w:themeColor="text1"/>
        </w:rPr>
        <w:instrText>ADDIN CSL_CITATION { "citationItems" : [ { "id" : "ITEM-1", "itemData" : { "author" : [ { "dropping-particle" : "", "family" : "Cameron", "given" : "V.", "non-dropping-particle" : "", "parse-names" : false, "suffix" : "" }, { "dropping-particle" : "", "family" : "Heckman", "given" : "J.J.", "non-dropping-particle" : "", "parse-names" : false, "suffix" : "" } ], "container-title" : "The Journal of Political Economy", "id" : "ITEM-1", "issue" : "2", "issued" : { "date-parts" : [ [ "1998" ] ] }, "page" : "262-333", "title" : "Life cycle schooling and dynamics selection bias: Models and evidence for five cohorts of American males", "type" : "article-journal", "volume" : "106" }, "uris" : [ "http://www.mendeley.com/documents/?uuid=6f323f23-978b-4836-aab0-e98a1250ce1f", "http://www.mendeley.com/documents/?uuid=86181419-96b0-4147-87e0-3bca8d4f1616" ] } ], "mendeley" : { "formattedCitation" : "(Cameron and Heckman, 1998)", "plainTextFormattedCitation" : "(Cameron and Heckman, 1998)", "previouslyFormattedCitation" : "(Cameron and Heckman, 1998)" }, "properties" : { "noteIndex" : 0 }, "schema" : "https://github.com/citation-style-language/schema/raw/master/csl-citation.json" }</w:instrText>
      </w:r>
      <w:r w:rsidR="00886168" w:rsidRPr="00976CA0">
        <w:rPr>
          <w:color w:val="000000" w:themeColor="text1"/>
        </w:rPr>
        <w:fldChar w:fldCharType="separate"/>
      </w:r>
      <w:r w:rsidR="00704ECC" w:rsidRPr="00704ECC">
        <w:rPr>
          <w:noProof/>
          <w:color w:val="000000" w:themeColor="text1"/>
        </w:rPr>
        <w:t>(Cameron and Heckman, 1998)</w:t>
      </w:r>
      <w:r w:rsidR="00886168" w:rsidRPr="00976CA0">
        <w:rPr>
          <w:color w:val="000000" w:themeColor="text1"/>
        </w:rPr>
        <w:fldChar w:fldCharType="end"/>
      </w:r>
      <w:r w:rsidRPr="00976CA0">
        <w:rPr>
          <w:color w:val="000000" w:themeColor="text1"/>
        </w:rPr>
        <w:t xml:space="preserve">. Hence, </w:t>
      </w:r>
      <w:r w:rsidRPr="00976CA0">
        <w:rPr>
          <w:rFonts w:ascii="Times" w:hAnsi="Times" w:cs="Times"/>
          <w:color w:val="000000" w:themeColor="text1"/>
        </w:rPr>
        <w:t>another variable that could be used to control for self-selection into middle management</w:t>
      </w:r>
      <w:r w:rsidR="009726BF" w:rsidRPr="00976CA0">
        <w:rPr>
          <w:rFonts w:ascii="Times" w:hAnsi="Times" w:cs="Times"/>
          <w:color w:val="000000" w:themeColor="text1"/>
        </w:rPr>
        <w:t xml:space="preserve"> jobs is the wage </w:t>
      </w:r>
      <w:r w:rsidR="00D210F0" w:rsidRPr="00976CA0">
        <w:rPr>
          <w:rFonts w:ascii="Times" w:hAnsi="Times" w:cs="Times"/>
          <w:color w:val="000000" w:themeColor="text1"/>
        </w:rPr>
        <w:t xml:space="preserve">attached to </w:t>
      </w:r>
      <w:r w:rsidR="009726BF" w:rsidRPr="00976CA0">
        <w:rPr>
          <w:rFonts w:ascii="Times" w:hAnsi="Times" w:cs="Times"/>
          <w:color w:val="000000" w:themeColor="text1"/>
        </w:rPr>
        <w:t>the job. I</w:t>
      </w:r>
      <w:r w:rsidRPr="00976CA0">
        <w:rPr>
          <w:rFonts w:ascii="Times" w:hAnsi="Times" w:cs="Times"/>
          <w:color w:val="000000" w:themeColor="text1"/>
        </w:rPr>
        <w:t xml:space="preserve">t is worth studying the impact </w:t>
      </w:r>
      <w:r w:rsidR="00FF2EDF">
        <w:rPr>
          <w:rFonts w:ascii="Times" w:hAnsi="Times" w:cs="Times"/>
          <w:color w:val="000000" w:themeColor="text1"/>
        </w:rPr>
        <w:t xml:space="preserve">of </w:t>
      </w:r>
      <w:r w:rsidRPr="00976CA0">
        <w:rPr>
          <w:rFonts w:ascii="Times" w:hAnsi="Times" w:cs="Times"/>
          <w:color w:val="000000" w:themeColor="text1"/>
        </w:rPr>
        <w:t xml:space="preserve">wage on the forecasting ability of </w:t>
      </w:r>
      <w:r w:rsidR="00FF2EDF">
        <w:rPr>
          <w:rFonts w:ascii="Times" w:hAnsi="Times" w:cs="Times"/>
          <w:color w:val="000000" w:themeColor="text1"/>
        </w:rPr>
        <w:t xml:space="preserve">the </w:t>
      </w:r>
      <w:r w:rsidRPr="00976CA0">
        <w:rPr>
          <w:rFonts w:ascii="Times" w:hAnsi="Times" w:cs="Times"/>
          <w:color w:val="000000" w:themeColor="text1"/>
        </w:rPr>
        <w:t>reweighting functions</w:t>
      </w:r>
      <w:r w:rsidR="00D210F0" w:rsidRPr="00976CA0">
        <w:rPr>
          <w:rFonts w:ascii="Times" w:hAnsi="Times" w:cs="Times"/>
          <w:color w:val="000000" w:themeColor="text1"/>
        </w:rPr>
        <w:t xml:space="preserve"> when</w:t>
      </w:r>
      <w:r w:rsidRPr="00976CA0">
        <w:rPr>
          <w:rFonts w:ascii="Times" w:hAnsi="Times" w:cs="Times"/>
          <w:color w:val="000000" w:themeColor="text1"/>
        </w:rPr>
        <w:t xml:space="preserve"> added to the set of regressors</w:t>
      </w:r>
      <w:r w:rsidR="009726BF" w:rsidRPr="00976CA0">
        <w:rPr>
          <w:rFonts w:ascii="Times" w:hAnsi="Times" w:cs="Times"/>
          <w:color w:val="000000" w:themeColor="text1"/>
        </w:rPr>
        <w:t xml:space="preserve">. </w:t>
      </w:r>
      <w:r w:rsidRPr="00976CA0">
        <w:rPr>
          <w:color w:val="000000" w:themeColor="text1"/>
        </w:rPr>
        <w:t>Results reported in Table</w:t>
      </w:r>
      <w:r w:rsidRPr="00976CA0">
        <w:rPr>
          <w:rFonts w:ascii="Times" w:hAnsi="Times" w:cs="Times"/>
          <w:color w:val="000000" w:themeColor="text1"/>
        </w:rPr>
        <w:t xml:space="preserve"> A1 </w:t>
      </w:r>
      <w:r w:rsidR="00D210F0" w:rsidRPr="00976CA0">
        <w:rPr>
          <w:rFonts w:ascii="Times" w:hAnsi="Times" w:cs="Times"/>
          <w:color w:val="000000" w:themeColor="text1"/>
        </w:rPr>
        <w:t xml:space="preserve">are for </w:t>
      </w:r>
      <w:r w:rsidRPr="00976CA0">
        <w:rPr>
          <w:rFonts w:ascii="Times" w:hAnsi="Times" w:cs="Times"/>
          <w:color w:val="000000" w:themeColor="text1"/>
        </w:rPr>
        <w:t xml:space="preserve">the auxiliary probit regression when (the log of) wage is </w:t>
      </w:r>
      <w:r w:rsidR="009726BF" w:rsidRPr="00976CA0">
        <w:rPr>
          <w:rFonts w:ascii="Times" w:hAnsi="Times" w:cs="Times"/>
          <w:color w:val="000000" w:themeColor="text1"/>
        </w:rPr>
        <w:t>added to the set of regressors.</w:t>
      </w:r>
    </w:p>
    <w:p w14:paraId="3812A3E8" w14:textId="77777777" w:rsidR="009726BF" w:rsidRPr="00976CA0" w:rsidRDefault="009726BF" w:rsidP="009726BF">
      <w:pPr>
        <w:spacing w:before="480" w:after="240" w:line="480" w:lineRule="auto"/>
        <w:jc w:val="both"/>
      </w:pPr>
      <w:r w:rsidRPr="00976CA0">
        <w:rPr>
          <w:noProof/>
          <w:lang w:val="en-US" w:eastAsia="en-US"/>
        </w:rPr>
        <w:drawing>
          <wp:inline distT="0" distB="0" distL="0" distR="0" wp14:anchorId="6E0D3FC5" wp14:editId="0D5462ED">
            <wp:extent cx="6116320" cy="4723355"/>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6320" cy="4723355"/>
                    </a:xfrm>
                    <a:prstGeom prst="rect">
                      <a:avLst/>
                    </a:prstGeom>
                    <a:noFill/>
                    <a:ln>
                      <a:noFill/>
                    </a:ln>
                  </pic:spPr>
                </pic:pic>
              </a:graphicData>
            </a:graphic>
          </wp:inline>
        </w:drawing>
      </w:r>
    </w:p>
    <w:p w14:paraId="3E26D4D2" w14:textId="77777777" w:rsidR="0008763F" w:rsidRPr="00976CA0" w:rsidRDefault="00D210F0" w:rsidP="0008763F">
      <w:pPr>
        <w:spacing w:line="480" w:lineRule="auto"/>
        <w:ind w:firstLine="709"/>
        <w:jc w:val="both"/>
        <w:rPr>
          <w:rFonts w:ascii="Times" w:hAnsi="Times" w:cs="Times"/>
          <w:color w:val="000000" w:themeColor="text1"/>
        </w:rPr>
      </w:pPr>
      <w:r w:rsidRPr="00976CA0">
        <w:rPr>
          <w:rFonts w:ascii="Times" w:hAnsi="Times" w:cs="Times"/>
          <w:color w:val="000000" w:themeColor="text1"/>
        </w:rPr>
        <w:t xml:space="preserve">Table A1 </w:t>
      </w:r>
      <w:r w:rsidR="0008763F" w:rsidRPr="00976CA0">
        <w:rPr>
          <w:rFonts w:ascii="Times" w:hAnsi="Times" w:cs="Times"/>
          <w:color w:val="000000" w:themeColor="text1"/>
        </w:rPr>
        <w:t xml:space="preserve">Columns (a) and (b) report the results for Germany. As above, we test for the joint significance of groups of variables using the </w:t>
      </w:r>
      <w:r w:rsidR="0008763F" w:rsidRPr="00976CA0">
        <w:rPr>
          <w:rFonts w:ascii="Times" w:hAnsi="Times" w:cs="Times"/>
          <w:i/>
          <w:color w:val="000000" w:themeColor="text1"/>
        </w:rPr>
        <w:t>F</w:t>
      </w:r>
      <w:r w:rsidR="0008763F" w:rsidRPr="00976CA0">
        <w:rPr>
          <w:rFonts w:ascii="Times" w:hAnsi="Times" w:cs="Times"/>
          <w:color w:val="000000" w:themeColor="text1"/>
        </w:rPr>
        <w:t>-statistic (</w:t>
      </w:r>
      <w:r w:rsidR="0008763F" w:rsidRPr="00976CA0">
        <w:rPr>
          <w:rFonts w:ascii="Times" w:hAnsi="Times" w:cs="Times"/>
          <w:i/>
          <w:color w:val="000000" w:themeColor="text1"/>
        </w:rPr>
        <w:t>p</w:t>
      </w:r>
      <w:r w:rsidR="009726BF" w:rsidRPr="00976CA0">
        <w:rPr>
          <w:rFonts w:ascii="Times" w:hAnsi="Times" w:cs="Times"/>
          <w:color w:val="000000" w:themeColor="text1"/>
        </w:rPr>
        <w:t xml:space="preserve">-values are in brackets). </w:t>
      </w:r>
      <w:r w:rsidR="0008763F" w:rsidRPr="00976CA0">
        <w:rPr>
          <w:rFonts w:ascii="Times" w:hAnsi="Times" w:cs="Times"/>
          <w:color w:val="000000" w:themeColor="text1"/>
        </w:rPr>
        <w:t xml:space="preserve">Column (a) </w:t>
      </w:r>
      <w:r w:rsidR="0008763F" w:rsidRPr="00976CA0">
        <w:rPr>
          <w:rFonts w:ascii="Times" w:hAnsi="Times" w:cs="Times"/>
          <w:color w:val="000000" w:themeColor="text1"/>
        </w:rPr>
        <w:lastRenderedPageBreak/>
        <w:t xml:space="preserve">reports the results for the model </w:t>
      </w:r>
      <w:r w:rsidRPr="00976CA0">
        <w:rPr>
          <w:rFonts w:ascii="Times" w:hAnsi="Times" w:cs="Times"/>
          <w:color w:val="000000" w:themeColor="text1"/>
        </w:rPr>
        <w:t xml:space="preserve">with </w:t>
      </w:r>
      <w:r w:rsidR="0008763F" w:rsidRPr="00976CA0">
        <w:rPr>
          <w:rFonts w:ascii="Times" w:hAnsi="Times" w:cs="Times"/>
          <w:color w:val="000000" w:themeColor="text1"/>
        </w:rPr>
        <w:t xml:space="preserve">wage </w:t>
      </w:r>
      <w:r w:rsidRPr="00976CA0">
        <w:rPr>
          <w:rFonts w:ascii="Times" w:hAnsi="Times" w:cs="Times"/>
          <w:color w:val="000000" w:themeColor="text1"/>
        </w:rPr>
        <w:t xml:space="preserve">included in </w:t>
      </w:r>
      <w:r w:rsidR="0008763F" w:rsidRPr="00976CA0">
        <w:rPr>
          <w:rFonts w:ascii="Times" w:hAnsi="Times" w:cs="Times"/>
          <w:color w:val="000000" w:themeColor="text1"/>
        </w:rPr>
        <w:t xml:space="preserve">the sets of variables for individual, job and firm characteristics. As expected, wage is statistically significant. If both the set of ISCO variables and the log of wage are included in the estimated models (Column b), the </w:t>
      </w:r>
      <w:r w:rsidR="0008763F" w:rsidRPr="00976CA0">
        <w:rPr>
          <w:rFonts w:ascii="Times" w:hAnsi="Times" w:cs="Times"/>
          <w:i/>
          <w:color w:val="000000" w:themeColor="text1"/>
        </w:rPr>
        <w:t>F</w:t>
      </w:r>
      <w:r w:rsidR="0008763F" w:rsidRPr="00976CA0">
        <w:rPr>
          <w:rFonts w:ascii="Times" w:hAnsi="Times" w:cs="Times"/>
          <w:color w:val="000000" w:themeColor="text1"/>
        </w:rPr>
        <w:t xml:space="preserve">-statistics associated to the statistical significance of (the log of) wage and the joint statistical significance of the coefficients of the ISCO dummies, reduce relative to their counterparts in Column (b) Table </w:t>
      </w:r>
      <w:r w:rsidR="00540E3D" w:rsidRPr="00976CA0">
        <w:rPr>
          <w:rFonts w:ascii="Times" w:hAnsi="Times" w:cs="Times"/>
          <w:color w:val="000000" w:themeColor="text1"/>
        </w:rPr>
        <w:t>A1</w:t>
      </w:r>
      <w:r w:rsidR="009726BF" w:rsidRPr="00976CA0">
        <w:rPr>
          <w:rFonts w:ascii="Times" w:hAnsi="Times" w:cs="Times"/>
          <w:color w:val="000000" w:themeColor="text1"/>
        </w:rPr>
        <w:t xml:space="preserve"> in the </w:t>
      </w:r>
      <w:r w:rsidRPr="00976CA0">
        <w:rPr>
          <w:rFonts w:ascii="Times" w:hAnsi="Times" w:cs="Times"/>
          <w:color w:val="000000" w:themeColor="text1"/>
        </w:rPr>
        <w:t xml:space="preserve">main part of the </w:t>
      </w:r>
      <w:r w:rsidR="009726BF" w:rsidRPr="00976CA0">
        <w:rPr>
          <w:rFonts w:ascii="Times" w:hAnsi="Times" w:cs="Times"/>
          <w:color w:val="000000" w:themeColor="text1"/>
        </w:rPr>
        <w:t>paper</w:t>
      </w:r>
      <w:r w:rsidR="0008763F" w:rsidRPr="00976CA0">
        <w:rPr>
          <w:rFonts w:ascii="Times" w:hAnsi="Times" w:cs="Times"/>
          <w:color w:val="000000" w:themeColor="text1"/>
        </w:rPr>
        <w:t xml:space="preserve">. This is likely due to correlation between the ISCO variables and the log of wages, suggesting that the former, as expected, </w:t>
      </w:r>
      <w:r w:rsidRPr="00976CA0">
        <w:rPr>
          <w:rFonts w:ascii="Times" w:hAnsi="Times" w:cs="Times"/>
          <w:color w:val="000000" w:themeColor="text1"/>
        </w:rPr>
        <w:t xml:space="preserve">help to control </w:t>
      </w:r>
      <w:r w:rsidR="0008763F" w:rsidRPr="00976CA0">
        <w:rPr>
          <w:rFonts w:ascii="Times" w:hAnsi="Times" w:cs="Times"/>
          <w:color w:val="000000" w:themeColor="text1"/>
        </w:rPr>
        <w:t xml:space="preserve">for </w:t>
      </w:r>
      <w:r w:rsidRPr="00976CA0">
        <w:rPr>
          <w:rFonts w:ascii="Times" w:hAnsi="Times" w:cs="Times"/>
          <w:color w:val="000000" w:themeColor="text1"/>
        </w:rPr>
        <w:t xml:space="preserve">the </w:t>
      </w:r>
      <w:r w:rsidR="0008763F" w:rsidRPr="00976CA0">
        <w:rPr>
          <w:rFonts w:ascii="Times" w:hAnsi="Times" w:cs="Times"/>
          <w:color w:val="000000" w:themeColor="text1"/>
        </w:rPr>
        <w:t xml:space="preserve">self-selection mechanism. However, with respect to </w:t>
      </w:r>
      <w:r w:rsidRPr="00976CA0">
        <w:rPr>
          <w:rFonts w:ascii="Times" w:hAnsi="Times" w:cs="Times"/>
          <w:color w:val="000000" w:themeColor="text1"/>
        </w:rPr>
        <w:t xml:space="preserve">the </w:t>
      </w:r>
      <w:r w:rsidR="0008763F" w:rsidRPr="00976CA0">
        <w:rPr>
          <w:rFonts w:ascii="Times" w:hAnsi="Times" w:cs="Times"/>
          <w:color w:val="000000" w:themeColor="text1"/>
        </w:rPr>
        <w:t xml:space="preserve">results for our preferred model reported in Column (b) </w:t>
      </w:r>
      <w:r w:rsidRPr="00976CA0">
        <w:rPr>
          <w:rFonts w:ascii="Times" w:hAnsi="Times" w:cs="Times"/>
          <w:color w:val="000000" w:themeColor="text1"/>
        </w:rPr>
        <w:t xml:space="preserve">in </w:t>
      </w:r>
      <w:r w:rsidR="0008763F" w:rsidRPr="00976CA0">
        <w:rPr>
          <w:rFonts w:ascii="Times" w:hAnsi="Times" w:cs="Times"/>
          <w:color w:val="000000" w:themeColor="text1"/>
        </w:rPr>
        <w:t xml:space="preserve">Table </w:t>
      </w:r>
      <w:r w:rsidR="000516F0" w:rsidRPr="00976CA0">
        <w:rPr>
          <w:rFonts w:ascii="Times" w:hAnsi="Times" w:cs="Times"/>
          <w:color w:val="000000" w:themeColor="text1"/>
        </w:rPr>
        <w:t>A1</w:t>
      </w:r>
      <w:r w:rsidR="0008763F" w:rsidRPr="00976CA0">
        <w:rPr>
          <w:rFonts w:ascii="Times" w:hAnsi="Times" w:cs="Times"/>
          <w:color w:val="000000" w:themeColor="text1"/>
        </w:rPr>
        <w:t>, both these models have a significantly lower percentage of correct predictions</w:t>
      </w:r>
      <w:r w:rsidRPr="00976CA0">
        <w:rPr>
          <w:rFonts w:ascii="Times" w:hAnsi="Times" w:cs="Times"/>
          <w:color w:val="000000" w:themeColor="text1"/>
        </w:rPr>
        <w:t>; recall</w:t>
      </w:r>
      <w:r w:rsidR="0008763F" w:rsidRPr="00976CA0">
        <w:rPr>
          <w:rFonts w:ascii="Times" w:hAnsi="Times" w:cs="Times"/>
          <w:color w:val="000000" w:themeColor="text1"/>
        </w:rPr>
        <w:t xml:space="preserve">, </w:t>
      </w:r>
      <w:r w:rsidRPr="00976CA0">
        <w:rPr>
          <w:rFonts w:ascii="Times" w:hAnsi="Times" w:cs="Times"/>
          <w:color w:val="000000" w:themeColor="text1"/>
        </w:rPr>
        <w:t xml:space="preserve">that this is what </w:t>
      </w:r>
      <w:r w:rsidR="0008763F" w:rsidRPr="00976CA0">
        <w:rPr>
          <w:rFonts w:ascii="Times" w:hAnsi="Times" w:cs="Times"/>
          <w:color w:val="000000" w:themeColor="text1"/>
        </w:rPr>
        <w:t>these auxiliary regr</w:t>
      </w:r>
      <w:r w:rsidR="009726BF" w:rsidRPr="00976CA0">
        <w:rPr>
          <w:rFonts w:ascii="Times" w:hAnsi="Times" w:cs="Times"/>
          <w:color w:val="000000" w:themeColor="text1"/>
        </w:rPr>
        <w:t xml:space="preserve">essions are meant to help with. </w:t>
      </w:r>
      <w:r w:rsidR="007E5116" w:rsidRPr="00976CA0">
        <w:rPr>
          <w:rFonts w:ascii="Times" w:hAnsi="Times" w:cs="Times"/>
          <w:color w:val="000000" w:themeColor="text1"/>
        </w:rPr>
        <w:t>In Table A1</w:t>
      </w:r>
      <w:r w:rsidR="00540E3D" w:rsidRPr="00976CA0">
        <w:rPr>
          <w:rFonts w:ascii="Times" w:hAnsi="Times" w:cs="Times"/>
          <w:color w:val="000000" w:themeColor="text1"/>
        </w:rPr>
        <w:t>,</w:t>
      </w:r>
      <w:r w:rsidR="007E5116" w:rsidRPr="00976CA0">
        <w:rPr>
          <w:rFonts w:ascii="Times" w:hAnsi="Times" w:cs="Times"/>
          <w:color w:val="000000" w:themeColor="text1"/>
        </w:rPr>
        <w:t xml:space="preserve"> </w:t>
      </w:r>
      <w:r w:rsidR="0008763F" w:rsidRPr="00976CA0">
        <w:rPr>
          <w:rFonts w:ascii="Times" w:hAnsi="Times" w:cs="Times"/>
          <w:color w:val="000000" w:themeColor="text1"/>
        </w:rPr>
        <w:t xml:space="preserve">Columns (c) and (d) report the results applied to the UK observations. The pattern is similar to the pattern for Germany. As before, adding the (log of) wage to the set of regressors reduces the percentage of correct predictions and, in the case of </w:t>
      </w:r>
      <w:r w:rsidR="00FF2EDF">
        <w:rPr>
          <w:rFonts w:ascii="Times" w:hAnsi="Times" w:cs="Times"/>
          <w:color w:val="000000" w:themeColor="text1"/>
        </w:rPr>
        <w:t xml:space="preserve">the </w:t>
      </w:r>
      <w:r w:rsidR="0008763F" w:rsidRPr="00976CA0">
        <w:rPr>
          <w:rFonts w:ascii="Times" w:hAnsi="Times" w:cs="Times"/>
          <w:color w:val="000000" w:themeColor="text1"/>
        </w:rPr>
        <w:t>UK, also the pseudo-R² of the model. The results in Column (d) show that the set of ISCO variable</w:t>
      </w:r>
      <w:r w:rsidR="00FF2EDF">
        <w:rPr>
          <w:rFonts w:ascii="Times" w:hAnsi="Times" w:cs="Times"/>
          <w:color w:val="000000" w:themeColor="text1"/>
        </w:rPr>
        <w:t>s is</w:t>
      </w:r>
      <w:r w:rsidR="0008763F" w:rsidRPr="00976CA0">
        <w:rPr>
          <w:rFonts w:ascii="Times" w:hAnsi="Times" w:cs="Times"/>
          <w:color w:val="000000" w:themeColor="text1"/>
        </w:rPr>
        <w:t xml:space="preserve"> correlated to wage and </w:t>
      </w:r>
      <w:r w:rsidR="00FF2EDF">
        <w:rPr>
          <w:rFonts w:ascii="Times" w:hAnsi="Times" w:cs="Times"/>
          <w:color w:val="000000" w:themeColor="text1"/>
        </w:rPr>
        <w:t xml:space="preserve">they </w:t>
      </w:r>
      <w:r w:rsidR="0008763F" w:rsidRPr="00976CA0">
        <w:rPr>
          <w:rFonts w:ascii="Times" w:hAnsi="Times" w:cs="Times"/>
          <w:color w:val="000000" w:themeColor="text1"/>
        </w:rPr>
        <w:t xml:space="preserve">have higher </w:t>
      </w:r>
      <w:r w:rsidR="0008763F" w:rsidRPr="00976CA0">
        <w:rPr>
          <w:rFonts w:ascii="Times" w:hAnsi="Times" w:cs="Times"/>
          <w:i/>
          <w:color w:val="000000" w:themeColor="text1"/>
        </w:rPr>
        <w:t>F</w:t>
      </w:r>
      <w:r w:rsidR="0008763F" w:rsidRPr="00976CA0">
        <w:rPr>
          <w:rFonts w:ascii="Times" w:hAnsi="Times" w:cs="Times"/>
          <w:color w:val="000000" w:themeColor="text1"/>
        </w:rPr>
        <w:t>-statistic</w:t>
      </w:r>
      <w:r w:rsidR="00645563" w:rsidRPr="00976CA0">
        <w:rPr>
          <w:rFonts w:ascii="Times" w:hAnsi="Times" w:cs="Times"/>
          <w:color w:val="000000" w:themeColor="text1"/>
        </w:rPr>
        <w:t>s</w:t>
      </w:r>
      <w:r w:rsidR="0008763F" w:rsidRPr="00976CA0">
        <w:rPr>
          <w:rFonts w:ascii="Times" w:hAnsi="Times" w:cs="Times"/>
          <w:color w:val="000000" w:themeColor="text1"/>
        </w:rPr>
        <w:t xml:space="preserve">. </w:t>
      </w:r>
    </w:p>
    <w:p w14:paraId="72BF5873" w14:textId="77777777" w:rsidR="0008763F" w:rsidRPr="00976CA0" w:rsidRDefault="0008763F" w:rsidP="0008763F">
      <w:pPr>
        <w:spacing w:line="480" w:lineRule="auto"/>
        <w:ind w:firstLine="709"/>
        <w:jc w:val="both"/>
        <w:rPr>
          <w:rFonts w:ascii="Times" w:hAnsi="Times" w:cs="Times"/>
          <w:color w:val="000000" w:themeColor="text1"/>
        </w:rPr>
      </w:pPr>
      <w:r w:rsidRPr="00976CA0">
        <w:rPr>
          <w:rFonts w:ascii="Times" w:hAnsi="Times" w:cs="Times"/>
          <w:color w:val="000000" w:themeColor="text1"/>
        </w:rPr>
        <w:t xml:space="preserve">The evidence that the models </w:t>
      </w:r>
      <w:r w:rsidR="00D210F0" w:rsidRPr="00976CA0">
        <w:rPr>
          <w:rFonts w:ascii="Times" w:hAnsi="Times" w:cs="Times"/>
          <w:color w:val="000000" w:themeColor="text1"/>
        </w:rPr>
        <w:t xml:space="preserve">that include in the set of regressors the log of wage, </w:t>
      </w:r>
      <w:r w:rsidRPr="00976CA0">
        <w:rPr>
          <w:rFonts w:ascii="Times" w:hAnsi="Times" w:cs="Times"/>
          <w:color w:val="000000" w:themeColor="text1"/>
        </w:rPr>
        <w:t>have a lower percentage of correct predictions</w:t>
      </w:r>
      <w:r w:rsidR="00D210F0" w:rsidRPr="00976CA0">
        <w:rPr>
          <w:rFonts w:ascii="Times" w:hAnsi="Times" w:cs="Times"/>
          <w:color w:val="000000" w:themeColor="text1"/>
        </w:rPr>
        <w:t>,</w:t>
      </w:r>
      <w:r w:rsidRPr="00976CA0">
        <w:rPr>
          <w:rFonts w:ascii="Times" w:hAnsi="Times" w:cs="Times"/>
          <w:color w:val="000000" w:themeColor="text1"/>
        </w:rPr>
        <w:t xml:space="preserve"> suggest</w:t>
      </w:r>
      <w:r w:rsidR="00FF2EDF">
        <w:rPr>
          <w:rFonts w:ascii="Times" w:hAnsi="Times" w:cs="Times"/>
          <w:color w:val="000000" w:themeColor="text1"/>
        </w:rPr>
        <w:t>ing</w:t>
      </w:r>
      <w:r w:rsidRPr="00976CA0">
        <w:rPr>
          <w:rFonts w:ascii="Times" w:hAnsi="Times" w:cs="Times"/>
          <w:color w:val="000000" w:themeColor="text1"/>
        </w:rPr>
        <w:t xml:space="preserve"> the use of the models where this variable is excluded from the set of regressors. This adds to the problem of finding a credible instrumenting strategy for wage. Wage is likely to be jointly determined with the probability of being a supervisor and</w:t>
      </w:r>
      <w:r w:rsidR="00D210F0" w:rsidRPr="00976CA0">
        <w:rPr>
          <w:rFonts w:ascii="Times" w:hAnsi="Times" w:cs="Times"/>
          <w:color w:val="000000" w:themeColor="text1"/>
        </w:rPr>
        <w:t>,</w:t>
      </w:r>
      <w:r w:rsidRPr="00976CA0">
        <w:rPr>
          <w:rFonts w:ascii="Times" w:hAnsi="Times" w:cs="Times"/>
          <w:color w:val="000000" w:themeColor="text1"/>
        </w:rPr>
        <w:t xml:space="preserve"> therefore</w:t>
      </w:r>
      <w:r w:rsidR="00D210F0" w:rsidRPr="00976CA0">
        <w:rPr>
          <w:rFonts w:ascii="Times" w:hAnsi="Times" w:cs="Times"/>
          <w:color w:val="000000" w:themeColor="text1"/>
        </w:rPr>
        <w:t>,</w:t>
      </w:r>
      <w:r w:rsidRPr="00976CA0">
        <w:rPr>
          <w:rFonts w:ascii="Times" w:hAnsi="Times" w:cs="Times"/>
          <w:color w:val="000000" w:themeColor="text1"/>
        </w:rPr>
        <w:t xml:space="preserve"> its use is conditional </w:t>
      </w:r>
      <w:r w:rsidR="00D210F0" w:rsidRPr="00976CA0">
        <w:rPr>
          <w:rFonts w:ascii="Times" w:hAnsi="Times" w:cs="Times"/>
          <w:color w:val="000000" w:themeColor="text1"/>
        </w:rPr>
        <w:t xml:space="preserve">on </w:t>
      </w:r>
      <w:r w:rsidRPr="00976CA0">
        <w:rPr>
          <w:rFonts w:ascii="Times" w:hAnsi="Times" w:cs="Times"/>
          <w:color w:val="000000" w:themeColor="text1"/>
        </w:rPr>
        <w:t xml:space="preserve">the availability of </w:t>
      </w:r>
      <w:r w:rsidR="00D210F0" w:rsidRPr="00976CA0">
        <w:rPr>
          <w:rFonts w:ascii="Times" w:hAnsi="Times" w:cs="Times"/>
          <w:color w:val="000000" w:themeColor="text1"/>
        </w:rPr>
        <w:t xml:space="preserve">the </w:t>
      </w:r>
      <w:r w:rsidRPr="00976CA0">
        <w:rPr>
          <w:rFonts w:ascii="Times" w:hAnsi="Times" w:cs="Times"/>
          <w:color w:val="000000" w:themeColor="text1"/>
        </w:rPr>
        <w:t xml:space="preserve">set of instruments to be used in the </w:t>
      </w:r>
      <w:r w:rsidR="00FF2EDF">
        <w:rPr>
          <w:rFonts w:ascii="Times" w:hAnsi="Times" w:cs="Times"/>
          <w:color w:val="000000" w:themeColor="text1"/>
        </w:rPr>
        <w:t>i</w:t>
      </w:r>
      <w:r w:rsidR="00DA7620" w:rsidRPr="00976CA0">
        <w:rPr>
          <w:rFonts w:ascii="Times" w:hAnsi="Times" w:cs="Times"/>
          <w:color w:val="000000" w:themeColor="text1"/>
        </w:rPr>
        <w:t xml:space="preserve">nstrumental </w:t>
      </w:r>
      <w:r w:rsidR="00FF2EDF">
        <w:rPr>
          <w:rFonts w:ascii="Times" w:hAnsi="Times" w:cs="Times"/>
          <w:color w:val="000000" w:themeColor="text1"/>
        </w:rPr>
        <w:t>v</w:t>
      </w:r>
      <w:r w:rsidR="00DA7620" w:rsidRPr="00976CA0">
        <w:rPr>
          <w:rFonts w:ascii="Times" w:hAnsi="Times" w:cs="Times"/>
          <w:color w:val="000000" w:themeColor="text1"/>
        </w:rPr>
        <w:t>ariable</w:t>
      </w:r>
      <w:r w:rsidR="00FF2EDF">
        <w:rPr>
          <w:rFonts w:ascii="Times" w:hAnsi="Times" w:cs="Times"/>
          <w:color w:val="000000" w:themeColor="text1"/>
        </w:rPr>
        <w:t>s</w:t>
      </w:r>
      <w:r w:rsidRPr="00976CA0">
        <w:rPr>
          <w:rFonts w:ascii="Times" w:hAnsi="Times" w:cs="Times"/>
          <w:color w:val="000000" w:themeColor="text1"/>
        </w:rPr>
        <w:t xml:space="preserve"> approach (Currie and Madrian, 1999). The problem </w:t>
      </w:r>
      <w:r w:rsidR="00D210F0" w:rsidRPr="00976CA0">
        <w:rPr>
          <w:rFonts w:ascii="Times" w:hAnsi="Times" w:cs="Times"/>
          <w:color w:val="000000" w:themeColor="text1"/>
        </w:rPr>
        <w:t xml:space="preserve">lies in identifying </w:t>
      </w:r>
      <w:r w:rsidRPr="00976CA0">
        <w:rPr>
          <w:rFonts w:ascii="Times" w:hAnsi="Times" w:cs="Times"/>
          <w:color w:val="000000" w:themeColor="text1"/>
        </w:rPr>
        <w:t xml:space="preserve">one or more credible instruments. </w:t>
      </w:r>
      <w:r w:rsidR="00D210F0" w:rsidRPr="00976CA0">
        <w:rPr>
          <w:rFonts w:ascii="Times" w:hAnsi="Times" w:cs="Times"/>
          <w:color w:val="000000" w:themeColor="text1"/>
        </w:rPr>
        <w:t xml:space="preserve">This is difficult </w:t>
      </w:r>
      <w:r w:rsidRPr="00976CA0">
        <w:rPr>
          <w:rFonts w:ascii="Times" w:hAnsi="Times" w:cs="Times"/>
          <w:color w:val="000000" w:themeColor="text1"/>
        </w:rPr>
        <w:t>in our context because the instrument must be valid (and the same) for the two economies under investigation.</w:t>
      </w:r>
    </w:p>
    <w:p w14:paraId="31B11DA7" w14:textId="77777777" w:rsidR="0008763F" w:rsidRPr="00976CA0" w:rsidRDefault="0008763F" w:rsidP="0008763F">
      <w:pPr>
        <w:spacing w:line="480" w:lineRule="auto"/>
        <w:ind w:firstLine="709"/>
        <w:jc w:val="both"/>
        <w:rPr>
          <w:rFonts w:ascii="Times" w:hAnsi="Times" w:cs="Times"/>
          <w:color w:val="000000" w:themeColor="text1"/>
        </w:rPr>
      </w:pPr>
      <w:r w:rsidRPr="00976CA0">
        <w:rPr>
          <w:rFonts w:ascii="Times" w:hAnsi="Times" w:cs="Times"/>
          <w:color w:val="000000" w:themeColor="text1"/>
        </w:rPr>
        <w:t>The literature suggests adopting variables measuring individual health. It is suggested that poor health has substantive effects on compensation and labour market</w:t>
      </w:r>
      <w:r w:rsidR="00D210F0" w:rsidRPr="00976CA0">
        <w:rPr>
          <w:rFonts w:ascii="Times" w:hAnsi="Times" w:cs="Times"/>
          <w:color w:val="000000" w:themeColor="text1"/>
        </w:rPr>
        <w:t xml:space="preserve"> participation</w:t>
      </w:r>
      <w:r w:rsidRPr="00976CA0">
        <w:rPr>
          <w:rFonts w:ascii="Times" w:hAnsi="Times" w:cs="Times"/>
          <w:color w:val="000000" w:themeColor="text1"/>
        </w:rPr>
        <w:t xml:space="preserve">. It </w:t>
      </w:r>
      <w:r w:rsidR="00D210F0" w:rsidRPr="00976CA0">
        <w:rPr>
          <w:rFonts w:ascii="Times" w:hAnsi="Times" w:cs="Times"/>
          <w:color w:val="000000" w:themeColor="text1"/>
        </w:rPr>
        <w:t xml:space="preserve">has been </w:t>
      </w:r>
      <w:r w:rsidRPr="00976CA0">
        <w:rPr>
          <w:rFonts w:ascii="Times" w:hAnsi="Times" w:cs="Times"/>
          <w:color w:val="000000" w:themeColor="text1"/>
        </w:rPr>
        <w:t xml:space="preserve">suggested </w:t>
      </w:r>
      <w:r w:rsidR="00D210F0" w:rsidRPr="00976CA0">
        <w:rPr>
          <w:rFonts w:ascii="Times" w:hAnsi="Times" w:cs="Times"/>
          <w:color w:val="000000" w:themeColor="text1"/>
        </w:rPr>
        <w:t xml:space="preserve">also </w:t>
      </w:r>
      <w:r w:rsidRPr="00976CA0">
        <w:rPr>
          <w:rFonts w:ascii="Times" w:hAnsi="Times" w:cs="Times"/>
          <w:color w:val="000000" w:themeColor="text1"/>
        </w:rPr>
        <w:t>that the relationship between health status and the task the individual performs is not strong, the idea being that health is likely to affect all the tasks the individual chooses</w:t>
      </w:r>
      <w:r w:rsidR="00D210F0" w:rsidRPr="00976CA0">
        <w:rPr>
          <w:rFonts w:ascii="Times" w:hAnsi="Times" w:cs="Times"/>
          <w:color w:val="000000" w:themeColor="text1"/>
        </w:rPr>
        <w:t>,</w:t>
      </w:r>
      <w:r w:rsidRPr="00976CA0">
        <w:rPr>
          <w:rFonts w:ascii="Times" w:hAnsi="Times" w:cs="Times"/>
          <w:color w:val="000000" w:themeColor="text1"/>
        </w:rPr>
        <w:t xml:space="preserve"> in a similar </w:t>
      </w:r>
      <w:r w:rsidRPr="00976CA0">
        <w:rPr>
          <w:rFonts w:ascii="Times" w:hAnsi="Times" w:cs="Times"/>
          <w:color w:val="000000" w:themeColor="text1"/>
        </w:rPr>
        <w:lastRenderedPageBreak/>
        <w:t>manner (Currie and Madrian, 1999). In the EU-SILC survey</w:t>
      </w:r>
      <w:r w:rsidR="00D210F0" w:rsidRPr="00976CA0">
        <w:rPr>
          <w:rFonts w:ascii="Times" w:hAnsi="Times" w:cs="Times"/>
          <w:color w:val="000000" w:themeColor="text1"/>
        </w:rPr>
        <w:t>,</w:t>
      </w:r>
      <w:r w:rsidRPr="00976CA0">
        <w:rPr>
          <w:rFonts w:ascii="Times" w:hAnsi="Times" w:cs="Times"/>
          <w:color w:val="000000" w:themeColor="text1"/>
        </w:rPr>
        <w:t xml:space="preserve"> physical well-being is measured </w:t>
      </w:r>
      <w:r w:rsidR="00D210F0" w:rsidRPr="00976CA0">
        <w:rPr>
          <w:rFonts w:ascii="Times" w:hAnsi="Times" w:cs="Times"/>
          <w:color w:val="000000" w:themeColor="text1"/>
        </w:rPr>
        <w:t xml:space="preserve">by </w:t>
      </w:r>
      <w:r w:rsidRPr="00976CA0">
        <w:rPr>
          <w:rFonts w:ascii="Times" w:hAnsi="Times" w:cs="Times"/>
          <w:color w:val="000000" w:themeColor="text1"/>
        </w:rPr>
        <w:t xml:space="preserve">limitation </w:t>
      </w:r>
      <w:r w:rsidR="00D210F0" w:rsidRPr="00976CA0">
        <w:rPr>
          <w:rFonts w:ascii="Times" w:hAnsi="Times" w:cs="Times"/>
          <w:color w:val="000000" w:themeColor="text1"/>
        </w:rPr>
        <w:t>o</w:t>
      </w:r>
      <w:r w:rsidRPr="00976CA0">
        <w:rPr>
          <w:rFonts w:ascii="Times" w:hAnsi="Times" w:cs="Times"/>
          <w:color w:val="000000" w:themeColor="text1"/>
        </w:rPr>
        <w:t>n activities due to health problems</w:t>
      </w:r>
      <w:r w:rsidR="00D210F0" w:rsidRPr="00976CA0">
        <w:rPr>
          <w:rFonts w:ascii="Times" w:hAnsi="Times" w:cs="Times"/>
          <w:color w:val="000000" w:themeColor="text1"/>
        </w:rPr>
        <w:t>,</w:t>
      </w:r>
      <w:r w:rsidRPr="00976CA0">
        <w:rPr>
          <w:rFonts w:ascii="Times" w:hAnsi="Times" w:cs="Times"/>
          <w:color w:val="000000" w:themeColor="text1"/>
        </w:rPr>
        <w:t xml:space="preserve"> and general health (including health status and chronic illness or condition) and </w:t>
      </w:r>
      <w:r w:rsidR="00FF2EDF">
        <w:rPr>
          <w:rFonts w:ascii="Times" w:hAnsi="Times" w:cs="Times"/>
          <w:color w:val="000000" w:themeColor="text1"/>
        </w:rPr>
        <w:t xml:space="preserve">is </w:t>
      </w:r>
      <w:r w:rsidRPr="00976CA0">
        <w:rPr>
          <w:rFonts w:ascii="Times" w:hAnsi="Times" w:cs="Times"/>
          <w:color w:val="000000" w:themeColor="text1"/>
        </w:rPr>
        <w:t>summari</w:t>
      </w:r>
      <w:r w:rsidR="00D210F0" w:rsidRPr="00976CA0">
        <w:rPr>
          <w:rFonts w:ascii="Times" w:hAnsi="Times" w:cs="Times"/>
          <w:color w:val="000000" w:themeColor="text1"/>
        </w:rPr>
        <w:t>z</w:t>
      </w:r>
      <w:r w:rsidRPr="00976CA0">
        <w:rPr>
          <w:rFonts w:ascii="Times" w:hAnsi="Times" w:cs="Times"/>
          <w:color w:val="000000" w:themeColor="text1"/>
        </w:rPr>
        <w:t xml:space="preserve">ed by a variable </w:t>
      </w:r>
      <w:r w:rsidR="00D210F0" w:rsidRPr="00976CA0">
        <w:rPr>
          <w:rFonts w:ascii="Times" w:hAnsi="Times" w:cs="Times"/>
          <w:color w:val="000000" w:themeColor="text1"/>
        </w:rPr>
        <w:t xml:space="preserve">that takes values </w:t>
      </w:r>
      <w:r w:rsidRPr="00976CA0">
        <w:rPr>
          <w:rFonts w:ascii="Times" w:hAnsi="Times" w:cs="Times"/>
          <w:color w:val="000000" w:themeColor="text1"/>
        </w:rPr>
        <w:t>from 1 to 5, with higher values indicating poorer health. The variable is not statistically significant in the probit model, suggesting that the exclusion restriction is likely to hold. Moreover, correlation analysis suppor</w:t>
      </w:r>
      <w:r w:rsidR="00340E38" w:rsidRPr="00976CA0">
        <w:rPr>
          <w:rFonts w:ascii="Times" w:hAnsi="Times" w:cs="Times"/>
          <w:color w:val="000000" w:themeColor="text1"/>
        </w:rPr>
        <w:t>ts</w:t>
      </w:r>
      <w:r w:rsidRPr="00976CA0">
        <w:rPr>
          <w:rFonts w:ascii="Times" w:hAnsi="Times" w:cs="Times"/>
          <w:color w:val="000000" w:themeColor="text1"/>
        </w:rPr>
        <w:t xml:space="preserve"> this conclusion</w:t>
      </w:r>
      <w:r w:rsidR="00340E38" w:rsidRPr="00976CA0">
        <w:rPr>
          <w:rFonts w:ascii="Times" w:hAnsi="Times" w:cs="Times"/>
          <w:color w:val="000000" w:themeColor="text1"/>
        </w:rPr>
        <w:t xml:space="preserve"> </w:t>
      </w:r>
      <w:r w:rsidR="00645563" w:rsidRPr="00976CA0">
        <w:rPr>
          <w:rFonts w:ascii="Times" w:hAnsi="Times" w:cs="Times"/>
          <w:color w:val="000000" w:themeColor="text1"/>
        </w:rPr>
        <w:t>since the</w:t>
      </w:r>
      <w:r w:rsidRPr="00976CA0">
        <w:rPr>
          <w:rFonts w:ascii="Times" w:hAnsi="Times" w:cs="Times"/>
          <w:color w:val="000000" w:themeColor="text1"/>
        </w:rPr>
        <w:t xml:space="preserve"> variable is found to be highly correlated to the wage and uncorrelated to the probability of being a supervisor. Table A2 reports</w:t>
      </w:r>
      <w:r w:rsidR="00340E38" w:rsidRPr="00976CA0">
        <w:rPr>
          <w:rFonts w:ascii="Times" w:hAnsi="Times" w:cs="Times"/>
          <w:color w:val="000000" w:themeColor="text1"/>
        </w:rPr>
        <w:t xml:space="preserve"> the</w:t>
      </w:r>
      <w:r w:rsidRPr="00976CA0">
        <w:rPr>
          <w:rFonts w:ascii="Times" w:hAnsi="Times" w:cs="Times"/>
          <w:color w:val="000000" w:themeColor="text1"/>
        </w:rPr>
        <w:t xml:space="preserve"> results w</w:t>
      </w:r>
      <w:r w:rsidR="00340E38" w:rsidRPr="00976CA0">
        <w:rPr>
          <w:rFonts w:ascii="Times" w:hAnsi="Times" w:cs="Times"/>
          <w:color w:val="000000" w:themeColor="text1"/>
        </w:rPr>
        <w:t>ith</w:t>
      </w:r>
      <w:r w:rsidRPr="00976CA0">
        <w:rPr>
          <w:rFonts w:ascii="Times" w:hAnsi="Times" w:cs="Times"/>
          <w:color w:val="000000" w:themeColor="text1"/>
        </w:rPr>
        <w:t xml:space="preserve"> individual health status used as an instrument for (the log of) wage.</w:t>
      </w:r>
    </w:p>
    <w:p w14:paraId="72CB5C77" w14:textId="77777777" w:rsidR="009726BF" w:rsidRPr="00976CA0" w:rsidRDefault="009726BF" w:rsidP="009726BF">
      <w:pPr>
        <w:spacing w:before="480" w:after="240" w:line="480" w:lineRule="auto"/>
        <w:jc w:val="both"/>
      </w:pPr>
      <w:r w:rsidRPr="00976CA0">
        <w:rPr>
          <w:noProof/>
          <w:lang w:val="en-US" w:eastAsia="en-US"/>
        </w:rPr>
        <w:drawing>
          <wp:inline distT="0" distB="0" distL="0" distR="0" wp14:anchorId="7963E966" wp14:editId="08FDDCF4">
            <wp:extent cx="6019800" cy="52730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19800" cy="5273040"/>
                    </a:xfrm>
                    <a:prstGeom prst="rect">
                      <a:avLst/>
                    </a:prstGeom>
                    <a:noFill/>
                    <a:ln>
                      <a:noFill/>
                    </a:ln>
                  </pic:spPr>
                </pic:pic>
              </a:graphicData>
            </a:graphic>
          </wp:inline>
        </w:drawing>
      </w:r>
    </w:p>
    <w:p w14:paraId="7EA74866" w14:textId="77777777" w:rsidR="0008763F" w:rsidRPr="00976CA0" w:rsidRDefault="00340E38" w:rsidP="0008763F">
      <w:pPr>
        <w:spacing w:line="480" w:lineRule="auto"/>
        <w:ind w:firstLine="709"/>
        <w:jc w:val="both"/>
        <w:rPr>
          <w:rFonts w:ascii="Times" w:hAnsi="Times" w:cs="Times"/>
          <w:color w:val="000000" w:themeColor="text1"/>
        </w:rPr>
      </w:pPr>
      <w:r w:rsidRPr="00976CA0">
        <w:rPr>
          <w:rFonts w:ascii="Times" w:hAnsi="Times" w:cs="Times"/>
          <w:color w:val="000000" w:themeColor="text1"/>
        </w:rPr>
        <w:lastRenderedPageBreak/>
        <w:t xml:space="preserve">Table A2 </w:t>
      </w:r>
      <w:r w:rsidR="0008763F" w:rsidRPr="00976CA0">
        <w:rPr>
          <w:rFonts w:ascii="Times" w:hAnsi="Times" w:cs="Times"/>
          <w:color w:val="000000" w:themeColor="text1"/>
        </w:rPr>
        <w:t>Column (a) report</w:t>
      </w:r>
      <w:r w:rsidRPr="00976CA0">
        <w:rPr>
          <w:rFonts w:ascii="Times" w:hAnsi="Times" w:cs="Times"/>
          <w:color w:val="000000" w:themeColor="text1"/>
        </w:rPr>
        <w:t>s the</w:t>
      </w:r>
      <w:r w:rsidR="0008763F" w:rsidRPr="00976CA0">
        <w:rPr>
          <w:rFonts w:ascii="Times" w:hAnsi="Times" w:cs="Times"/>
          <w:color w:val="000000" w:themeColor="text1"/>
        </w:rPr>
        <w:t xml:space="preserve"> results for Germany. Wage is statistically significant at the 1% s.l. The Hausman and Wu test for exogeneity rejects the null hypothesis that the variable can be treated as exogenous. The percentage of correct predictions is lower than that reported for our preferred model. </w:t>
      </w:r>
      <w:r w:rsidR="001830DD" w:rsidRPr="00976CA0">
        <w:rPr>
          <w:rFonts w:ascii="Times" w:hAnsi="Times" w:cs="Times"/>
          <w:color w:val="000000" w:themeColor="text1"/>
        </w:rPr>
        <w:t xml:space="preserve">The results in </w:t>
      </w:r>
      <w:r w:rsidR="0008763F" w:rsidRPr="00976CA0">
        <w:rPr>
          <w:rFonts w:ascii="Times" w:hAnsi="Times" w:cs="Times"/>
          <w:color w:val="000000" w:themeColor="text1"/>
        </w:rPr>
        <w:t xml:space="preserve">Column (b) show that, if the set of dummies controlling for unobserved skills </w:t>
      </w:r>
      <w:r w:rsidR="001830DD" w:rsidRPr="00976CA0">
        <w:rPr>
          <w:rFonts w:ascii="Times" w:hAnsi="Times" w:cs="Times"/>
          <w:color w:val="000000" w:themeColor="text1"/>
        </w:rPr>
        <w:t>is</w:t>
      </w:r>
      <w:r w:rsidR="0008763F" w:rsidRPr="00976CA0">
        <w:rPr>
          <w:rFonts w:ascii="Times" w:hAnsi="Times" w:cs="Times"/>
          <w:color w:val="000000" w:themeColor="text1"/>
        </w:rPr>
        <w:t xml:space="preserve"> added to the set of regressors, the percentage of correct predictions </w:t>
      </w:r>
      <w:r w:rsidR="001830DD" w:rsidRPr="00976CA0">
        <w:rPr>
          <w:rFonts w:ascii="Times" w:hAnsi="Times" w:cs="Times"/>
          <w:color w:val="000000" w:themeColor="text1"/>
        </w:rPr>
        <w:t>reduces further</w:t>
      </w:r>
      <w:r w:rsidR="0008763F" w:rsidRPr="00976CA0">
        <w:rPr>
          <w:rFonts w:ascii="Times" w:hAnsi="Times" w:cs="Times"/>
          <w:color w:val="000000" w:themeColor="text1"/>
        </w:rPr>
        <w:t xml:space="preserve">, and the coefficient associated to (the log of) wage </w:t>
      </w:r>
      <w:r w:rsidR="001830DD" w:rsidRPr="00976CA0">
        <w:rPr>
          <w:rFonts w:ascii="Times" w:hAnsi="Times" w:cs="Times"/>
          <w:color w:val="000000" w:themeColor="text1"/>
        </w:rPr>
        <w:t xml:space="preserve">also </w:t>
      </w:r>
      <w:r w:rsidR="0008763F" w:rsidRPr="00976CA0">
        <w:rPr>
          <w:rFonts w:ascii="Times" w:hAnsi="Times" w:cs="Times"/>
          <w:color w:val="000000" w:themeColor="text1"/>
        </w:rPr>
        <w:t>reduces. The test for exogeneity does not reject the null that wage can be treated a</w:t>
      </w:r>
      <w:r w:rsidR="001830DD" w:rsidRPr="00976CA0">
        <w:rPr>
          <w:rFonts w:ascii="Times" w:hAnsi="Times" w:cs="Times"/>
          <w:color w:val="000000" w:themeColor="text1"/>
        </w:rPr>
        <w:t>s</w:t>
      </w:r>
      <w:r w:rsidR="0008763F" w:rsidRPr="00976CA0">
        <w:rPr>
          <w:rFonts w:ascii="Times" w:hAnsi="Times" w:cs="Times"/>
          <w:color w:val="000000" w:themeColor="text1"/>
        </w:rPr>
        <w:t xml:space="preserve"> exogenous. Columns (c) and (d) report results </w:t>
      </w:r>
      <w:r w:rsidR="001830DD" w:rsidRPr="00976CA0">
        <w:rPr>
          <w:rFonts w:ascii="Times" w:hAnsi="Times" w:cs="Times"/>
          <w:color w:val="000000" w:themeColor="text1"/>
        </w:rPr>
        <w:t xml:space="preserve">for </w:t>
      </w:r>
      <w:r w:rsidR="0008763F" w:rsidRPr="00976CA0">
        <w:rPr>
          <w:rFonts w:ascii="Times" w:hAnsi="Times" w:cs="Times"/>
          <w:color w:val="000000" w:themeColor="text1"/>
        </w:rPr>
        <w:t xml:space="preserve">the UK observations. </w:t>
      </w:r>
      <w:r w:rsidR="00AF2F9F" w:rsidRPr="00976CA0">
        <w:rPr>
          <w:rFonts w:ascii="Times" w:hAnsi="Times" w:cs="Times"/>
          <w:color w:val="000000" w:themeColor="text1"/>
        </w:rPr>
        <w:t>If we instrument</w:t>
      </w:r>
      <w:r w:rsidR="0008763F" w:rsidRPr="00976CA0">
        <w:rPr>
          <w:rFonts w:ascii="Times" w:hAnsi="Times" w:cs="Times"/>
          <w:color w:val="000000" w:themeColor="text1"/>
        </w:rPr>
        <w:t xml:space="preserve"> the (log of) wage </w:t>
      </w:r>
      <w:r w:rsidR="001830DD" w:rsidRPr="00976CA0">
        <w:rPr>
          <w:rFonts w:ascii="Times" w:hAnsi="Times" w:cs="Times"/>
          <w:color w:val="000000" w:themeColor="text1"/>
        </w:rPr>
        <w:t xml:space="preserve">we find </w:t>
      </w:r>
      <w:r w:rsidR="0008763F" w:rsidRPr="00976CA0">
        <w:rPr>
          <w:rFonts w:ascii="Times" w:hAnsi="Times" w:cs="Times"/>
          <w:color w:val="000000" w:themeColor="text1"/>
        </w:rPr>
        <w:t xml:space="preserve">that the null hypothesis of the Hausman and Wu test is not rejected. This </w:t>
      </w:r>
      <w:r w:rsidR="001830DD" w:rsidRPr="00976CA0">
        <w:rPr>
          <w:rFonts w:ascii="Times" w:hAnsi="Times" w:cs="Times"/>
          <w:color w:val="000000" w:themeColor="text1"/>
        </w:rPr>
        <w:t xml:space="preserve">suggests </w:t>
      </w:r>
      <w:r w:rsidR="0008763F" w:rsidRPr="00976CA0">
        <w:rPr>
          <w:rFonts w:ascii="Times" w:hAnsi="Times" w:cs="Times"/>
          <w:color w:val="000000" w:themeColor="text1"/>
        </w:rPr>
        <w:t xml:space="preserve">that, despite the </w:t>
      </w:r>
      <w:r w:rsidR="00AF2F9F" w:rsidRPr="00976CA0">
        <w:rPr>
          <w:rFonts w:ascii="Times" w:hAnsi="Times" w:cs="Times"/>
          <w:color w:val="000000" w:themeColor="text1"/>
        </w:rPr>
        <w:t>proposal in</w:t>
      </w:r>
      <w:r w:rsidR="0008763F" w:rsidRPr="00976CA0">
        <w:rPr>
          <w:rFonts w:ascii="Times" w:hAnsi="Times" w:cs="Times"/>
          <w:color w:val="000000" w:themeColor="text1"/>
        </w:rPr>
        <w:t xml:space="preserve"> Currie and Madrian (1999), the necessary exclusion restriction is unlikely to hold for both the UK and Germany. The log of wage is not statistically significant.</w:t>
      </w:r>
    </w:p>
    <w:p w14:paraId="729164F7" w14:textId="77777777" w:rsidR="00B259B3" w:rsidRPr="00976CA0" w:rsidRDefault="009726BF" w:rsidP="009726BF">
      <w:pPr>
        <w:spacing w:before="720" w:line="480" w:lineRule="auto"/>
        <w:jc w:val="both"/>
        <w:outlineLvl w:val="0"/>
        <w:rPr>
          <w:b/>
          <w:color w:val="000000" w:themeColor="text1"/>
        </w:rPr>
      </w:pPr>
      <w:r w:rsidRPr="00976CA0">
        <w:rPr>
          <w:b/>
          <w:color w:val="000000" w:themeColor="text1"/>
        </w:rPr>
        <w:t xml:space="preserve">A.5. </w:t>
      </w:r>
      <w:r w:rsidR="00202E61" w:rsidRPr="00976CA0">
        <w:rPr>
          <w:b/>
          <w:color w:val="000000" w:themeColor="text1"/>
        </w:rPr>
        <w:t xml:space="preserve">Answering </w:t>
      </w:r>
      <w:r w:rsidRPr="00976CA0">
        <w:rPr>
          <w:b/>
          <w:color w:val="000000" w:themeColor="text1"/>
        </w:rPr>
        <w:t xml:space="preserve">“what if” using questions </w:t>
      </w:r>
      <w:r w:rsidR="001830DD" w:rsidRPr="00976CA0">
        <w:rPr>
          <w:b/>
          <w:color w:val="000000" w:themeColor="text1"/>
        </w:rPr>
        <w:t xml:space="preserve">related to the </w:t>
      </w:r>
      <w:r w:rsidRPr="00976CA0">
        <w:rPr>
          <w:b/>
          <w:color w:val="000000" w:themeColor="text1"/>
        </w:rPr>
        <w:t>economies</w:t>
      </w:r>
      <w:r w:rsidR="001830DD" w:rsidRPr="00976CA0">
        <w:rPr>
          <w:b/>
          <w:color w:val="000000" w:themeColor="text1"/>
        </w:rPr>
        <w:t xml:space="preserve"> with the </w:t>
      </w:r>
      <w:r w:rsidRPr="00976CA0">
        <w:rPr>
          <w:b/>
          <w:color w:val="000000" w:themeColor="text1"/>
        </w:rPr>
        <w:t xml:space="preserve">UK as </w:t>
      </w:r>
      <w:r w:rsidR="001830DD" w:rsidRPr="00976CA0">
        <w:rPr>
          <w:b/>
          <w:color w:val="000000" w:themeColor="text1"/>
        </w:rPr>
        <w:t xml:space="preserve">the </w:t>
      </w:r>
      <w:r w:rsidRPr="00976CA0">
        <w:rPr>
          <w:b/>
          <w:color w:val="000000" w:themeColor="text1"/>
        </w:rPr>
        <w:t>reference economy</w:t>
      </w:r>
    </w:p>
    <w:p w14:paraId="4EDB57EF" w14:textId="77777777" w:rsidR="001308FF" w:rsidRPr="00976CA0" w:rsidRDefault="00AB1BCE" w:rsidP="001308FF">
      <w:pPr>
        <w:spacing w:before="240" w:line="480" w:lineRule="auto"/>
        <w:jc w:val="both"/>
        <w:rPr>
          <w:color w:val="000000" w:themeColor="text1"/>
        </w:rPr>
      </w:pPr>
      <w:r w:rsidRPr="00976CA0">
        <w:rPr>
          <w:color w:val="000000" w:themeColor="text1"/>
        </w:rPr>
        <w:t xml:space="preserve">To test hypothesis 2, we need a measure of how much a German middle manager would earn if, all other things being equal, s/he was performing the same task in the UK. This amount, when compared </w:t>
      </w:r>
      <w:r w:rsidR="001830DD" w:rsidRPr="00976CA0">
        <w:rPr>
          <w:color w:val="000000" w:themeColor="text1"/>
        </w:rPr>
        <w:t>to</w:t>
      </w:r>
      <w:r w:rsidRPr="00976CA0">
        <w:rPr>
          <w:color w:val="000000" w:themeColor="text1"/>
        </w:rPr>
        <w:t xml:space="preserve"> the </w:t>
      </w:r>
      <w:r w:rsidR="001830DD" w:rsidRPr="00976CA0">
        <w:rPr>
          <w:color w:val="000000" w:themeColor="text1"/>
        </w:rPr>
        <w:t xml:space="preserve">management </w:t>
      </w:r>
      <w:r w:rsidR="0033153B" w:rsidRPr="00976CA0">
        <w:rPr>
          <w:color w:val="000000" w:themeColor="text1"/>
        </w:rPr>
        <w:t>premium</w:t>
      </w:r>
      <w:r w:rsidRPr="00976CA0">
        <w:rPr>
          <w:color w:val="000000" w:themeColor="text1"/>
        </w:rPr>
        <w:t xml:space="preserve"> actually earn</w:t>
      </w:r>
      <w:r w:rsidR="001830DD" w:rsidRPr="00976CA0">
        <w:rPr>
          <w:color w:val="000000" w:themeColor="text1"/>
        </w:rPr>
        <w:t>ed</w:t>
      </w:r>
      <w:r w:rsidRPr="00976CA0">
        <w:rPr>
          <w:color w:val="000000" w:themeColor="text1"/>
        </w:rPr>
        <w:t>, w</w:t>
      </w:r>
      <w:r w:rsidR="001830DD" w:rsidRPr="00976CA0">
        <w:rPr>
          <w:color w:val="000000" w:themeColor="text1"/>
        </w:rPr>
        <w:t>ill</w:t>
      </w:r>
      <w:r w:rsidRPr="00976CA0">
        <w:rPr>
          <w:color w:val="000000" w:themeColor="text1"/>
        </w:rPr>
        <w:t xml:space="preserve"> reveal the impact of the German compared to the UK institutional background.</w:t>
      </w:r>
    </w:p>
    <w:p w14:paraId="4FC93D92" w14:textId="77777777" w:rsidR="00AB1BCE" w:rsidRPr="00976CA0" w:rsidRDefault="00AB1BCE" w:rsidP="001308FF">
      <w:pPr>
        <w:spacing w:before="240" w:line="480" w:lineRule="auto"/>
        <w:jc w:val="both"/>
        <w:rPr>
          <w:color w:val="000000" w:themeColor="text1"/>
        </w:rPr>
      </w:pPr>
      <w:r w:rsidRPr="00976CA0">
        <w:rPr>
          <w:color w:val="000000" w:themeColor="text1"/>
        </w:rPr>
        <w:t xml:space="preserve">Fortin, Lemieux and Firpo </w:t>
      </w:r>
      <w:r w:rsidR="00886168" w:rsidRPr="00976CA0">
        <w:rPr>
          <w:color w:val="000000" w:themeColor="text1"/>
        </w:rPr>
        <w:fldChar w:fldCharType="begin" w:fldLock="1"/>
      </w:r>
      <w:r w:rsidR="007453AD" w:rsidRPr="00976CA0">
        <w:rPr>
          <w:color w:val="000000" w:themeColor="text1"/>
        </w:rPr>
        <w:instrText>ADDIN CSL_CITATION { "citationItems" : [ { "id" : "ITEM-1", "itemData" : { "abstract" : "This chapter provides a comprehensive overview of decomposition methods that have been developed since the seminal work of Oaxaca and Blinder in the early 1970s. These methods are used to decompose the difference in a distributional statistic between two groups, or its change over time, into various explanatory factors. While the original work of Oaxaca and Blinder considered the case of the mean, our main focus is on other distributional statistics besides the mean such as quantiles, the Gini coefficient or the variance. We discuss the assumptions required for identifying the different elements of the decomposition, as well as various estimation methods proposed in the literature. We also illustrate how these methods work in practice by discussing existing applications and working through a set of empirical examples throughout the paper.", "author" : [ { "dropping-particle" : "", "family" : "Fortin", "given" : "Nicole", "non-dropping-particle" : "", "parse-names" : false, "suffix" : "" }, { "dropping-particle" : "", "family" : "Lemieux", "given" : "Thomas", "non-dropping-particle" : "", "parse-names" : false, "suffix" : "" }, { "dropping-particle" : "", "family" : "Firpo", "given" : "Sergio", "non-dropping-particle" : "", "parse-names" : false, "suffix" : "" } ], "container-title" : "NBER Working Paper No. 16045", "id" : "ITEM-1", "issued" : { "date-parts" : [ [ "2010" ] ] }, "page" : "1-118", "title" : "Decomposition methods in ecnomics", "type" : "article-journal" }, "suppress-author" : 1, "uris" : [ "http://www.mendeley.com/documents/?uuid=85a60bd8-07ad-4007-a098-4a1a972c8eed" ] } ], "mendeley" : { "formattedCitation" : "(2010)", "plainTextFormattedCitation" : "(2010)", "previouslyFormattedCitation" : "(2010)" }, "properties" : { "noteIndex" : 0 }, "schema" : "https://github.com/citation-style-language/schema/raw/master/csl-citation.json" }</w:instrText>
      </w:r>
      <w:r w:rsidR="00886168" w:rsidRPr="00976CA0">
        <w:rPr>
          <w:color w:val="000000" w:themeColor="text1"/>
        </w:rPr>
        <w:fldChar w:fldCharType="separate"/>
      </w:r>
      <w:r w:rsidR="006B1DB2" w:rsidRPr="00976CA0">
        <w:rPr>
          <w:noProof/>
          <w:color w:val="000000" w:themeColor="text1"/>
        </w:rPr>
        <w:t>(2010)</w:t>
      </w:r>
      <w:r w:rsidR="00886168" w:rsidRPr="00976CA0">
        <w:rPr>
          <w:color w:val="000000" w:themeColor="text1"/>
        </w:rPr>
        <w:fldChar w:fldCharType="end"/>
      </w:r>
      <w:r w:rsidRPr="00976CA0">
        <w:rPr>
          <w:color w:val="000000" w:themeColor="text1"/>
        </w:rPr>
        <w:t xml:space="preserve"> </w:t>
      </w:r>
      <w:r w:rsidR="001830DD" w:rsidRPr="00976CA0">
        <w:rPr>
          <w:color w:val="000000" w:themeColor="text1"/>
        </w:rPr>
        <w:t xml:space="preserve">conduct this exercise </w:t>
      </w:r>
      <w:r w:rsidRPr="00976CA0">
        <w:rPr>
          <w:color w:val="000000" w:themeColor="text1"/>
        </w:rPr>
        <w:t xml:space="preserve">in two steps. The first step consists </w:t>
      </w:r>
      <w:r w:rsidR="001830DD" w:rsidRPr="00976CA0">
        <w:rPr>
          <w:color w:val="000000" w:themeColor="text1"/>
        </w:rPr>
        <w:t>of</w:t>
      </w:r>
      <w:r w:rsidRPr="00976CA0">
        <w:rPr>
          <w:color w:val="000000" w:themeColor="text1"/>
        </w:rPr>
        <w:t xml:space="preserve"> estimating the counterfactual distribution that would prevail if German employees </w:t>
      </w:r>
      <w:r w:rsidR="001830DD" w:rsidRPr="00976CA0">
        <w:rPr>
          <w:color w:val="000000" w:themeColor="text1"/>
        </w:rPr>
        <w:t>were working</w:t>
      </w:r>
      <w:r w:rsidRPr="00976CA0">
        <w:rPr>
          <w:color w:val="000000" w:themeColor="text1"/>
        </w:rPr>
        <w:t xml:space="preserve"> in the UK, all else being equal:</w:t>
      </w:r>
    </w:p>
    <w:p w14:paraId="764BEA65" w14:textId="77777777" w:rsidR="00AB1BCE" w:rsidRPr="00976CA0" w:rsidRDefault="00E10F01" w:rsidP="00AB1BCE">
      <w:pPr>
        <w:pStyle w:val="ListParagraph"/>
        <w:numPr>
          <w:ilvl w:val="0"/>
          <w:numId w:val="13"/>
        </w:numPr>
        <w:suppressAutoHyphens/>
        <w:autoSpaceDN w:val="0"/>
        <w:spacing w:line="480" w:lineRule="auto"/>
        <w:ind w:hanging="578"/>
        <w:contextualSpacing w:val="0"/>
        <w:jc w:val="both"/>
        <w:textAlignment w:val="baseline"/>
        <w:rPr>
          <w:color w:val="000000" w:themeColor="text1"/>
        </w:rPr>
      </w:pPr>
      <w:r w:rsidRPr="00976CA0">
        <w:rPr>
          <w:color w:val="000000" w:themeColor="text1"/>
          <w:position w:val="-16"/>
        </w:rPr>
        <w:object w:dxaOrig="3700" w:dyaOrig="440" w14:anchorId="0E122987">
          <v:shape id="_x0000_i1045" type="#_x0000_t75" style="width:197.4pt;height:25.1pt" o:ole="">
            <v:imagedata r:id="rId50" o:title=""/>
          </v:shape>
          <o:OLEObject Type="Embed" ProgID="Equation.3" ShapeID="_x0000_i1045" DrawAspect="Content" ObjectID="_1546090427" r:id="rId51"/>
        </w:object>
      </w:r>
      <w:r w:rsidR="00AB1BCE" w:rsidRPr="00976CA0">
        <w:rPr>
          <w:color w:val="000000" w:themeColor="text1"/>
        </w:rPr>
        <w:t>.</w:t>
      </w:r>
    </w:p>
    <w:p w14:paraId="596C1528" w14:textId="77777777" w:rsidR="00AB1BCE" w:rsidRPr="00976CA0" w:rsidRDefault="00AB1BCE" w:rsidP="001308FF">
      <w:pPr>
        <w:spacing w:before="240" w:line="480" w:lineRule="auto"/>
        <w:jc w:val="both"/>
        <w:rPr>
          <w:color w:val="000000" w:themeColor="text1"/>
        </w:rPr>
      </w:pPr>
      <w:r w:rsidRPr="00976CA0">
        <w:rPr>
          <w:color w:val="000000" w:themeColor="text1"/>
        </w:rPr>
        <w:lastRenderedPageBreak/>
        <w:t xml:space="preserve">As above, the key element </w:t>
      </w:r>
      <w:r w:rsidR="001830DD" w:rsidRPr="00976CA0">
        <w:rPr>
          <w:color w:val="000000" w:themeColor="text1"/>
        </w:rPr>
        <w:t xml:space="preserve">in comparing </w:t>
      </w:r>
      <w:r w:rsidRPr="00976CA0">
        <w:rPr>
          <w:color w:val="000000" w:themeColor="text1"/>
        </w:rPr>
        <w:t xml:space="preserve">across samples (in this case, countries) is the reweighting </w:t>
      </w:r>
      <w:r w:rsidR="00645563" w:rsidRPr="00976CA0">
        <w:rPr>
          <w:color w:val="000000" w:themeColor="text1"/>
        </w:rPr>
        <w:t>function, which</w:t>
      </w:r>
      <w:r w:rsidRPr="00976CA0">
        <w:rPr>
          <w:color w:val="000000" w:themeColor="text1"/>
        </w:rPr>
        <w:t xml:space="preserve"> keeps all </w:t>
      </w:r>
      <w:r w:rsidR="001830DD" w:rsidRPr="00976CA0">
        <w:rPr>
          <w:color w:val="000000" w:themeColor="text1"/>
        </w:rPr>
        <w:t xml:space="preserve">the </w:t>
      </w:r>
      <w:r w:rsidRPr="00976CA0">
        <w:rPr>
          <w:color w:val="000000" w:themeColor="text1"/>
        </w:rPr>
        <w:t>conditioning variables as in the UK. The</w:t>
      </w:r>
      <w:r w:rsidR="001830DD" w:rsidRPr="00976CA0">
        <w:rPr>
          <w:color w:val="000000" w:themeColor="text1"/>
        </w:rPr>
        <w:t>n, the</w:t>
      </w:r>
      <w:r w:rsidRPr="00976CA0">
        <w:rPr>
          <w:color w:val="000000" w:themeColor="text1"/>
        </w:rPr>
        <w:t xml:space="preserve"> reweighting factor for the observations in Germany is:</w:t>
      </w:r>
    </w:p>
    <w:p w14:paraId="22749219" w14:textId="77777777" w:rsidR="00AB1BCE" w:rsidRPr="00976CA0" w:rsidRDefault="00AB1BCE" w:rsidP="00AB1BCE">
      <w:pPr>
        <w:numPr>
          <w:ilvl w:val="0"/>
          <w:numId w:val="13"/>
        </w:numPr>
        <w:spacing w:line="480" w:lineRule="auto"/>
        <w:ind w:hanging="720"/>
        <w:jc w:val="both"/>
        <w:rPr>
          <w:color w:val="000000" w:themeColor="text1"/>
        </w:rPr>
      </w:pPr>
      <w:r w:rsidRPr="00976CA0">
        <w:rPr>
          <w:color w:val="000000" w:themeColor="text1"/>
          <w:position w:val="-32"/>
        </w:rPr>
        <w:object w:dxaOrig="5600" w:dyaOrig="740" w14:anchorId="69CFCBF3">
          <v:shape id="_x0000_i1046" type="#_x0000_t75" style="width:279.1pt;height:36.4pt" o:ole="">
            <v:imagedata r:id="rId52" o:title=""/>
          </v:shape>
          <o:OLEObject Type="Embed" ProgID="Equation.3" ShapeID="_x0000_i1046" DrawAspect="Content" ObjectID="_1546090428" r:id="rId53"/>
        </w:object>
      </w:r>
      <w:r w:rsidRPr="00976CA0">
        <w:rPr>
          <w:color w:val="000000" w:themeColor="text1"/>
        </w:rPr>
        <w:t>.</w:t>
      </w:r>
    </w:p>
    <w:p w14:paraId="6D159881" w14:textId="77777777" w:rsidR="00AB1BCE" w:rsidRPr="00976CA0" w:rsidRDefault="00AB1BCE" w:rsidP="001308FF">
      <w:pPr>
        <w:spacing w:before="240" w:line="480" w:lineRule="auto"/>
        <w:jc w:val="both"/>
        <w:rPr>
          <w:color w:val="000000" w:themeColor="text1"/>
        </w:rPr>
      </w:pPr>
      <w:r w:rsidRPr="00976CA0">
        <w:rPr>
          <w:color w:val="000000" w:themeColor="text1"/>
        </w:rPr>
        <w:t>They suggest implement</w:t>
      </w:r>
      <w:r w:rsidR="001830DD" w:rsidRPr="00976CA0">
        <w:rPr>
          <w:color w:val="000000" w:themeColor="text1"/>
        </w:rPr>
        <w:t>ing</w:t>
      </w:r>
      <w:r w:rsidRPr="00976CA0">
        <w:rPr>
          <w:color w:val="000000" w:themeColor="text1"/>
        </w:rPr>
        <w:t xml:space="preserve"> the decomposition by pooling the data for Germany and the UK, and run</w:t>
      </w:r>
      <w:r w:rsidR="001830DD" w:rsidRPr="00976CA0">
        <w:rPr>
          <w:color w:val="000000" w:themeColor="text1"/>
        </w:rPr>
        <w:t>ning</w:t>
      </w:r>
      <w:r w:rsidRPr="00976CA0">
        <w:rPr>
          <w:color w:val="000000" w:themeColor="text1"/>
        </w:rPr>
        <w:t xml:space="preserve"> a probit model for the probability of being employed in the Germany given the set of characteristics </w:t>
      </w:r>
      <w:r w:rsidRPr="00976CA0">
        <w:rPr>
          <w:i/>
          <w:color w:val="000000" w:themeColor="text1"/>
        </w:rPr>
        <w:t>x</w:t>
      </w:r>
      <w:r w:rsidRPr="00976CA0">
        <w:rPr>
          <w:color w:val="000000" w:themeColor="text1"/>
        </w:rPr>
        <w:t>:</w:t>
      </w:r>
    </w:p>
    <w:p w14:paraId="70887B61" w14:textId="77777777" w:rsidR="00AB1BCE" w:rsidRPr="00976CA0" w:rsidRDefault="00AB1BCE" w:rsidP="00AB1BCE">
      <w:pPr>
        <w:numPr>
          <w:ilvl w:val="0"/>
          <w:numId w:val="13"/>
        </w:numPr>
        <w:spacing w:line="480" w:lineRule="auto"/>
        <w:ind w:hanging="720"/>
        <w:jc w:val="both"/>
        <w:rPr>
          <w:rFonts w:ascii="Times" w:hAnsi="Times"/>
          <w:color w:val="000000" w:themeColor="text1"/>
        </w:rPr>
      </w:pPr>
      <w:r w:rsidRPr="00976CA0">
        <w:rPr>
          <w:color w:val="000000" w:themeColor="text1"/>
          <w:position w:val="-14"/>
        </w:rPr>
        <w:object w:dxaOrig="2040" w:dyaOrig="400" w14:anchorId="63D0140C">
          <v:shape id="_x0000_i1047" type="#_x0000_t75" style="width:101.95pt;height:21.85pt" o:ole="">
            <v:imagedata r:id="rId54" o:title=""/>
          </v:shape>
          <o:OLEObject Type="Embed" ProgID="Equation.3" ShapeID="_x0000_i1047" DrawAspect="Content" ObjectID="_1546090429" r:id="rId55"/>
        </w:object>
      </w:r>
      <w:r w:rsidRPr="00976CA0">
        <w:rPr>
          <w:color w:val="000000" w:themeColor="text1"/>
        </w:rPr>
        <w:t>.</w:t>
      </w:r>
    </w:p>
    <w:p w14:paraId="3EF23572" w14:textId="77777777" w:rsidR="00AB1BCE" w:rsidRPr="00976CA0" w:rsidRDefault="00AB1BCE" w:rsidP="00AB1BCE">
      <w:pPr>
        <w:spacing w:line="480" w:lineRule="auto"/>
        <w:jc w:val="both"/>
        <w:rPr>
          <w:color w:val="000000" w:themeColor="text1"/>
        </w:rPr>
      </w:pPr>
      <w:r w:rsidRPr="00976CA0">
        <w:rPr>
          <w:color w:val="000000" w:themeColor="text1"/>
        </w:rPr>
        <w:t xml:space="preserve">and, using the sample proportions </w:t>
      </w:r>
      <w:r w:rsidRPr="00976CA0">
        <w:rPr>
          <w:color w:val="000000" w:themeColor="text1"/>
          <w:position w:val="-10"/>
        </w:rPr>
        <w:object w:dxaOrig="780" w:dyaOrig="320" w14:anchorId="409E0A58">
          <v:shape id="_x0000_i1048" type="#_x0000_t75" style="width:38.85pt;height:16.2pt" o:ole="">
            <v:imagedata r:id="rId56" o:title=""/>
          </v:shape>
          <o:OLEObject Type="Embed" ProgID="Equation.3" ShapeID="_x0000_i1048" DrawAspect="Content" ObjectID="_1546090430" r:id="rId57"/>
        </w:object>
      </w:r>
      <w:r w:rsidRPr="00976CA0">
        <w:rPr>
          <w:color w:val="000000" w:themeColor="text1"/>
        </w:rPr>
        <w:t xml:space="preserve"> and </w:t>
      </w:r>
      <w:r w:rsidRPr="00976CA0">
        <w:rPr>
          <w:color w:val="000000" w:themeColor="text1"/>
          <w:position w:val="-10"/>
        </w:rPr>
        <w:object w:dxaOrig="780" w:dyaOrig="320" w14:anchorId="09FFA0B9">
          <v:shape id="_x0000_i1049" type="#_x0000_t75" style="width:38.85pt;height:16.2pt" o:ole="">
            <v:imagedata r:id="rId58" o:title=""/>
          </v:shape>
          <o:OLEObject Type="Embed" ProgID="Equation.3" ShapeID="_x0000_i1049" DrawAspect="Content" ObjectID="_1546090431" r:id="rId59"/>
        </w:object>
      </w:r>
      <w:r w:rsidRPr="00976CA0">
        <w:rPr>
          <w:color w:val="000000" w:themeColor="text1"/>
        </w:rPr>
        <w:t xml:space="preserve">, they construct the distribution of wages that would have prevailed </w:t>
      </w:r>
      <w:r w:rsidR="001830DD" w:rsidRPr="00976CA0">
        <w:rPr>
          <w:color w:val="000000" w:themeColor="text1"/>
        </w:rPr>
        <w:t xml:space="preserve">were </w:t>
      </w:r>
      <w:r w:rsidRPr="00976CA0">
        <w:rPr>
          <w:color w:val="000000" w:themeColor="text1"/>
        </w:rPr>
        <w:t>all the German employees working in the UK:</w:t>
      </w:r>
    </w:p>
    <w:p w14:paraId="6CF91DF8" w14:textId="77777777" w:rsidR="00AB1BCE" w:rsidRPr="00976CA0" w:rsidRDefault="00AB1BCE" w:rsidP="00AB1BCE">
      <w:pPr>
        <w:numPr>
          <w:ilvl w:val="0"/>
          <w:numId w:val="13"/>
        </w:numPr>
        <w:spacing w:line="480" w:lineRule="auto"/>
        <w:ind w:hanging="720"/>
        <w:jc w:val="both"/>
        <w:rPr>
          <w:color w:val="000000" w:themeColor="text1"/>
        </w:rPr>
      </w:pPr>
      <w:r w:rsidRPr="00976CA0">
        <w:rPr>
          <w:color w:val="000000" w:themeColor="text1"/>
          <w:position w:val="-32"/>
        </w:rPr>
        <w:object w:dxaOrig="3080" w:dyaOrig="740" w14:anchorId="2EC58903">
          <v:shape id="_x0000_i1050" type="#_x0000_t75" style="width:154.5pt;height:36.4pt" o:ole="">
            <v:imagedata r:id="rId60" o:title=""/>
          </v:shape>
          <o:OLEObject Type="Embed" ProgID="Equation.3" ShapeID="_x0000_i1050" DrawAspect="Content" ObjectID="_1546090432" r:id="rId61"/>
        </w:object>
      </w:r>
      <w:r w:rsidRPr="00976CA0">
        <w:rPr>
          <w:color w:val="000000" w:themeColor="text1"/>
        </w:rPr>
        <w:t>.</w:t>
      </w:r>
    </w:p>
    <w:p w14:paraId="2BFF9ED8" w14:textId="77777777" w:rsidR="00AB1BCE" w:rsidRPr="00976CA0" w:rsidRDefault="00AB1BCE" w:rsidP="00AB1BCE">
      <w:pPr>
        <w:spacing w:line="480" w:lineRule="auto"/>
        <w:jc w:val="both"/>
        <w:rPr>
          <w:color w:val="000000" w:themeColor="text1"/>
        </w:rPr>
      </w:pPr>
      <w:r w:rsidRPr="00976CA0">
        <w:rPr>
          <w:color w:val="000000" w:themeColor="text1"/>
        </w:rPr>
        <w:t xml:space="preserve">where two unconditional probabilities of the first ratio, </w:t>
      </w:r>
      <w:r w:rsidRPr="00976CA0">
        <w:rPr>
          <w:color w:val="000000" w:themeColor="text1"/>
          <w:position w:val="-10"/>
        </w:rPr>
        <w:object w:dxaOrig="859" w:dyaOrig="320" w14:anchorId="6B260D95">
          <v:shape id="_x0000_i1051" type="#_x0000_t75" style="width:45.3pt;height:17pt" o:ole="">
            <v:imagedata r:id="rId62" o:title=""/>
          </v:shape>
          <o:OLEObject Type="Embed" ProgID="Equation.3" ShapeID="_x0000_i1051" DrawAspect="Content" ObjectID="_1546090433" r:id="rId63"/>
        </w:object>
      </w:r>
      <w:r w:rsidRPr="00976CA0">
        <w:rPr>
          <w:color w:val="000000" w:themeColor="text1"/>
        </w:rPr>
        <w:t xml:space="preserve"> and </w:t>
      </w:r>
      <w:r w:rsidRPr="00976CA0">
        <w:rPr>
          <w:color w:val="000000" w:themeColor="text1"/>
          <w:position w:val="-10"/>
        </w:rPr>
        <w:object w:dxaOrig="740" w:dyaOrig="320" w14:anchorId="2DE3F0A3">
          <v:shape id="_x0000_i1052" type="#_x0000_t75" style="width:38pt;height:17pt" o:ole="">
            <v:imagedata r:id="rId64" o:title=""/>
          </v:shape>
          <o:OLEObject Type="Embed" ProgID="Equation.3" ShapeID="_x0000_i1052" DrawAspect="Content" ObjectID="_1546090434" r:id="rId65"/>
        </w:object>
      </w:r>
      <w:r w:rsidRPr="00976CA0">
        <w:rPr>
          <w:color w:val="000000" w:themeColor="text1"/>
        </w:rPr>
        <w:t xml:space="preserve">, are equal to the percentage of observations for the German economy over the percentage of observations for the UK economy. This vector of weights, </w:t>
      </w:r>
      <w:r w:rsidR="001830DD" w:rsidRPr="00976CA0">
        <w:rPr>
          <w:color w:val="000000" w:themeColor="text1"/>
        </w:rPr>
        <w:t>when</w:t>
      </w:r>
      <w:r w:rsidRPr="00976CA0">
        <w:rPr>
          <w:color w:val="000000" w:themeColor="text1"/>
        </w:rPr>
        <w:t xml:space="preserve"> applied to the sample of German employees, gives:</w:t>
      </w:r>
    </w:p>
    <w:p w14:paraId="087D7FBE" w14:textId="77777777" w:rsidR="00AB1BCE" w:rsidRPr="00976CA0" w:rsidRDefault="00AB1BCE" w:rsidP="00AB1BCE">
      <w:pPr>
        <w:pStyle w:val="ListParagraph"/>
        <w:numPr>
          <w:ilvl w:val="0"/>
          <w:numId w:val="13"/>
        </w:numPr>
        <w:spacing w:line="480" w:lineRule="auto"/>
        <w:ind w:hanging="720"/>
        <w:jc w:val="both"/>
        <w:rPr>
          <w:color w:val="000000" w:themeColor="text1"/>
        </w:rPr>
      </w:pPr>
      <w:r w:rsidRPr="00976CA0">
        <w:rPr>
          <w:color w:val="000000" w:themeColor="text1"/>
          <w:position w:val="-16"/>
        </w:rPr>
        <w:object w:dxaOrig="4740" w:dyaOrig="440" w14:anchorId="1C935916">
          <v:shape id="_x0000_i1053" type="#_x0000_t75" style="width:236.2pt;height:21.05pt" o:ole="">
            <v:imagedata r:id="rId66" o:title=""/>
          </v:shape>
          <o:OLEObject Type="Embed" ProgID="Equation.3" ShapeID="_x0000_i1053" DrawAspect="Content" ObjectID="_1546090435" r:id="rId67"/>
        </w:object>
      </w:r>
      <w:r w:rsidRPr="00976CA0">
        <w:rPr>
          <w:color w:val="000000" w:themeColor="text1"/>
        </w:rPr>
        <w:t>,</w:t>
      </w:r>
    </w:p>
    <w:p w14:paraId="519A4323" w14:textId="77777777" w:rsidR="00AB1BCE" w:rsidRPr="00976CA0" w:rsidRDefault="001830DD" w:rsidP="00AB1BCE">
      <w:pPr>
        <w:spacing w:line="480" w:lineRule="auto"/>
        <w:jc w:val="both"/>
        <w:rPr>
          <w:color w:val="000000" w:themeColor="text1"/>
        </w:rPr>
      </w:pPr>
      <w:r w:rsidRPr="00976CA0">
        <w:rPr>
          <w:color w:val="000000" w:themeColor="text1"/>
        </w:rPr>
        <w:t xml:space="preserve">which </w:t>
      </w:r>
      <w:r w:rsidR="00AB1BCE" w:rsidRPr="00976CA0">
        <w:rPr>
          <w:color w:val="000000" w:themeColor="text1"/>
        </w:rPr>
        <w:t>is an estimate of the</w:t>
      </w:r>
      <w:r w:rsidRPr="00976CA0">
        <w:rPr>
          <w:color w:val="000000" w:themeColor="text1"/>
        </w:rPr>
        <w:t xml:space="preserve"> wage</w:t>
      </w:r>
      <w:r w:rsidR="00AB1BCE" w:rsidRPr="00976CA0">
        <w:rPr>
          <w:color w:val="000000" w:themeColor="text1"/>
        </w:rPr>
        <w:t xml:space="preserve"> distribution that would prevail in Germany under UK institutions. The first step </w:t>
      </w:r>
      <w:r w:rsidRPr="00976CA0">
        <w:rPr>
          <w:color w:val="000000" w:themeColor="text1"/>
        </w:rPr>
        <w:t xml:space="preserve">in </w:t>
      </w:r>
      <w:r w:rsidR="00AB1BCE" w:rsidRPr="00976CA0">
        <w:rPr>
          <w:color w:val="000000" w:themeColor="text1"/>
        </w:rPr>
        <w:t>the exercise provides an evaluation of the role of institutional background, that is, how much any German worker would earn in the UK.</w:t>
      </w:r>
      <w:r w:rsidR="001308FF" w:rsidRPr="00976CA0">
        <w:rPr>
          <w:color w:val="000000" w:themeColor="text1"/>
        </w:rPr>
        <w:t xml:space="preserve"> A similar exercise can be found in DiNardo, Fortin and Lemieux (1996)</w:t>
      </w:r>
      <w:r w:rsidRPr="00976CA0">
        <w:rPr>
          <w:color w:val="000000" w:themeColor="text1"/>
        </w:rPr>
        <w:t xml:space="preserve"> </w:t>
      </w:r>
      <w:r w:rsidR="00FF2EDF">
        <w:rPr>
          <w:color w:val="000000" w:themeColor="text1"/>
        </w:rPr>
        <w:t xml:space="preserve">for </w:t>
      </w:r>
      <w:r w:rsidR="00645563" w:rsidRPr="00976CA0">
        <w:rPr>
          <w:color w:val="000000" w:themeColor="text1"/>
        </w:rPr>
        <w:t>the</w:t>
      </w:r>
      <w:r w:rsidRPr="00976CA0">
        <w:rPr>
          <w:color w:val="000000" w:themeColor="text1"/>
        </w:rPr>
        <w:t xml:space="preserve"> case of </w:t>
      </w:r>
      <w:r w:rsidR="001308FF" w:rsidRPr="00976CA0">
        <w:rPr>
          <w:color w:val="000000" w:themeColor="text1"/>
        </w:rPr>
        <w:t>the gender wage gap</w:t>
      </w:r>
      <w:r w:rsidRPr="00976CA0">
        <w:rPr>
          <w:color w:val="000000" w:themeColor="text1"/>
        </w:rPr>
        <w:t xml:space="preserve">. It </w:t>
      </w:r>
      <w:r w:rsidR="001308FF" w:rsidRPr="00976CA0">
        <w:rPr>
          <w:color w:val="000000" w:themeColor="text1"/>
        </w:rPr>
        <w:t>focus</w:t>
      </w:r>
      <w:r w:rsidRPr="00976CA0">
        <w:rPr>
          <w:color w:val="000000" w:themeColor="text1"/>
        </w:rPr>
        <w:t>es</w:t>
      </w:r>
      <w:r w:rsidR="001308FF" w:rsidRPr="00976CA0">
        <w:rPr>
          <w:color w:val="000000" w:themeColor="text1"/>
        </w:rPr>
        <w:t xml:space="preserve"> on a single economy and construct</w:t>
      </w:r>
      <w:r w:rsidRPr="00976CA0">
        <w:rPr>
          <w:color w:val="000000" w:themeColor="text1"/>
        </w:rPr>
        <w:t>s</w:t>
      </w:r>
      <w:r w:rsidR="001308FF" w:rsidRPr="00976CA0">
        <w:rPr>
          <w:color w:val="000000" w:themeColor="text1"/>
        </w:rPr>
        <w:t xml:space="preserve"> counterfactual distributions at different points in time. The impact of a particular factor on changes </w:t>
      </w:r>
      <w:r w:rsidRPr="00976CA0">
        <w:rPr>
          <w:color w:val="000000" w:themeColor="text1"/>
        </w:rPr>
        <w:t xml:space="preserve">to </w:t>
      </w:r>
      <w:r w:rsidR="001308FF" w:rsidRPr="00976CA0">
        <w:rPr>
          <w:color w:val="000000" w:themeColor="text1"/>
        </w:rPr>
        <w:t>the wage distribution over time is constructed by considering the counterfactual state of the world where the distribution of this factor remain</w:t>
      </w:r>
      <w:r w:rsidRPr="00976CA0">
        <w:rPr>
          <w:color w:val="000000" w:themeColor="text1"/>
        </w:rPr>
        <w:t>s</w:t>
      </w:r>
      <w:r w:rsidR="001308FF" w:rsidRPr="00976CA0">
        <w:rPr>
          <w:color w:val="000000" w:themeColor="text1"/>
        </w:rPr>
        <w:t xml:space="preserve"> fixed </w:t>
      </w:r>
      <w:r w:rsidRPr="00976CA0">
        <w:rPr>
          <w:color w:val="000000" w:themeColor="text1"/>
        </w:rPr>
        <w:t>across</w:t>
      </w:r>
      <w:r w:rsidR="001308FF" w:rsidRPr="00976CA0">
        <w:rPr>
          <w:color w:val="000000" w:themeColor="text1"/>
        </w:rPr>
        <w:t xml:space="preserve"> time. Blau and Kahn (1996), again in the context of the gender wage gap literature, propose </w:t>
      </w:r>
      <w:r w:rsidRPr="00976CA0">
        <w:rPr>
          <w:color w:val="000000" w:themeColor="text1"/>
        </w:rPr>
        <w:t xml:space="preserve">a </w:t>
      </w:r>
      <w:r w:rsidR="001308FF" w:rsidRPr="00976CA0">
        <w:rPr>
          <w:color w:val="000000" w:themeColor="text1"/>
        </w:rPr>
        <w:t xml:space="preserve">comparison across economies. As </w:t>
      </w:r>
      <w:r w:rsidR="001308FF" w:rsidRPr="00976CA0">
        <w:rPr>
          <w:color w:val="000000" w:themeColor="text1"/>
        </w:rPr>
        <w:lastRenderedPageBreak/>
        <w:t xml:space="preserve">in our case, they adopt the UK economy as the benchmark and </w:t>
      </w:r>
      <w:r w:rsidRPr="00976CA0">
        <w:rPr>
          <w:color w:val="000000" w:themeColor="text1"/>
        </w:rPr>
        <w:t xml:space="preserve">investigate </w:t>
      </w:r>
      <w:r w:rsidR="001308FF" w:rsidRPr="00976CA0">
        <w:rPr>
          <w:color w:val="000000" w:themeColor="text1"/>
        </w:rPr>
        <w:t xml:space="preserve">what would be the average wage premium for </w:t>
      </w:r>
      <w:r w:rsidRPr="00976CA0">
        <w:rPr>
          <w:color w:val="000000" w:themeColor="text1"/>
        </w:rPr>
        <w:t xml:space="preserve">a </w:t>
      </w:r>
      <w:r w:rsidR="001308FF" w:rsidRPr="00976CA0">
        <w:rPr>
          <w:color w:val="000000" w:themeColor="text1"/>
        </w:rPr>
        <w:t xml:space="preserve">German woman working </w:t>
      </w:r>
      <w:r w:rsidRPr="00976CA0">
        <w:rPr>
          <w:color w:val="000000" w:themeColor="text1"/>
        </w:rPr>
        <w:t xml:space="preserve">in </w:t>
      </w:r>
      <w:r w:rsidR="001308FF" w:rsidRPr="00976CA0">
        <w:rPr>
          <w:color w:val="000000" w:themeColor="text1"/>
        </w:rPr>
        <w:t>the British institutional context.</w:t>
      </w:r>
    </w:p>
    <w:p w14:paraId="260E6883" w14:textId="4498E7D3" w:rsidR="00AB1BCE" w:rsidRPr="00976CA0" w:rsidRDefault="00AB1BCE" w:rsidP="001308FF">
      <w:pPr>
        <w:spacing w:before="240" w:line="480" w:lineRule="auto"/>
        <w:jc w:val="both"/>
        <w:rPr>
          <w:color w:val="000000" w:themeColor="text1"/>
        </w:rPr>
      </w:pPr>
      <w:r w:rsidRPr="00976CA0">
        <w:rPr>
          <w:color w:val="000000" w:themeColor="text1"/>
        </w:rPr>
        <w:t xml:space="preserve">The second step consists </w:t>
      </w:r>
      <w:r w:rsidR="001830DD" w:rsidRPr="00976CA0">
        <w:rPr>
          <w:color w:val="000000" w:themeColor="text1"/>
        </w:rPr>
        <w:t>of</w:t>
      </w:r>
      <w:r w:rsidRPr="00976CA0">
        <w:rPr>
          <w:color w:val="000000" w:themeColor="text1"/>
        </w:rPr>
        <w:t xml:space="preserve"> estimating how much a German middle manager would earn in the UK, other things being constant. This vector of weights come</w:t>
      </w:r>
      <w:r w:rsidR="00FF2EDF">
        <w:rPr>
          <w:color w:val="000000" w:themeColor="text1"/>
        </w:rPr>
        <w:t>s</w:t>
      </w:r>
      <w:r w:rsidRPr="00976CA0">
        <w:rPr>
          <w:color w:val="000000" w:themeColor="text1"/>
        </w:rPr>
        <w:t xml:space="preserve"> from the interaction of the vector of weights in Eq. (12) and Eq. (7), </w:t>
      </w:r>
      <w:r w:rsidR="00645563" w:rsidRPr="00976CA0">
        <w:rPr>
          <w:color w:val="000000" w:themeColor="text1"/>
        </w:rPr>
        <w:t xml:space="preserve">from which </w:t>
      </w:r>
      <w:r w:rsidRPr="00976CA0">
        <w:rPr>
          <w:color w:val="000000" w:themeColor="text1"/>
        </w:rPr>
        <w:t xml:space="preserve">we deduce the reweighting function </w:t>
      </w:r>
      <w:r w:rsidR="00886168" w:rsidRPr="00976CA0">
        <w:rPr>
          <w:color w:val="000000" w:themeColor="text1"/>
        </w:rPr>
        <w:fldChar w:fldCharType="begin" w:fldLock="1"/>
      </w:r>
      <w:r w:rsidR="00287B2A">
        <w:rPr>
          <w:color w:val="000000" w:themeColor="text1"/>
        </w:rPr>
        <w:instrText>ADDIN CSL_CITATION { "citationItems" : [ { "id" : "ITEM-1", "itemData" : { "DOI" : "10.2307/2554808", "ISSN" : "00130427", "author" : [ { "dropping-particle" : "", "family" : "Blau", "given" : "Francine D.", "non-dropping-particle" : "", "parse-names" : false, "suffix" : "" }, { "dropping-particle" : "", "family" : "Kahn", "given" : "Lawrence M.", "non-dropping-particle" : "", "parse-names" : false, "suffix" : "" } ], "container-title" : "Economica, New Series", "id" : "ITEM-1", "issue" : "250", "issued" : { "date-parts" : [ [ "1996" ] ] }, "page" : "S29-S62", "title" : "Wage structure and gender earnings differentials(1996) - An international comparisson.pdf", "type" : "article-journal", "volume" : "63" }, "uris" : [ "http://www.mendeley.com/documents/?uuid=82c0e7a7-17cb-3cc3-a114-bdb3ae648453" ] }, { "id" : "ITEM-2", "itemData" : { "DOI" : "10.1016/S1573-4463(99)03007-2", "ISBN" : "1573-4463", "ISSN" : "15734463", "abstract" : "This chapter presents a framework for understanding changes in the wage structure and overall earnings inequality. The framework emphasizes the role of supply and demand factors and the interaction of market forces and labor market institutions. Recent changes in the US wage structure are analyzed in detail to highlight crucial measurement issues that arise in studying wage structure changes and to illustrate the operation of the supply-demand-institution framework. The roles of skill-biased technological change, globalization forces, changes in demographics and relative skill supplies, industry labor rents, unions, and the minimum wage in the evolution of the US wage structure are examined. Recent wage structure changes are placed in a longer-term historical perspective, and differences and similarities in wage structure changes among OECD nations are assessed. ?? 1999 Elsevier Science B.V. All rights reserved.", "author" : [ { "dropping-particle" : "", "family" : "Katz", "given" : "Lawrence F.", "non-dropping-particle" : "", "parse-names" : false, "suffix" : "" }, { "dropping-particle" : "", "family" : "Autor", "given" : "David H.", "non-dropping-particle" : "", "parse-names" : false, "suffix" : "" } ], "container-title" : "Handbook of Labor Economics", "id" : "ITEM-2", "issued" : { "date-parts" : [ [ "1999" ] ] }, "page" : "1463-1555", "title" : "Changes in the wage structure and earnings inequality", "type" : "article-journal", "volume" : "3" }, "uris" : [ "http://www.mendeley.com/documents/?uuid=a1eff256-2164-48f8-99b7-07276f9e9393", "http://www.mendeley.com/documents/?uuid=a252c5df-6564-44cc-bb4d-3ef9f04a561e" ] }, { "id" : "ITEM-3", "itemData" : { "author" : [ { "dropping-particle" : "", "family" : "Gottschalk", "given" : "Peter", "non-dropping-particle" : "", "parse-names" : false, "suffix" : "" }, { "dropping-particle" : "", "family" : "Joyce", "given" : "Mary", "non-dropping-particle" : "", "parse-names" : false, "suffix" : "" } ], "container-title" : "Review of Economics and Statistics", "id" : "ITEM-3", "issue" : "March", "issued" : { "date-parts" : [ [ "1998" ] ] }, "page" : "489-502", "title" : "Cross-national differences in the rise in earnings inequality: Market and institutional factors", "type" : "article-journal", "volume" : "80" }, "uris" : [ "http://www.mendeley.com/documents/?uuid=0ea96a08-1104-432c-96fe-89c3b4c6746f", "http://www.mendeley.com/documents/?uuid=af181892-c3ce-4c40-bdc9-04325ebe0610" ] } ], "mendeley" : { "formattedCitation" : "(Blau and Kahn, 1996; Gottschalk and Joyce, 1998; Katz and Autor, 1999)", "plainTextFormattedCitation" : "(Blau and Kahn, 1996; Gottschalk and Joyce, 1998; Katz and Autor, 1999)", "previouslyFormattedCitation" : "(Blau and Kahn, 1996; Gottschalk and Joyce, 1998; Katz and Autor, 1999)" }, "properties" : { "noteIndex" : 0 }, "schema" : "https://github.com/citation-style-language/schema/raw/master/csl-citation.json" }</w:instrText>
      </w:r>
      <w:r w:rsidR="00886168" w:rsidRPr="00976CA0">
        <w:rPr>
          <w:color w:val="000000" w:themeColor="text1"/>
        </w:rPr>
        <w:fldChar w:fldCharType="separate"/>
      </w:r>
      <w:r w:rsidR="00704ECC" w:rsidRPr="00704ECC">
        <w:rPr>
          <w:noProof/>
          <w:color w:val="000000" w:themeColor="text1"/>
        </w:rPr>
        <w:t>(Blau and Kahn, 1996; Gottschalk and Joyce, 1998; Katz and Autor, 1999)</w:t>
      </w:r>
      <w:r w:rsidR="00886168" w:rsidRPr="00976CA0">
        <w:rPr>
          <w:color w:val="000000" w:themeColor="text1"/>
        </w:rPr>
        <w:fldChar w:fldCharType="end"/>
      </w:r>
      <w:r w:rsidRPr="00976CA0">
        <w:rPr>
          <w:color w:val="000000" w:themeColor="text1"/>
        </w:rPr>
        <w:t>:</w:t>
      </w:r>
    </w:p>
    <w:p w14:paraId="11CC386B" w14:textId="77777777" w:rsidR="00AB1BCE" w:rsidRPr="00976CA0" w:rsidRDefault="00AB1BCE" w:rsidP="00AB1BCE">
      <w:pPr>
        <w:numPr>
          <w:ilvl w:val="0"/>
          <w:numId w:val="13"/>
        </w:numPr>
        <w:spacing w:line="480" w:lineRule="auto"/>
        <w:ind w:hanging="720"/>
        <w:jc w:val="both"/>
        <w:rPr>
          <w:color w:val="000000" w:themeColor="text1"/>
        </w:rPr>
      </w:pPr>
      <w:r w:rsidRPr="00976CA0">
        <w:rPr>
          <w:color w:val="000000" w:themeColor="text1"/>
          <w:position w:val="-32"/>
        </w:rPr>
        <w:object w:dxaOrig="6640" w:dyaOrig="740" w14:anchorId="5BCD597D">
          <v:shape id="_x0000_i1054" type="#_x0000_t75" style="width:332.5pt;height:36.4pt" o:ole="">
            <v:imagedata r:id="rId68" o:title=""/>
          </v:shape>
          <o:OLEObject Type="Embed" ProgID="Equation.3" ShapeID="_x0000_i1054" DrawAspect="Content" ObjectID="_1546090436" r:id="rId69"/>
        </w:object>
      </w:r>
      <w:r w:rsidRPr="00976CA0">
        <w:rPr>
          <w:color w:val="000000" w:themeColor="text1"/>
        </w:rPr>
        <w:t>.</w:t>
      </w:r>
    </w:p>
    <w:p w14:paraId="629D17A4" w14:textId="77777777" w:rsidR="00AB1BCE" w:rsidRPr="00976CA0" w:rsidRDefault="00645563" w:rsidP="00AB1BCE">
      <w:pPr>
        <w:spacing w:line="480" w:lineRule="auto"/>
        <w:jc w:val="both"/>
        <w:rPr>
          <w:color w:val="000000" w:themeColor="text1"/>
        </w:rPr>
      </w:pPr>
      <w:r w:rsidRPr="00976CA0">
        <w:rPr>
          <w:color w:val="000000" w:themeColor="text1"/>
        </w:rPr>
        <w:t>which</w:t>
      </w:r>
      <w:r w:rsidR="00AB1BCE" w:rsidRPr="00976CA0">
        <w:rPr>
          <w:color w:val="000000" w:themeColor="text1"/>
        </w:rPr>
        <w:t xml:space="preserve">, </w:t>
      </w:r>
      <w:r w:rsidRPr="00976CA0">
        <w:rPr>
          <w:color w:val="000000" w:themeColor="text1"/>
        </w:rPr>
        <w:t>when</w:t>
      </w:r>
      <w:r w:rsidR="00AB1BCE" w:rsidRPr="00976CA0">
        <w:rPr>
          <w:color w:val="000000" w:themeColor="text1"/>
        </w:rPr>
        <w:t xml:space="preserve"> applied to the sample of German employees, gives:</w:t>
      </w:r>
    </w:p>
    <w:p w14:paraId="3FA0E650" w14:textId="77777777" w:rsidR="00AB1BCE" w:rsidRPr="00976CA0" w:rsidRDefault="00AB1BCE" w:rsidP="00AB1BCE">
      <w:pPr>
        <w:pStyle w:val="ListParagraph"/>
        <w:numPr>
          <w:ilvl w:val="0"/>
          <w:numId w:val="13"/>
        </w:numPr>
        <w:spacing w:line="480" w:lineRule="auto"/>
        <w:ind w:hanging="720"/>
        <w:jc w:val="both"/>
        <w:rPr>
          <w:color w:val="000000" w:themeColor="text1"/>
        </w:rPr>
      </w:pPr>
      <w:r w:rsidRPr="00976CA0">
        <w:rPr>
          <w:color w:val="000000" w:themeColor="text1"/>
          <w:position w:val="-16"/>
        </w:rPr>
        <w:object w:dxaOrig="6300" w:dyaOrig="440" w14:anchorId="6FEEE899">
          <v:shape id="_x0000_i1055" type="#_x0000_t75" style="width:313.9pt;height:21.05pt" o:ole="">
            <v:imagedata r:id="rId70" o:title=""/>
          </v:shape>
          <o:OLEObject Type="Embed" ProgID="Equation.3" ShapeID="_x0000_i1055" DrawAspect="Content" ObjectID="_1546090437" r:id="rId71"/>
        </w:object>
      </w:r>
      <w:r w:rsidRPr="00976CA0">
        <w:rPr>
          <w:color w:val="000000" w:themeColor="text1"/>
        </w:rPr>
        <w:t>,</w:t>
      </w:r>
    </w:p>
    <w:p w14:paraId="1AB06EF2" w14:textId="77777777" w:rsidR="00AB1BCE" w:rsidRPr="00976CA0" w:rsidRDefault="00AB1BCE" w:rsidP="001308FF">
      <w:pPr>
        <w:spacing w:before="240" w:line="480" w:lineRule="auto"/>
        <w:jc w:val="both"/>
        <w:rPr>
          <w:color w:val="000000" w:themeColor="text1"/>
        </w:rPr>
      </w:pPr>
      <w:r w:rsidRPr="00976CA0">
        <w:rPr>
          <w:color w:val="000000" w:themeColor="text1"/>
        </w:rPr>
        <w:t xml:space="preserve">This provides the premium that would be paid to German middle managers working in the UK. </w:t>
      </w:r>
      <w:r w:rsidRPr="00976CA0">
        <w:rPr>
          <w:rFonts w:ascii="Times" w:hAnsi="Times"/>
          <w:color w:val="000000" w:themeColor="text1"/>
        </w:rPr>
        <w:t>The counterfactual wage premium to management is taken as the horizontal difference between the distributions in Eq. (1), the actual distribution of wages in Germany, and Eq. (15).</w:t>
      </w:r>
      <w:r w:rsidRPr="00976CA0">
        <w:rPr>
          <w:color w:val="000000" w:themeColor="text1"/>
        </w:rPr>
        <w:t xml:space="preserve"> In turn, the difference between the wage premium Germ</w:t>
      </w:r>
      <w:r w:rsidR="0034201D" w:rsidRPr="00976CA0">
        <w:rPr>
          <w:color w:val="000000" w:themeColor="text1"/>
        </w:rPr>
        <w:t xml:space="preserve">an middle managers are </w:t>
      </w:r>
      <w:r w:rsidRPr="00976CA0">
        <w:rPr>
          <w:color w:val="000000" w:themeColor="text1"/>
        </w:rPr>
        <w:t xml:space="preserve">paid and the counterfactual wage premium they would </w:t>
      </w:r>
      <w:r w:rsidR="00FF2EDF">
        <w:rPr>
          <w:color w:val="000000" w:themeColor="text1"/>
        </w:rPr>
        <w:t xml:space="preserve">receive </w:t>
      </w:r>
      <w:r w:rsidRPr="00976CA0">
        <w:rPr>
          <w:color w:val="000000" w:themeColor="text1"/>
        </w:rPr>
        <w:t>if UK institutions prevail</w:t>
      </w:r>
      <w:r w:rsidR="00645563" w:rsidRPr="00976CA0">
        <w:rPr>
          <w:color w:val="000000" w:themeColor="text1"/>
        </w:rPr>
        <w:t>ed</w:t>
      </w:r>
      <w:r w:rsidRPr="00976CA0">
        <w:rPr>
          <w:color w:val="000000" w:themeColor="text1"/>
        </w:rPr>
        <w:t>, provides a measure of the role of the institutional context in the German economy.</w:t>
      </w:r>
    </w:p>
    <w:p w14:paraId="7D9CF242" w14:textId="77777777" w:rsidR="006D6E22" w:rsidRPr="00976CA0" w:rsidRDefault="006D6E22" w:rsidP="001308FF">
      <w:pPr>
        <w:spacing w:before="240" w:line="480" w:lineRule="auto"/>
        <w:jc w:val="both"/>
        <w:rPr>
          <w:b/>
          <w:color w:val="000000" w:themeColor="text1"/>
        </w:rPr>
      </w:pPr>
      <w:r w:rsidRPr="00976CA0">
        <w:rPr>
          <w:b/>
          <w:color w:val="000000" w:themeColor="text1"/>
        </w:rPr>
        <w:t>References</w:t>
      </w:r>
    </w:p>
    <w:p w14:paraId="0FD755DC" w14:textId="1298E345" w:rsidR="00287B2A" w:rsidRPr="00287B2A" w:rsidRDefault="00886168" w:rsidP="00287B2A">
      <w:pPr>
        <w:widowControl w:val="0"/>
        <w:autoSpaceDE w:val="0"/>
        <w:autoSpaceDN w:val="0"/>
        <w:adjustRightInd w:val="0"/>
        <w:spacing w:before="240" w:line="480" w:lineRule="auto"/>
        <w:ind w:left="480" w:hanging="480"/>
        <w:rPr>
          <w:rFonts w:eastAsia="Times New Roman"/>
          <w:noProof/>
        </w:rPr>
      </w:pPr>
      <w:r w:rsidRPr="00976CA0">
        <w:rPr>
          <w:color w:val="000000" w:themeColor="text1"/>
        </w:rPr>
        <w:fldChar w:fldCharType="begin" w:fldLock="1"/>
      </w:r>
      <w:r w:rsidR="006D6E22" w:rsidRPr="00976CA0">
        <w:rPr>
          <w:color w:val="000000" w:themeColor="text1"/>
        </w:rPr>
        <w:instrText xml:space="preserve">ADDIN Mendeley Bibliography CSL_BIBLIOGRAPHY </w:instrText>
      </w:r>
      <w:r w:rsidRPr="00976CA0">
        <w:rPr>
          <w:color w:val="000000" w:themeColor="text1"/>
        </w:rPr>
        <w:fldChar w:fldCharType="separate"/>
      </w:r>
      <w:r w:rsidR="00287B2A" w:rsidRPr="00287B2A">
        <w:rPr>
          <w:rFonts w:eastAsia="Times New Roman"/>
          <w:noProof/>
        </w:rPr>
        <w:t xml:space="preserve">Blau FD, Kahn LM. 1996. Wage structure and gender earnings differentials(1996) - An international comparisson.pdf. </w:t>
      </w:r>
      <w:r w:rsidR="00287B2A" w:rsidRPr="00287B2A">
        <w:rPr>
          <w:rFonts w:eastAsia="Times New Roman"/>
          <w:i/>
          <w:iCs/>
          <w:noProof/>
        </w:rPr>
        <w:t>Economica, New Series</w:t>
      </w:r>
      <w:r w:rsidR="00287B2A" w:rsidRPr="00287B2A">
        <w:rPr>
          <w:rFonts w:eastAsia="Times New Roman"/>
          <w:noProof/>
        </w:rPr>
        <w:t xml:space="preserve"> </w:t>
      </w:r>
      <w:r w:rsidR="00287B2A" w:rsidRPr="00287B2A">
        <w:rPr>
          <w:rFonts w:eastAsia="Times New Roman"/>
          <w:b/>
          <w:bCs/>
          <w:noProof/>
        </w:rPr>
        <w:t>63</w:t>
      </w:r>
      <w:r w:rsidR="00287B2A" w:rsidRPr="00287B2A">
        <w:rPr>
          <w:rFonts w:eastAsia="Times New Roman"/>
          <w:noProof/>
        </w:rPr>
        <w:t>(250): S29–S62.</w:t>
      </w:r>
    </w:p>
    <w:p w14:paraId="53058A00"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Blinder AS. 1973. Wage Discrimination: Reduced Form and Structural Estimates. </w:t>
      </w:r>
      <w:r w:rsidRPr="00287B2A">
        <w:rPr>
          <w:rFonts w:eastAsia="Times New Roman"/>
          <w:i/>
          <w:iCs/>
          <w:noProof/>
        </w:rPr>
        <w:t>The Journal of Human Resources</w:t>
      </w:r>
      <w:r w:rsidRPr="00287B2A">
        <w:rPr>
          <w:rFonts w:eastAsia="Times New Roman"/>
          <w:noProof/>
        </w:rPr>
        <w:t xml:space="preserve"> </w:t>
      </w:r>
      <w:r w:rsidRPr="00287B2A">
        <w:rPr>
          <w:rFonts w:eastAsia="Times New Roman"/>
          <w:b/>
          <w:bCs/>
          <w:noProof/>
        </w:rPr>
        <w:t>8</w:t>
      </w:r>
      <w:r w:rsidRPr="00287B2A">
        <w:rPr>
          <w:rFonts w:eastAsia="Times New Roman"/>
          <w:noProof/>
        </w:rPr>
        <w:t>(4): 436–455.</w:t>
      </w:r>
    </w:p>
    <w:p w14:paraId="168BFADE"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Cameron V, Heckman JJ. 1998. Life cycle schooling and dynamics selection bias: Models and evidence for five cohorts of American males. </w:t>
      </w:r>
      <w:r w:rsidRPr="00287B2A">
        <w:rPr>
          <w:rFonts w:eastAsia="Times New Roman"/>
          <w:i/>
          <w:iCs/>
          <w:noProof/>
        </w:rPr>
        <w:t>The Journal of Political Economy</w:t>
      </w:r>
      <w:r w:rsidRPr="00287B2A">
        <w:rPr>
          <w:rFonts w:eastAsia="Times New Roman"/>
          <w:noProof/>
        </w:rPr>
        <w:t xml:space="preserve"> </w:t>
      </w:r>
      <w:r w:rsidRPr="00287B2A">
        <w:rPr>
          <w:rFonts w:eastAsia="Times New Roman"/>
          <w:b/>
          <w:bCs/>
          <w:noProof/>
        </w:rPr>
        <w:t>106</w:t>
      </w:r>
      <w:r w:rsidRPr="00287B2A">
        <w:rPr>
          <w:rFonts w:eastAsia="Times New Roman"/>
          <w:noProof/>
        </w:rPr>
        <w:t>(2): 262–</w:t>
      </w:r>
      <w:r w:rsidRPr="00287B2A">
        <w:rPr>
          <w:rFonts w:eastAsia="Times New Roman"/>
          <w:noProof/>
        </w:rPr>
        <w:lastRenderedPageBreak/>
        <w:t>333.</w:t>
      </w:r>
    </w:p>
    <w:p w14:paraId="1323DA76"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Card D. 1999. The causal effect of education on earnings. In </w:t>
      </w:r>
      <w:r w:rsidRPr="00287B2A">
        <w:rPr>
          <w:rFonts w:eastAsia="Times New Roman"/>
          <w:i/>
          <w:iCs/>
          <w:noProof/>
        </w:rPr>
        <w:t>Handbook of Labor Economics</w:t>
      </w:r>
      <w:r w:rsidRPr="00287B2A">
        <w:rPr>
          <w:rFonts w:eastAsia="Times New Roman"/>
          <w:noProof/>
        </w:rPr>
        <w:t>, 3: 1801–1863.</w:t>
      </w:r>
    </w:p>
    <w:p w14:paraId="6180A31A"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Fortin N, Lemieux T, Firpo S. 2010. Decomposition methods in ecnomics. </w:t>
      </w:r>
      <w:r w:rsidRPr="00287B2A">
        <w:rPr>
          <w:rFonts w:eastAsia="Times New Roman"/>
          <w:i/>
          <w:iCs/>
          <w:noProof/>
        </w:rPr>
        <w:t>NBER Working Paper No. 16045</w:t>
      </w:r>
      <w:r w:rsidRPr="00287B2A">
        <w:rPr>
          <w:rFonts w:eastAsia="Times New Roman"/>
          <w:noProof/>
        </w:rPr>
        <w:t xml:space="preserve"> : 1–118. Available at: http://www.nber.org/papers/w16045.</w:t>
      </w:r>
    </w:p>
    <w:p w14:paraId="1EFE0C2A"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Gottschalk P, Joyce M. 1998. Cross-national differences in the rise in earnings inequality: Market and institutional factors. </w:t>
      </w:r>
      <w:r w:rsidRPr="00287B2A">
        <w:rPr>
          <w:rFonts w:eastAsia="Times New Roman"/>
          <w:i/>
          <w:iCs/>
          <w:noProof/>
        </w:rPr>
        <w:t>Review of Economics and Statistics</w:t>
      </w:r>
      <w:r w:rsidRPr="00287B2A">
        <w:rPr>
          <w:rFonts w:eastAsia="Times New Roman"/>
          <w:noProof/>
        </w:rPr>
        <w:t xml:space="preserve"> </w:t>
      </w:r>
      <w:r w:rsidRPr="00287B2A">
        <w:rPr>
          <w:rFonts w:eastAsia="Times New Roman"/>
          <w:b/>
          <w:bCs/>
          <w:noProof/>
        </w:rPr>
        <w:t>80</w:t>
      </w:r>
      <w:r w:rsidRPr="00287B2A">
        <w:rPr>
          <w:rFonts w:eastAsia="Times New Roman"/>
          <w:noProof/>
        </w:rPr>
        <w:t>(March): 489–502.</w:t>
      </w:r>
    </w:p>
    <w:p w14:paraId="13257A6E"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Katz LF, Autor DH. 1999. Changes in the wage structure and earnings inequality. </w:t>
      </w:r>
      <w:r w:rsidRPr="00287B2A">
        <w:rPr>
          <w:rFonts w:eastAsia="Times New Roman"/>
          <w:i/>
          <w:iCs/>
          <w:noProof/>
        </w:rPr>
        <w:t>Handbook of Labor Economics</w:t>
      </w:r>
      <w:r w:rsidRPr="00287B2A">
        <w:rPr>
          <w:rFonts w:eastAsia="Times New Roman"/>
          <w:noProof/>
        </w:rPr>
        <w:t xml:space="preserve"> </w:t>
      </w:r>
      <w:r w:rsidRPr="00287B2A">
        <w:rPr>
          <w:rFonts w:eastAsia="Times New Roman"/>
          <w:b/>
          <w:bCs/>
          <w:noProof/>
        </w:rPr>
        <w:t>3</w:t>
      </w:r>
      <w:r w:rsidRPr="00287B2A">
        <w:rPr>
          <w:rFonts w:eastAsia="Times New Roman"/>
          <w:noProof/>
        </w:rPr>
        <w:t>: 1463–1555.</w:t>
      </w:r>
    </w:p>
    <w:p w14:paraId="1FD69944"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Marron JS, Schmitz H-P. 1992. Simultaneous Density Estimation of Several Income Distributions. </w:t>
      </w:r>
      <w:r w:rsidRPr="00287B2A">
        <w:rPr>
          <w:rFonts w:eastAsia="Times New Roman"/>
          <w:i/>
          <w:iCs/>
          <w:noProof/>
        </w:rPr>
        <w:t>Econometric Theory</w:t>
      </w:r>
      <w:r w:rsidRPr="00287B2A">
        <w:rPr>
          <w:rFonts w:eastAsia="Times New Roman"/>
          <w:noProof/>
        </w:rPr>
        <w:t xml:space="preserve">. Cambridge University Press </w:t>
      </w:r>
      <w:r w:rsidRPr="00287B2A">
        <w:rPr>
          <w:rFonts w:eastAsia="Times New Roman"/>
          <w:b/>
          <w:bCs/>
          <w:noProof/>
        </w:rPr>
        <w:t>8</w:t>
      </w:r>
      <w:r w:rsidRPr="00287B2A">
        <w:rPr>
          <w:rFonts w:eastAsia="Times New Roman"/>
          <w:noProof/>
        </w:rPr>
        <w:t>(4): 476–488. Available at: http://www.journals.cambridge.org/abstract_S0266466600013177.</w:t>
      </w:r>
    </w:p>
    <w:p w14:paraId="06C28E3D" w14:textId="77777777" w:rsidR="00287B2A" w:rsidRPr="00287B2A" w:rsidRDefault="00287B2A" w:rsidP="00287B2A">
      <w:pPr>
        <w:widowControl w:val="0"/>
        <w:autoSpaceDE w:val="0"/>
        <w:autoSpaceDN w:val="0"/>
        <w:adjustRightInd w:val="0"/>
        <w:spacing w:before="240" w:line="480" w:lineRule="auto"/>
        <w:ind w:left="480" w:hanging="480"/>
        <w:rPr>
          <w:rFonts w:eastAsia="Times New Roman"/>
          <w:noProof/>
        </w:rPr>
      </w:pPr>
      <w:r w:rsidRPr="00287B2A">
        <w:rPr>
          <w:rFonts w:eastAsia="Times New Roman"/>
          <w:noProof/>
        </w:rPr>
        <w:t xml:space="preserve">Oaxaca Ronald. 1973. Male-Female Wage Differentials in Urban Labor Markets. </w:t>
      </w:r>
      <w:r w:rsidRPr="00287B2A">
        <w:rPr>
          <w:rFonts w:eastAsia="Times New Roman"/>
          <w:i/>
          <w:iCs/>
          <w:noProof/>
        </w:rPr>
        <w:t>International Economic Review</w:t>
      </w:r>
      <w:r w:rsidRPr="00287B2A">
        <w:rPr>
          <w:rFonts w:eastAsia="Times New Roman"/>
          <w:noProof/>
        </w:rPr>
        <w:t>.</w:t>
      </w:r>
    </w:p>
    <w:p w14:paraId="70D7670A" w14:textId="77777777" w:rsidR="00287B2A" w:rsidRPr="00287B2A" w:rsidRDefault="00287B2A" w:rsidP="00287B2A">
      <w:pPr>
        <w:widowControl w:val="0"/>
        <w:autoSpaceDE w:val="0"/>
        <w:autoSpaceDN w:val="0"/>
        <w:adjustRightInd w:val="0"/>
        <w:spacing w:before="240" w:line="480" w:lineRule="auto"/>
        <w:ind w:left="480" w:hanging="480"/>
        <w:rPr>
          <w:noProof/>
        </w:rPr>
      </w:pPr>
      <w:r w:rsidRPr="00287B2A">
        <w:rPr>
          <w:rFonts w:eastAsia="Times New Roman"/>
          <w:noProof/>
        </w:rPr>
        <w:t xml:space="preserve">Picchio M, Mussida C. 2011. Gender wage gap: A semi-parametric approach with sample selection correction. </w:t>
      </w:r>
      <w:r w:rsidRPr="00287B2A">
        <w:rPr>
          <w:rFonts w:eastAsia="Times New Roman"/>
          <w:i/>
          <w:iCs/>
          <w:noProof/>
        </w:rPr>
        <w:t>Labour Economics</w:t>
      </w:r>
      <w:r w:rsidRPr="00287B2A">
        <w:rPr>
          <w:rFonts w:eastAsia="Times New Roman"/>
          <w:noProof/>
        </w:rPr>
        <w:t xml:space="preserve"> </w:t>
      </w:r>
      <w:r w:rsidRPr="00287B2A">
        <w:rPr>
          <w:rFonts w:eastAsia="Times New Roman"/>
          <w:b/>
          <w:bCs/>
          <w:noProof/>
        </w:rPr>
        <w:t>18</w:t>
      </w:r>
      <w:r w:rsidRPr="00287B2A">
        <w:rPr>
          <w:rFonts w:eastAsia="Times New Roman"/>
          <w:noProof/>
        </w:rPr>
        <w:t>(5): 564–578.</w:t>
      </w:r>
    </w:p>
    <w:p w14:paraId="1D9700E7" w14:textId="7A18A715" w:rsidR="006D6E22" w:rsidRPr="00976CA0" w:rsidRDefault="00886168" w:rsidP="00287B2A">
      <w:pPr>
        <w:widowControl w:val="0"/>
        <w:autoSpaceDE w:val="0"/>
        <w:autoSpaceDN w:val="0"/>
        <w:adjustRightInd w:val="0"/>
        <w:spacing w:before="240" w:line="480" w:lineRule="auto"/>
        <w:ind w:left="480" w:hanging="480"/>
        <w:rPr>
          <w:color w:val="000000" w:themeColor="text1"/>
        </w:rPr>
      </w:pPr>
      <w:r w:rsidRPr="00976CA0">
        <w:rPr>
          <w:color w:val="000000" w:themeColor="text1"/>
        </w:rPr>
        <w:fldChar w:fldCharType="end"/>
      </w:r>
    </w:p>
    <w:sectPr w:rsidR="006D6E22" w:rsidRPr="00976CA0" w:rsidSect="003A026D">
      <w:footerReference w:type="even" r:id="rId72"/>
      <w:footerReference w:type="default" r:id="rId7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10484" w14:textId="77777777" w:rsidR="00B23D95" w:rsidRDefault="00B23D95" w:rsidP="00175D34">
      <w:r>
        <w:separator/>
      </w:r>
    </w:p>
  </w:endnote>
  <w:endnote w:type="continuationSeparator" w:id="0">
    <w:p w14:paraId="58728C83" w14:textId="77777777" w:rsidR="00B23D95" w:rsidRDefault="00B23D95" w:rsidP="0017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8173" w14:textId="77777777" w:rsidR="00D210F0" w:rsidRDefault="00886168" w:rsidP="008E7EBC">
    <w:pPr>
      <w:pStyle w:val="Footer"/>
      <w:framePr w:wrap="none" w:vAnchor="text" w:hAnchor="margin" w:xAlign="right" w:y="1"/>
      <w:rPr>
        <w:rStyle w:val="PageNumber"/>
      </w:rPr>
    </w:pPr>
    <w:r>
      <w:rPr>
        <w:rStyle w:val="PageNumber"/>
      </w:rPr>
      <w:fldChar w:fldCharType="begin"/>
    </w:r>
    <w:r w:rsidR="00D210F0">
      <w:rPr>
        <w:rStyle w:val="PageNumber"/>
      </w:rPr>
      <w:instrText xml:space="preserve">PAGE  </w:instrText>
    </w:r>
    <w:r>
      <w:rPr>
        <w:rStyle w:val="PageNumber"/>
      </w:rPr>
      <w:fldChar w:fldCharType="end"/>
    </w:r>
  </w:p>
  <w:p w14:paraId="6EFA0678" w14:textId="77777777" w:rsidR="00D210F0" w:rsidRDefault="00D210F0" w:rsidP="00175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4E08" w14:textId="77777777" w:rsidR="00D210F0" w:rsidRDefault="00886168" w:rsidP="00A77EFD">
    <w:pPr>
      <w:pStyle w:val="Footer"/>
      <w:framePr w:wrap="none" w:vAnchor="text" w:hAnchor="margin" w:xAlign="right" w:y="1"/>
      <w:rPr>
        <w:rStyle w:val="PageNumber"/>
      </w:rPr>
    </w:pPr>
    <w:r>
      <w:rPr>
        <w:rStyle w:val="PageNumber"/>
      </w:rPr>
      <w:fldChar w:fldCharType="begin"/>
    </w:r>
    <w:r w:rsidR="00D210F0">
      <w:rPr>
        <w:rStyle w:val="PageNumber"/>
      </w:rPr>
      <w:instrText xml:space="preserve">PAGE  </w:instrText>
    </w:r>
    <w:r>
      <w:rPr>
        <w:rStyle w:val="PageNumber"/>
      </w:rPr>
      <w:fldChar w:fldCharType="separate"/>
    </w:r>
    <w:r w:rsidR="009A0EC7">
      <w:rPr>
        <w:rStyle w:val="PageNumber"/>
        <w:noProof/>
      </w:rPr>
      <w:t>5</w:t>
    </w:r>
    <w:r>
      <w:rPr>
        <w:rStyle w:val="PageNumber"/>
      </w:rPr>
      <w:fldChar w:fldCharType="end"/>
    </w:r>
  </w:p>
  <w:p w14:paraId="10D64E4B" w14:textId="77777777" w:rsidR="00D210F0" w:rsidRDefault="00D210F0" w:rsidP="00175D34">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6C0E" w14:textId="77777777" w:rsidR="00B23D95" w:rsidRDefault="00B23D95" w:rsidP="00175D34">
      <w:r>
        <w:separator/>
      </w:r>
    </w:p>
  </w:footnote>
  <w:footnote w:type="continuationSeparator" w:id="0">
    <w:p w14:paraId="10DB27C3" w14:textId="77777777" w:rsidR="00B23D95" w:rsidRDefault="00B23D95" w:rsidP="00175D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ECD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D0AF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8736A"/>
    <w:multiLevelType w:val="hybridMultilevel"/>
    <w:tmpl w:val="10FE5E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2292608"/>
    <w:multiLevelType w:val="hybridMultilevel"/>
    <w:tmpl w:val="64C2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C97"/>
    <w:multiLevelType w:val="hybridMultilevel"/>
    <w:tmpl w:val="E75C5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D355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FB4AE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110A0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8900D5"/>
    <w:multiLevelType w:val="hybridMultilevel"/>
    <w:tmpl w:val="230859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3A154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3F1128"/>
    <w:multiLevelType w:val="hybridMultilevel"/>
    <w:tmpl w:val="18C478D6"/>
    <w:lvl w:ilvl="0" w:tplc="72D2445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3F3FC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0A040F"/>
    <w:multiLevelType w:val="hybridMultilevel"/>
    <w:tmpl w:val="207CBA46"/>
    <w:lvl w:ilvl="0" w:tplc="BFD84AD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4FDA2F37"/>
    <w:multiLevelType w:val="hybridMultilevel"/>
    <w:tmpl w:val="A1FCD40E"/>
    <w:lvl w:ilvl="0" w:tplc="6BDC4A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336A74"/>
    <w:multiLevelType w:val="hybridMultilevel"/>
    <w:tmpl w:val="6DD0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6413D8"/>
    <w:multiLevelType w:val="hybridMultilevel"/>
    <w:tmpl w:val="F90E21B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2696E6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805952"/>
    <w:multiLevelType w:val="hybridMultilevel"/>
    <w:tmpl w:val="B11028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71000A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6F25C4"/>
    <w:multiLevelType w:val="hybridMultilevel"/>
    <w:tmpl w:val="B38E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17EDE"/>
    <w:multiLevelType w:val="hybridMultilevel"/>
    <w:tmpl w:val="6C4C2520"/>
    <w:lvl w:ilvl="0" w:tplc="93BE8D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4"/>
    <w:lvlOverride w:ilvl="0">
      <w:lvl w:ilvl="0" w:tplc="0410000F">
        <w:start w:val="1"/>
        <w:numFmt w:val="decimal"/>
        <w:lvlText w:val="%1."/>
        <w:lvlJc w:val="left"/>
        <w:pPr>
          <w:ind w:left="720" w:hanging="360"/>
        </w:pPr>
        <w:rPr>
          <w:rFonts w:hint="default"/>
        </w:rPr>
      </w:lvl>
    </w:lvlOverride>
    <w:lvlOverride w:ilvl="1">
      <w:lvl w:ilvl="1" w:tplc="04100019">
        <w:start w:val="1"/>
        <w:numFmt w:val="lowerLetter"/>
        <w:lvlText w:val="%2."/>
        <w:lvlJc w:val="left"/>
        <w:pPr>
          <w:ind w:left="1440" w:hanging="360"/>
        </w:pPr>
        <w:rPr>
          <w:rFonts w:hint="default"/>
        </w:rPr>
      </w:lvl>
    </w:lvlOverride>
    <w:lvlOverride w:ilvl="2">
      <w:lvl w:ilvl="2" w:tplc="0410001B">
        <w:start w:val="1"/>
        <w:numFmt w:val="lowerRoman"/>
        <w:lvlText w:val="%3."/>
        <w:lvlJc w:val="right"/>
        <w:pPr>
          <w:ind w:left="2160" w:hanging="180"/>
        </w:pPr>
        <w:rPr>
          <w:rFonts w:hint="default"/>
        </w:rPr>
      </w:lvl>
    </w:lvlOverride>
    <w:lvlOverride w:ilvl="3">
      <w:lvl w:ilvl="3" w:tplc="0410000F">
        <w:start w:val="1"/>
        <w:numFmt w:val="decimal"/>
        <w:lvlText w:val="%4."/>
        <w:lvlJc w:val="left"/>
        <w:pPr>
          <w:ind w:left="2880" w:hanging="360"/>
        </w:pPr>
        <w:rPr>
          <w:rFonts w:hint="default"/>
        </w:rPr>
      </w:lvl>
    </w:lvlOverride>
    <w:lvlOverride w:ilvl="4">
      <w:lvl w:ilvl="4" w:tplc="04100019">
        <w:start w:val="1"/>
        <w:numFmt w:val="lowerLetter"/>
        <w:lvlText w:val="%5."/>
        <w:lvlJc w:val="left"/>
        <w:pPr>
          <w:ind w:left="3600" w:hanging="360"/>
        </w:pPr>
        <w:rPr>
          <w:rFonts w:hint="default"/>
        </w:rPr>
      </w:lvl>
    </w:lvlOverride>
    <w:lvlOverride w:ilvl="5">
      <w:lvl w:ilvl="5" w:tplc="0410001B">
        <w:start w:val="1"/>
        <w:numFmt w:val="lowerRoman"/>
        <w:lvlText w:val="%6."/>
        <w:lvlJc w:val="right"/>
        <w:pPr>
          <w:ind w:left="4320" w:hanging="180"/>
        </w:pPr>
        <w:rPr>
          <w:rFonts w:hint="default"/>
        </w:rPr>
      </w:lvl>
    </w:lvlOverride>
    <w:lvlOverride w:ilvl="6">
      <w:lvl w:ilvl="6" w:tplc="0410000F">
        <w:start w:val="1"/>
        <w:numFmt w:val="decimal"/>
        <w:lvlText w:val="%7."/>
        <w:lvlJc w:val="left"/>
        <w:pPr>
          <w:ind w:left="5040" w:hanging="360"/>
        </w:pPr>
        <w:rPr>
          <w:rFonts w:hint="default"/>
        </w:rPr>
      </w:lvl>
    </w:lvlOverride>
    <w:lvlOverride w:ilvl="7">
      <w:lvl w:ilvl="7" w:tplc="04100019">
        <w:start w:val="1"/>
        <w:numFmt w:val="lowerLetter"/>
        <w:lvlText w:val="%8."/>
        <w:lvlJc w:val="left"/>
        <w:pPr>
          <w:ind w:left="5760" w:hanging="360"/>
        </w:pPr>
        <w:rPr>
          <w:rFonts w:hint="default"/>
        </w:rPr>
      </w:lvl>
    </w:lvlOverride>
    <w:lvlOverride w:ilvl="8">
      <w:lvl w:ilvl="8" w:tplc="0410001B">
        <w:start w:val="1"/>
        <w:numFmt w:val="lowerRoman"/>
        <w:lvlText w:val="%9."/>
        <w:lvlJc w:val="right"/>
        <w:pPr>
          <w:ind w:left="6480" w:hanging="180"/>
        </w:pPr>
        <w:rPr>
          <w:rFonts w:hint="default"/>
        </w:rPr>
      </w:lvl>
    </w:lvlOverride>
  </w:num>
  <w:num w:numId="4">
    <w:abstractNumId w:val="5"/>
  </w:num>
  <w:num w:numId="5">
    <w:abstractNumId w:val="7"/>
  </w:num>
  <w:num w:numId="6">
    <w:abstractNumId w:val="6"/>
  </w:num>
  <w:num w:numId="7">
    <w:abstractNumId w:val="18"/>
  </w:num>
  <w:num w:numId="8">
    <w:abstractNumId w:val="1"/>
  </w:num>
  <w:num w:numId="9">
    <w:abstractNumId w:val="11"/>
  </w:num>
  <w:num w:numId="10">
    <w:abstractNumId w:val="16"/>
  </w:num>
  <w:num w:numId="11">
    <w:abstractNumId w:val="0"/>
  </w:num>
  <w:num w:numId="12">
    <w:abstractNumId w:val="14"/>
  </w:num>
  <w:num w:numId="13">
    <w:abstractNumId w:val="20"/>
  </w:num>
  <w:num w:numId="14">
    <w:abstractNumId w:val="12"/>
  </w:num>
  <w:num w:numId="15">
    <w:abstractNumId w:val="13"/>
  </w:num>
  <w:num w:numId="16">
    <w:abstractNumId w:val="9"/>
  </w:num>
  <w:num w:numId="17">
    <w:abstractNumId w:val="17"/>
  </w:num>
  <w:num w:numId="18">
    <w:abstractNumId w:val="19"/>
  </w:num>
  <w:num w:numId="19">
    <w:abstractNumId w:val="3"/>
  </w:num>
  <w:num w:numId="20">
    <w:abstractNumId w:val="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FF2"/>
    <w:rsid w:val="000003FF"/>
    <w:rsid w:val="0000130D"/>
    <w:rsid w:val="000028C9"/>
    <w:rsid w:val="00004E39"/>
    <w:rsid w:val="000050B4"/>
    <w:rsid w:val="00005601"/>
    <w:rsid w:val="0000580E"/>
    <w:rsid w:val="000063EA"/>
    <w:rsid w:val="00006E3A"/>
    <w:rsid w:val="000075B9"/>
    <w:rsid w:val="00007D62"/>
    <w:rsid w:val="000103DE"/>
    <w:rsid w:val="00010B07"/>
    <w:rsid w:val="00011934"/>
    <w:rsid w:val="00012749"/>
    <w:rsid w:val="00012A1F"/>
    <w:rsid w:val="00012CDE"/>
    <w:rsid w:val="00012E9D"/>
    <w:rsid w:val="00013032"/>
    <w:rsid w:val="0001477A"/>
    <w:rsid w:val="000174D0"/>
    <w:rsid w:val="00020D61"/>
    <w:rsid w:val="00020F24"/>
    <w:rsid w:val="00022A7A"/>
    <w:rsid w:val="000235FA"/>
    <w:rsid w:val="000239A0"/>
    <w:rsid w:val="00023CE4"/>
    <w:rsid w:val="00024858"/>
    <w:rsid w:val="00024FF9"/>
    <w:rsid w:val="00025BE6"/>
    <w:rsid w:val="0003457A"/>
    <w:rsid w:val="00035533"/>
    <w:rsid w:val="000369F5"/>
    <w:rsid w:val="00040A71"/>
    <w:rsid w:val="00041397"/>
    <w:rsid w:val="00042837"/>
    <w:rsid w:val="000439CD"/>
    <w:rsid w:val="0005016B"/>
    <w:rsid w:val="000516F0"/>
    <w:rsid w:val="00051E62"/>
    <w:rsid w:val="0005316E"/>
    <w:rsid w:val="000533EB"/>
    <w:rsid w:val="00054351"/>
    <w:rsid w:val="0005436C"/>
    <w:rsid w:val="000549C7"/>
    <w:rsid w:val="00054FD1"/>
    <w:rsid w:val="000552E9"/>
    <w:rsid w:val="00055DF6"/>
    <w:rsid w:val="000578F2"/>
    <w:rsid w:val="00060AC7"/>
    <w:rsid w:val="000614A4"/>
    <w:rsid w:val="00064BD0"/>
    <w:rsid w:val="000657A4"/>
    <w:rsid w:val="00066F3A"/>
    <w:rsid w:val="00067A2B"/>
    <w:rsid w:val="00070587"/>
    <w:rsid w:val="0007067D"/>
    <w:rsid w:val="00070E04"/>
    <w:rsid w:val="0007172B"/>
    <w:rsid w:val="00071F25"/>
    <w:rsid w:val="00073CDD"/>
    <w:rsid w:val="00074CD7"/>
    <w:rsid w:val="00075DAC"/>
    <w:rsid w:val="000832A2"/>
    <w:rsid w:val="00084167"/>
    <w:rsid w:val="00084576"/>
    <w:rsid w:val="00084CE9"/>
    <w:rsid w:val="00085622"/>
    <w:rsid w:val="000858C1"/>
    <w:rsid w:val="000865B2"/>
    <w:rsid w:val="0008763F"/>
    <w:rsid w:val="00090B6E"/>
    <w:rsid w:val="00091041"/>
    <w:rsid w:val="0009291C"/>
    <w:rsid w:val="000931E0"/>
    <w:rsid w:val="00093737"/>
    <w:rsid w:val="000946E0"/>
    <w:rsid w:val="000954DD"/>
    <w:rsid w:val="000969E1"/>
    <w:rsid w:val="00097F62"/>
    <w:rsid w:val="000A2733"/>
    <w:rsid w:val="000A2A61"/>
    <w:rsid w:val="000A3299"/>
    <w:rsid w:val="000A3DE5"/>
    <w:rsid w:val="000A6A5F"/>
    <w:rsid w:val="000B2A1D"/>
    <w:rsid w:val="000B33C0"/>
    <w:rsid w:val="000B3A35"/>
    <w:rsid w:val="000B3F8C"/>
    <w:rsid w:val="000B4113"/>
    <w:rsid w:val="000B426B"/>
    <w:rsid w:val="000B4EB2"/>
    <w:rsid w:val="000B60CC"/>
    <w:rsid w:val="000C193C"/>
    <w:rsid w:val="000C336F"/>
    <w:rsid w:val="000C4BD0"/>
    <w:rsid w:val="000C6BF1"/>
    <w:rsid w:val="000C7FAC"/>
    <w:rsid w:val="000D11C5"/>
    <w:rsid w:val="000D132B"/>
    <w:rsid w:val="000D21F5"/>
    <w:rsid w:val="000D460C"/>
    <w:rsid w:val="000D4BDD"/>
    <w:rsid w:val="000D5D70"/>
    <w:rsid w:val="000D6A18"/>
    <w:rsid w:val="000E0E51"/>
    <w:rsid w:val="000E22DE"/>
    <w:rsid w:val="000E421C"/>
    <w:rsid w:val="000E4A59"/>
    <w:rsid w:val="000E58A4"/>
    <w:rsid w:val="000E67BD"/>
    <w:rsid w:val="000F0B8B"/>
    <w:rsid w:val="000F0C26"/>
    <w:rsid w:val="000F23B3"/>
    <w:rsid w:val="000F3849"/>
    <w:rsid w:val="000F4A2F"/>
    <w:rsid w:val="000F5278"/>
    <w:rsid w:val="000F6720"/>
    <w:rsid w:val="000F7B92"/>
    <w:rsid w:val="00102D3E"/>
    <w:rsid w:val="00102E60"/>
    <w:rsid w:val="00103042"/>
    <w:rsid w:val="00105188"/>
    <w:rsid w:val="00106CD0"/>
    <w:rsid w:val="001104CE"/>
    <w:rsid w:val="0011059A"/>
    <w:rsid w:val="0011280B"/>
    <w:rsid w:val="00112A25"/>
    <w:rsid w:val="00112BAA"/>
    <w:rsid w:val="001135CD"/>
    <w:rsid w:val="00113E7D"/>
    <w:rsid w:val="001155A7"/>
    <w:rsid w:val="001158AF"/>
    <w:rsid w:val="00115C8B"/>
    <w:rsid w:val="00117A14"/>
    <w:rsid w:val="00121CA6"/>
    <w:rsid w:val="00122B97"/>
    <w:rsid w:val="00123880"/>
    <w:rsid w:val="00125D75"/>
    <w:rsid w:val="00125DF3"/>
    <w:rsid w:val="001272E9"/>
    <w:rsid w:val="001277DA"/>
    <w:rsid w:val="001308FF"/>
    <w:rsid w:val="001320F5"/>
    <w:rsid w:val="001351F0"/>
    <w:rsid w:val="00136B65"/>
    <w:rsid w:val="00140867"/>
    <w:rsid w:val="00140F8A"/>
    <w:rsid w:val="001440F5"/>
    <w:rsid w:val="00144416"/>
    <w:rsid w:val="0014466F"/>
    <w:rsid w:val="0014478B"/>
    <w:rsid w:val="0014636B"/>
    <w:rsid w:val="00147DC4"/>
    <w:rsid w:val="001518B2"/>
    <w:rsid w:val="00152050"/>
    <w:rsid w:val="00152A9E"/>
    <w:rsid w:val="00153D70"/>
    <w:rsid w:val="00154F14"/>
    <w:rsid w:val="00155E12"/>
    <w:rsid w:val="00156465"/>
    <w:rsid w:val="00156594"/>
    <w:rsid w:val="001567D4"/>
    <w:rsid w:val="00157E04"/>
    <w:rsid w:val="001624CB"/>
    <w:rsid w:val="001634B6"/>
    <w:rsid w:val="00163D15"/>
    <w:rsid w:val="00167A45"/>
    <w:rsid w:val="001715D2"/>
    <w:rsid w:val="001723D9"/>
    <w:rsid w:val="00172BA9"/>
    <w:rsid w:val="0017487F"/>
    <w:rsid w:val="00175B6C"/>
    <w:rsid w:val="00175D34"/>
    <w:rsid w:val="00176806"/>
    <w:rsid w:val="00176B1E"/>
    <w:rsid w:val="0018150D"/>
    <w:rsid w:val="00181F7F"/>
    <w:rsid w:val="00182AC3"/>
    <w:rsid w:val="00182B32"/>
    <w:rsid w:val="00182E9E"/>
    <w:rsid w:val="001830DD"/>
    <w:rsid w:val="0018342C"/>
    <w:rsid w:val="00183551"/>
    <w:rsid w:val="00183A3F"/>
    <w:rsid w:val="00184B5E"/>
    <w:rsid w:val="0018778D"/>
    <w:rsid w:val="001902FC"/>
    <w:rsid w:val="0019076B"/>
    <w:rsid w:val="001907EE"/>
    <w:rsid w:val="0019182C"/>
    <w:rsid w:val="0019285C"/>
    <w:rsid w:val="00194725"/>
    <w:rsid w:val="00194B83"/>
    <w:rsid w:val="001951DF"/>
    <w:rsid w:val="0019687D"/>
    <w:rsid w:val="00196A2F"/>
    <w:rsid w:val="001A1479"/>
    <w:rsid w:val="001A1CC6"/>
    <w:rsid w:val="001A20C3"/>
    <w:rsid w:val="001A6B79"/>
    <w:rsid w:val="001A7D31"/>
    <w:rsid w:val="001B0F1B"/>
    <w:rsid w:val="001B1D13"/>
    <w:rsid w:val="001B2760"/>
    <w:rsid w:val="001B2879"/>
    <w:rsid w:val="001B3015"/>
    <w:rsid w:val="001B41F9"/>
    <w:rsid w:val="001B63AE"/>
    <w:rsid w:val="001B69E2"/>
    <w:rsid w:val="001B7FC4"/>
    <w:rsid w:val="001C10D4"/>
    <w:rsid w:val="001C22DC"/>
    <w:rsid w:val="001C2437"/>
    <w:rsid w:val="001C2A76"/>
    <w:rsid w:val="001C36A7"/>
    <w:rsid w:val="001C40DF"/>
    <w:rsid w:val="001C46B6"/>
    <w:rsid w:val="001C5C9E"/>
    <w:rsid w:val="001C732F"/>
    <w:rsid w:val="001D0C71"/>
    <w:rsid w:val="001D0CE4"/>
    <w:rsid w:val="001D175A"/>
    <w:rsid w:val="001D2194"/>
    <w:rsid w:val="001D5049"/>
    <w:rsid w:val="001D56AC"/>
    <w:rsid w:val="001D684C"/>
    <w:rsid w:val="001D6F1B"/>
    <w:rsid w:val="001E035B"/>
    <w:rsid w:val="001E0AB7"/>
    <w:rsid w:val="001E1817"/>
    <w:rsid w:val="001E56A3"/>
    <w:rsid w:val="001E6DB8"/>
    <w:rsid w:val="001E75D5"/>
    <w:rsid w:val="001F10BA"/>
    <w:rsid w:val="001F16F3"/>
    <w:rsid w:val="001F3371"/>
    <w:rsid w:val="001F42CA"/>
    <w:rsid w:val="001F4DE9"/>
    <w:rsid w:val="001F4EA5"/>
    <w:rsid w:val="001F535D"/>
    <w:rsid w:val="001F6871"/>
    <w:rsid w:val="001F6921"/>
    <w:rsid w:val="001F7AEF"/>
    <w:rsid w:val="001F7DA3"/>
    <w:rsid w:val="002008D5"/>
    <w:rsid w:val="002029C2"/>
    <w:rsid w:val="00202E61"/>
    <w:rsid w:val="00203083"/>
    <w:rsid w:val="00203C86"/>
    <w:rsid w:val="00203CA6"/>
    <w:rsid w:val="002045BE"/>
    <w:rsid w:val="002056C4"/>
    <w:rsid w:val="00206787"/>
    <w:rsid w:val="00207621"/>
    <w:rsid w:val="00207AC4"/>
    <w:rsid w:val="002111D5"/>
    <w:rsid w:val="00214701"/>
    <w:rsid w:val="00214AF7"/>
    <w:rsid w:val="002207DF"/>
    <w:rsid w:val="0022117C"/>
    <w:rsid w:val="00221213"/>
    <w:rsid w:val="0022241A"/>
    <w:rsid w:val="00224176"/>
    <w:rsid w:val="00224C6C"/>
    <w:rsid w:val="002264A4"/>
    <w:rsid w:val="00226AD9"/>
    <w:rsid w:val="002309DA"/>
    <w:rsid w:val="00231FA0"/>
    <w:rsid w:val="00232010"/>
    <w:rsid w:val="002325C2"/>
    <w:rsid w:val="00233777"/>
    <w:rsid w:val="0024008A"/>
    <w:rsid w:val="00240358"/>
    <w:rsid w:val="00240CB5"/>
    <w:rsid w:val="00241FF4"/>
    <w:rsid w:val="002436C3"/>
    <w:rsid w:val="00243F33"/>
    <w:rsid w:val="002442FE"/>
    <w:rsid w:val="0024472D"/>
    <w:rsid w:val="0024625A"/>
    <w:rsid w:val="0024633F"/>
    <w:rsid w:val="0024654A"/>
    <w:rsid w:val="00246F62"/>
    <w:rsid w:val="0024741F"/>
    <w:rsid w:val="00247C39"/>
    <w:rsid w:val="00247E04"/>
    <w:rsid w:val="00251915"/>
    <w:rsid w:val="00252511"/>
    <w:rsid w:val="00252875"/>
    <w:rsid w:val="0025652D"/>
    <w:rsid w:val="00262066"/>
    <w:rsid w:val="002631D4"/>
    <w:rsid w:val="002634C5"/>
    <w:rsid w:val="00263FB4"/>
    <w:rsid w:val="002643E9"/>
    <w:rsid w:val="00264C21"/>
    <w:rsid w:val="00265844"/>
    <w:rsid w:val="0026585F"/>
    <w:rsid w:val="00265E5F"/>
    <w:rsid w:val="002663FC"/>
    <w:rsid w:val="00267A71"/>
    <w:rsid w:val="00267FE0"/>
    <w:rsid w:val="00270596"/>
    <w:rsid w:val="00271967"/>
    <w:rsid w:val="00272583"/>
    <w:rsid w:val="00274130"/>
    <w:rsid w:val="00274EEB"/>
    <w:rsid w:val="00275033"/>
    <w:rsid w:val="002751C4"/>
    <w:rsid w:val="002759F6"/>
    <w:rsid w:val="002775A2"/>
    <w:rsid w:val="00277A3B"/>
    <w:rsid w:val="00277D8B"/>
    <w:rsid w:val="002810B9"/>
    <w:rsid w:val="0028192C"/>
    <w:rsid w:val="00283F0C"/>
    <w:rsid w:val="0028403A"/>
    <w:rsid w:val="00285311"/>
    <w:rsid w:val="0028555A"/>
    <w:rsid w:val="00286794"/>
    <w:rsid w:val="002869B5"/>
    <w:rsid w:val="00287B2A"/>
    <w:rsid w:val="00287DBB"/>
    <w:rsid w:val="00287F47"/>
    <w:rsid w:val="00291B3E"/>
    <w:rsid w:val="00291C17"/>
    <w:rsid w:val="00292155"/>
    <w:rsid w:val="002939E8"/>
    <w:rsid w:val="00294666"/>
    <w:rsid w:val="00294BB6"/>
    <w:rsid w:val="00295639"/>
    <w:rsid w:val="0029775E"/>
    <w:rsid w:val="00297A51"/>
    <w:rsid w:val="002A09E7"/>
    <w:rsid w:val="002A0F32"/>
    <w:rsid w:val="002A0FCD"/>
    <w:rsid w:val="002A1A47"/>
    <w:rsid w:val="002A4E89"/>
    <w:rsid w:val="002A506E"/>
    <w:rsid w:val="002A7DC6"/>
    <w:rsid w:val="002B05F6"/>
    <w:rsid w:val="002B22B1"/>
    <w:rsid w:val="002B22F4"/>
    <w:rsid w:val="002B2F47"/>
    <w:rsid w:val="002B33C9"/>
    <w:rsid w:val="002B3F11"/>
    <w:rsid w:val="002B458B"/>
    <w:rsid w:val="002B4AD0"/>
    <w:rsid w:val="002C0247"/>
    <w:rsid w:val="002C107D"/>
    <w:rsid w:val="002C199D"/>
    <w:rsid w:val="002C3A40"/>
    <w:rsid w:val="002C4AAA"/>
    <w:rsid w:val="002C4E96"/>
    <w:rsid w:val="002C5842"/>
    <w:rsid w:val="002C6680"/>
    <w:rsid w:val="002C6D64"/>
    <w:rsid w:val="002D0641"/>
    <w:rsid w:val="002D1C07"/>
    <w:rsid w:val="002D3C2F"/>
    <w:rsid w:val="002D3F6B"/>
    <w:rsid w:val="002D471E"/>
    <w:rsid w:val="002D49B5"/>
    <w:rsid w:val="002D5462"/>
    <w:rsid w:val="002D5E8B"/>
    <w:rsid w:val="002D7A35"/>
    <w:rsid w:val="002E554B"/>
    <w:rsid w:val="002F1F5A"/>
    <w:rsid w:val="002F23F7"/>
    <w:rsid w:val="002F437B"/>
    <w:rsid w:val="002F471D"/>
    <w:rsid w:val="002F4E9B"/>
    <w:rsid w:val="002F676A"/>
    <w:rsid w:val="002F6D50"/>
    <w:rsid w:val="002F7B8B"/>
    <w:rsid w:val="002F7D91"/>
    <w:rsid w:val="00300068"/>
    <w:rsid w:val="00302AF8"/>
    <w:rsid w:val="0030676F"/>
    <w:rsid w:val="00307398"/>
    <w:rsid w:val="00310399"/>
    <w:rsid w:val="0031123C"/>
    <w:rsid w:val="003116BF"/>
    <w:rsid w:val="00313319"/>
    <w:rsid w:val="0031340E"/>
    <w:rsid w:val="00314490"/>
    <w:rsid w:val="003144C1"/>
    <w:rsid w:val="003145C5"/>
    <w:rsid w:val="00316B89"/>
    <w:rsid w:val="00320033"/>
    <w:rsid w:val="00322080"/>
    <w:rsid w:val="00322B4C"/>
    <w:rsid w:val="003234E9"/>
    <w:rsid w:val="00324A98"/>
    <w:rsid w:val="00324ABE"/>
    <w:rsid w:val="00324D7D"/>
    <w:rsid w:val="0032590A"/>
    <w:rsid w:val="00325AF3"/>
    <w:rsid w:val="003278C2"/>
    <w:rsid w:val="00330190"/>
    <w:rsid w:val="0033116A"/>
    <w:rsid w:val="0033153B"/>
    <w:rsid w:val="00331950"/>
    <w:rsid w:val="003323F4"/>
    <w:rsid w:val="00332C52"/>
    <w:rsid w:val="00333E76"/>
    <w:rsid w:val="0033523B"/>
    <w:rsid w:val="0033525C"/>
    <w:rsid w:val="00335692"/>
    <w:rsid w:val="0033579D"/>
    <w:rsid w:val="00335947"/>
    <w:rsid w:val="00336715"/>
    <w:rsid w:val="00340E38"/>
    <w:rsid w:val="0034201D"/>
    <w:rsid w:val="0034287A"/>
    <w:rsid w:val="0034289E"/>
    <w:rsid w:val="00342C00"/>
    <w:rsid w:val="00345C72"/>
    <w:rsid w:val="00346C8A"/>
    <w:rsid w:val="00347CCF"/>
    <w:rsid w:val="00350ADD"/>
    <w:rsid w:val="00350BFE"/>
    <w:rsid w:val="003510ED"/>
    <w:rsid w:val="00352F7D"/>
    <w:rsid w:val="0035564E"/>
    <w:rsid w:val="00356E99"/>
    <w:rsid w:val="00357B31"/>
    <w:rsid w:val="00362815"/>
    <w:rsid w:val="00363D9B"/>
    <w:rsid w:val="0036514B"/>
    <w:rsid w:val="00365791"/>
    <w:rsid w:val="00365D09"/>
    <w:rsid w:val="00371C86"/>
    <w:rsid w:val="00371E4A"/>
    <w:rsid w:val="003758E0"/>
    <w:rsid w:val="00376921"/>
    <w:rsid w:val="003769F4"/>
    <w:rsid w:val="00377518"/>
    <w:rsid w:val="00377531"/>
    <w:rsid w:val="003802F6"/>
    <w:rsid w:val="0038119A"/>
    <w:rsid w:val="00383833"/>
    <w:rsid w:val="00384CC3"/>
    <w:rsid w:val="00384E79"/>
    <w:rsid w:val="00384FBF"/>
    <w:rsid w:val="0038690A"/>
    <w:rsid w:val="00386E34"/>
    <w:rsid w:val="0038790C"/>
    <w:rsid w:val="00392238"/>
    <w:rsid w:val="003938DB"/>
    <w:rsid w:val="0039394D"/>
    <w:rsid w:val="003956F0"/>
    <w:rsid w:val="0039648E"/>
    <w:rsid w:val="0039792E"/>
    <w:rsid w:val="003A026D"/>
    <w:rsid w:val="003A21CA"/>
    <w:rsid w:val="003A29F8"/>
    <w:rsid w:val="003A2E05"/>
    <w:rsid w:val="003A3502"/>
    <w:rsid w:val="003A3916"/>
    <w:rsid w:val="003A3CA9"/>
    <w:rsid w:val="003A4056"/>
    <w:rsid w:val="003A49D2"/>
    <w:rsid w:val="003A59B0"/>
    <w:rsid w:val="003A6034"/>
    <w:rsid w:val="003A718C"/>
    <w:rsid w:val="003B00E8"/>
    <w:rsid w:val="003B0EAF"/>
    <w:rsid w:val="003B3715"/>
    <w:rsid w:val="003B6E39"/>
    <w:rsid w:val="003B6FDB"/>
    <w:rsid w:val="003C0512"/>
    <w:rsid w:val="003C123A"/>
    <w:rsid w:val="003C3F81"/>
    <w:rsid w:val="003C4586"/>
    <w:rsid w:val="003C4B64"/>
    <w:rsid w:val="003C542D"/>
    <w:rsid w:val="003C5587"/>
    <w:rsid w:val="003C799E"/>
    <w:rsid w:val="003C7AF3"/>
    <w:rsid w:val="003D00AB"/>
    <w:rsid w:val="003D18A9"/>
    <w:rsid w:val="003D1A15"/>
    <w:rsid w:val="003D1F19"/>
    <w:rsid w:val="003D3305"/>
    <w:rsid w:val="003D33EB"/>
    <w:rsid w:val="003D412A"/>
    <w:rsid w:val="003D42B5"/>
    <w:rsid w:val="003D4631"/>
    <w:rsid w:val="003D4C33"/>
    <w:rsid w:val="003D563B"/>
    <w:rsid w:val="003D56F0"/>
    <w:rsid w:val="003D5F77"/>
    <w:rsid w:val="003D5FA2"/>
    <w:rsid w:val="003D6803"/>
    <w:rsid w:val="003D6F24"/>
    <w:rsid w:val="003D7751"/>
    <w:rsid w:val="003E0AF7"/>
    <w:rsid w:val="003E12A5"/>
    <w:rsid w:val="003E166A"/>
    <w:rsid w:val="003E4F60"/>
    <w:rsid w:val="003E59BD"/>
    <w:rsid w:val="003F2D50"/>
    <w:rsid w:val="003F2FBD"/>
    <w:rsid w:val="003F42D6"/>
    <w:rsid w:val="003F74E0"/>
    <w:rsid w:val="003F76B3"/>
    <w:rsid w:val="003F78D2"/>
    <w:rsid w:val="003F7BB1"/>
    <w:rsid w:val="00400F6C"/>
    <w:rsid w:val="004029F1"/>
    <w:rsid w:val="00403A0C"/>
    <w:rsid w:val="00403DBA"/>
    <w:rsid w:val="0040629D"/>
    <w:rsid w:val="004063D5"/>
    <w:rsid w:val="004073E5"/>
    <w:rsid w:val="0040793F"/>
    <w:rsid w:val="00407F3C"/>
    <w:rsid w:val="004109D7"/>
    <w:rsid w:val="004120C6"/>
    <w:rsid w:val="00412E44"/>
    <w:rsid w:val="0041417B"/>
    <w:rsid w:val="00414935"/>
    <w:rsid w:val="00416F04"/>
    <w:rsid w:val="00417018"/>
    <w:rsid w:val="00417D5C"/>
    <w:rsid w:val="00420622"/>
    <w:rsid w:val="00420CCC"/>
    <w:rsid w:val="00422CB3"/>
    <w:rsid w:val="00423084"/>
    <w:rsid w:val="0042375D"/>
    <w:rsid w:val="0042388D"/>
    <w:rsid w:val="00430033"/>
    <w:rsid w:val="00430FDE"/>
    <w:rsid w:val="00431430"/>
    <w:rsid w:val="0043478D"/>
    <w:rsid w:val="00434927"/>
    <w:rsid w:val="00434DC5"/>
    <w:rsid w:val="00435376"/>
    <w:rsid w:val="00436F8E"/>
    <w:rsid w:val="004374D0"/>
    <w:rsid w:val="00442A23"/>
    <w:rsid w:val="00444718"/>
    <w:rsid w:val="00444B68"/>
    <w:rsid w:val="00444D99"/>
    <w:rsid w:val="00444EFB"/>
    <w:rsid w:val="00445DBC"/>
    <w:rsid w:val="004468BC"/>
    <w:rsid w:val="00446D4C"/>
    <w:rsid w:val="0044730D"/>
    <w:rsid w:val="00450B7A"/>
    <w:rsid w:val="00451E80"/>
    <w:rsid w:val="0045231D"/>
    <w:rsid w:val="00452D6A"/>
    <w:rsid w:val="00456508"/>
    <w:rsid w:val="0045696B"/>
    <w:rsid w:val="00456C13"/>
    <w:rsid w:val="00462724"/>
    <w:rsid w:val="00462EB7"/>
    <w:rsid w:val="00463023"/>
    <w:rsid w:val="004647C0"/>
    <w:rsid w:val="00465027"/>
    <w:rsid w:val="00470EDB"/>
    <w:rsid w:val="004728BD"/>
    <w:rsid w:val="004731A8"/>
    <w:rsid w:val="004737AE"/>
    <w:rsid w:val="004759D9"/>
    <w:rsid w:val="0047645C"/>
    <w:rsid w:val="004816D3"/>
    <w:rsid w:val="00481720"/>
    <w:rsid w:val="004818B9"/>
    <w:rsid w:val="00484634"/>
    <w:rsid w:val="00487C96"/>
    <w:rsid w:val="00487E43"/>
    <w:rsid w:val="004900F2"/>
    <w:rsid w:val="00493150"/>
    <w:rsid w:val="0049324D"/>
    <w:rsid w:val="00493943"/>
    <w:rsid w:val="00494C29"/>
    <w:rsid w:val="004965DF"/>
    <w:rsid w:val="00496B35"/>
    <w:rsid w:val="00496E2C"/>
    <w:rsid w:val="0049785C"/>
    <w:rsid w:val="00497A44"/>
    <w:rsid w:val="004A0CEC"/>
    <w:rsid w:val="004A0DD1"/>
    <w:rsid w:val="004A123D"/>
    <w:rsid w:val="004A1B0D"/>
    <w:rsid w:val="004A254D"/>
    <w:rsid w:val="004A47C0"/>
    <w:rsid w:val="004A4865"/>
    <w:rsid w:val="004A5318"/>
    <w:rsid w:val="004A5A1B"/>
    <w:rsid w:val="004A733B"/>
    <w:rsid w:val="004A76F2"/>
    <w:rsid w:val="004B08C0"/>
    <w:rsid w:val="004B1220"/>
    <w:rsid w:val="004B2395"/>
    <w:rsid w:val="004B29A8"/>
    <w:rsid w:val="004B5ED0"/>
    <w:rsid w:val="004C058F"/>
    <w:rsid w:val="004C05E3"/>
    <w:rsid w:val="004C3175"/>
    <w:rsid w:val="004C31CE"/>
    <w:rsid w:val="004C580A"/>
    <w:rsid w:val="004C7D76"/>
    <w:rsid w:val="004D1821"/>
    <w:rsid w:val="004D1925"/>
    <w:rsid w:val="004D1BD1"/>
    <w:rsid w:val="004D2123"/>
    <w:rsid w:val="004D4C21"/>
    <w:rsid w:val="004D4F47"/>
    <w:rsid w:val="004E0BC9"/>
    <w:rsid w:val="004E25F1"/>
    <w:rsid w:val="004E5AFB"/>
    <w:rsid w:val="004E6165"/>
    <w:rsid w:val="004E69A5"/>
    <w:rsid w:val="004E7416"/>
    <w:rsid w:val="004E7A4C"/>
    <w:rsid w:val="004F1793"/>
    <w:rsid w:val="004F1869"/>
    <w:rsid w:val="004F190F"/>
    <w:rsid w:val="004F294E"/>
    <w:rsid w:val="004F362B"/>
    <w:rsid w:val="004F3A18"/>
    <w:rsid w:val="004F58A5"/>
    <w:rsid w:val="004F5914"/>
    <w:rsid w:val="004F64A0"/>
    <w:rsid w:val="004F734D"/>
    <w:rsid w:val="004F7B61"/>
    <w:rsid w:val="004F7FD3"/>
    <w:rsid w:val="00500A5D"/>
    <w:rsid w:val="005017E7"/>
    <w:rsid w:val="0050239E"/>
    <w:rsid w:val="00502E92"/>
    <w:rsid w:val="0050462A"/>
    <w:rsid w:val="005056A4"/>
    <w:rsid w:val="005057EB"/>
    <w:rsid w:val="00506AAC"/>
    <w:rsid w:val="00507396"/>
    <w:rsid w:val="005076E6"/>
    <w:rsid w:val="005103A1"/>
    <w:rsid w:val="0051102D"/>
    <w:rsid w:val="00512CD1"/>
    <w:rsid w:val="005139B6"/>
    <w:rsid w:val="00513D0E"/>
    <w:rsid w:val="005142F6"/>
    <w:rsid w:val="00514B79"/>
    <w:rsid w:val="00521039"/>
    <w:rsid w:val="00521754"/>
    <w:rsid w:val="00521786"/>
    <w:rsid w:val="00522CBE"/>
    <w:rsid w:val="00524111"/>
    <w:rsid w:val="0052692B"/>
    <w:rsid w:val="00526A5E"/>
    <w:rsid w:val="00527BE8"/>
    <w:rsid w:val="00530113"/>
    <w:rsid w:val="00530C96"/>
    <w:rsid w:val="00530D90"/>
    <w:rsid w:val="00531075"/>
    <w:rsid w:val="00531D02"/>
    <w:rsid w:val="00532511"/>
    <w:rsid w:val="005329AA"/>
    <w:rsid w:val="005335AC"/>
    <w:rsid w:val="005337CD"/>
    <w:rsid w:val="005361ED"/>
    <w:rsid w:val="00540C77"/>
    <w:rsid w:val="00540CF4"/>
    <w:rsid w:val="00540E3D"/>
    <w:rsid w:val="00545CDD"/>
    <w:rsid w:val="00545CFF"/>
    <w:rsid w:val="00546C34"/>
    <w:rsid w:val="005470B5"/>
    <w:rsid w:val="00547363"/>
    <w:rsid w:val="0055122D"/>
    <w:rsid w:val="00551854"/>
    <w:rsid w:val="0055368F"/>
    <w:rsid w:val="005546AD"/>
    <w:rsid w:val="00555991"/>
    <w:rsid w:val="00555CAF"/>
    <w:rsid w:val="0055615F"/>
    <w:rsid w:val="00561795"/>
    <w:rsid w:val="005626F9"/>
    <w:rsid w:val="00563C83"/>
    <w:rsid w:val="00564B9C"/>
    <w:rsid w:val="00567067"/>
    <w:rsid w:val="005704CB"/>
    <w:rsid w:val="005722CE"/>
    <w:rsid w:val="005728CA"/>
    <w:rsid w:val="00572B4B"/>
    <w:rsid w:val="00573B8D"/>
    <w:rsid w:val="0057497F"/>
    <w:rsid w:val="00574DC3"/>
    <w:rsid w:val="0057758B"/>
    <w:rsid w:val="005807F8"/>
    <w:rsid w:val="005810DB"/>
    <w:rsid w:val="00582338"/>
    <w:rsid w:val="00582411"/>
    <w:rsid w:val="00582CC2"/>
    <w:rsid w:val="00584312"/>
    <w:rsid w:val="00584CCB"/>
    <w:rsid w:val="00586F32"/>
    <w:rsid w:val="0058794F"/>
    <w:rsid w:val="005904C7"/>
    <w:rsid w:val="00590553"/>
    <w:rsid w:val="00590E8E"/>
    <w:rsid w:val="005911E3"/>
    <w:rsid w:val="00592DB8"/>
    <w:rsid w:val="00593907"/>
    <w:rsid w:val="0059464E"/>
    <w:rsid w:val="00595475"/>
    <w:rsid w:val="0059571C"/>
    <w:rsid w:val="00595980"/>
    <w:rsid w:val="005A013D"/>
    <w:rsid w:val="005A0375"/>
    <w:rsid w:val="005A06DF"/>
    <w:rsid w:val="005A06EB"/>
    <w:rsid w:val="005A1EFF"/>
    <w:rsid w:val="005A3374"/>
    <w:rsid w:val="005A5280"/>
    <w:rsid w:val="005A5464"/>
    <w:rsid w:val="005A5910"/>
    <w:rsid w:val="005A60BF"/>
    <w:rsid w:val="005A6E28"/>
    <w:rsid w:val="005B01B4"/>
    <w:rsid w:val="005B1CB2"/>
    <w:rsid w:val="005B244B"/>
    <w:rsid w:val="005B3569"/>
    <w:rsid w:val="005B4ABE"/>
    <w:rsid w:val="005B4B56"/>
    <w:rsid w:val="005B51B3"/>
    <w:rsid w:val="005B52CB"/>
    <w:rsid w:val="005B56DC"/>
    <w:rsid w:val="005B58AF"/>
    <w:rsid w:val="005B5F5C"/>
    <w:rsid w:val="005B66F3"/>
    <w:rsid w:val="005B7C7D"/>
    <w:rsid w:val="005B7F88"/>
    <w:rsid w:val="005C045E"/>
    <w:rsid w:val="005C05D8"/>
    <w:rsid w:val="005C1390"/>
    <w:rsid w:val="005C28E3"/>
    <w:rsid w:val="005C2F72"/>
    <w:rsid w:val="005C50C8"/>
    <w:rsid w:val="005D06B0"/>
    <w:rsid w:val="005D0E41"/>
    <w:rsid w:val="005D19B8"/>
    <w:rsid w:val="005D1B91"/>
    <w:rsid w:val="005D3F8A"/>
    <w:rsid w:val="005D454B"/>
    <w:rsid w:val="005D5ADF"/>
    <w:rsid w:val="005D66CB"/>
    <w:rsid w:val="005E0A94"/>
    <w:rsid w:val="005E171C"/>
    <w:rsid w:val="005E389F"/>
    <w:rsid w:val="005E4788"/>
    <w:rsid w:val="005E48F6"/>
    <w:rsid w:val="005E4BD2"/>
    <w:rsid w:val="005E5469"/>
    <w:rsid w:val="005E5FE5"/>
    <w:rsid w:val="005E61E7"/>
    <w:rsid w:val="005E70DD"/>
    <w:rsid w:val="005E7E6D"/>
    <w:rsid w:val="005F0378"/>
    <w:rsid w:val="005F3137"/>
    <w:rsid w:val="005F3E5F"/>
    <w:rsid w:val="005F5E39"/>
    <w:rsid w:val="005F62C5"/>
    <w:rsid w:val="005F633E"/>
    <w:rsid w:val="005F6858"/>
    <w:rsid w:val="005F6ED4"/>
    <w:rsid w:val="006008DD"/>
    <w:rsid w:val="006029D2"/>
    <w:rsid w:val="00602A32"/>
    <w:rsid w:val="00605A7E"/>
    <w:rsid w:val="0060643F"/>
    <w:rsid w:val="00610305"/>
    <w:rsid w:val="00611110"/>
    <w:rsid w:val="00611811"/>
    <w:rsid w:val="00611FB6"/>
    <w:rsid w:val="0061207B"/>
    <w:rsid w:val="0061245F"/>
    <w:rsid w:val="006135F3"/>
    <w:rsid w:val="00613BB8"/>
    <w:rsid w:val="00614248"/>
    <w:rsid w:val="00616B49"/>
    <w:rsid w:val="00617439"/>
    <w:rsid w:val="00617586"/>
    <w:rsid w:val="00620E28"/>
    <w:rsid w:val="00622706"/>
    <w:rsid w:val="0062282A"/>
    <w:rsid w:val="00622B4D"/>
    <w:rsid w:val="006265D6"/>
    <w:rsid w:val="0062709C"/>
    <w:rsid w:val="00631D6A"/>
    <w:rsid w:val="00632792"/>
    <w:rsid w:val="006331A5"/>
    <w:rsid w:val="0063570E"/>
    <w:rsid w:val="00637695"/>
    <w:rsid w:val="006403AE"/>
    <w:rsid w:val="006404B4"/>
    <w:rsid w:val="00641A3C"/>
    <w:rsid w:val="00643B0A"/>
    <w:rsid w:val="00643D8B"/>
    <w:rsid w:val="006445D5"/>
    <w:rsid w:val="00645563"/>
    <w:rsid w:val="00646021"/>
    <w:rsid w:val="00646695"/>
    <w:rsid w:val="006468D4"/>
    <w:rsid w:val="006469FF"/>
    <w:rsid w:val="006472D7"/>
    <w:rsid w:val="006505E2"/>
    <w:rsid w:val="00651A8F"/>
    <w:rsid w:val="00652AF5"/>
    <w:rsid w:val="00653961"/>
    <w:rsid w:val="00654F73"/>
    <w:rsid w:val="006551ED"/>
    <w:rsid w:val="0065651F"/>
    <w:rsid w:val="006573A3"/>
    <w:rsid w:val="00657643"/>
    <w:rsid w:val="006578B3"/>
    <w:rsid w:val="006602DA"/>
    <w:rsid w:val="00660601"/>
    <w:rsid w:val="00660D0C"/>
    <w:rsid w:val="006635F1"/>
    <w:rsid w:val="0066388C"/>
    <w:rsid w:val="00663AEA"/>
    <w:rsid w:val="00664384"/>
    <w:rsid w:val="00664A3A"/>
    <w:rsid w:val="0066546C"/>
    <w:rsid w:val="0066571B"/>
    <w:rsid w:val="00666693"/>
    <w:rsid w:val="00667C4E"/>
    <w:rsid w:val="0067134D"/>
    <w:rsid w:val="00672638"/>
    <w:rsid w:val="006726FB"/>
    <w:rsid w:val="0067297A"/>
    <w:rsid w:val="0067418A"/>
    <w:rsid w:val="006756FC"/>
    <w:rsid w:val="006758ED"/>
    <w:rsid w:val="00676E6F"/>
    <w:rsid w:val="00676F03"/>
    <w:rsid w:val="006770A4"/>
    <w:rsid w:val="00677AC1"/>
    <w:rsid w:val="00680DA9"/>
    <w:rsid w:val="00681236"/>
    <w:rsid w:val="006816E0"/>
    <w:rsid w:val="006822FD"/>
    <w:rsid w:val="006830A8"/>
    <w:rsid w:val="006874D9"/>
    <w:rsid w:val="006903D7"/>
    <w:rsid w:val="0069163C"/>
    <w:rsid w:val="006936FD"/>
    <w:rsid w:val="0069556D"/>
    <w:rsid w:val="00697352"/>
    <w:rsid w:val="00697417"/>
    <w:rsid w:val="0069787D"/>
    <w:rsid w:val="00697D16"/>
    <w:rsid w:val="006A0EA9"/>
    <w:rsid w:val="006A1474"/>
    <w:rsid w:val="006A18E1"/>
    <w:rsid w:val="006A3D18"/>
    <w:rsid w:val="006A3FEB"/>
    <w:rsid w:val="006A4012"/>
    <w:rsid w:val="006A46EF"/>
    <w:rsid w:val="006A4A09"/>
    <w:rsid w:val="006A670A"/>
    <w:rsid w:val="006A7EEB"/>
    <w:rsid w:val="006B0BAE"/>
    <w:rsid w:val="006B1614"/>
    <w:rsid w:val="006B1DB2"/>
    <w:rsid w:val="006B2753"/>
    <w:rsid w:val="006B290F"/>
    <w:rsid w:val="006B2AA8"/>
    <w:rsid w:val="006B3D14"/>
    <w:rsid w:val="006B3D71"/>
    <w:rsid w:val="006B48E0"/>
    <w:rsid w:val="006B5E16"/>
    <w:rsid w:val="006B6A3C"/>
    <w:rsid w:val="006B7588"/>
    <w:rsid w:val="006C1435"/>
    <w:rsid w:val="006C181C"/>
    <w:rsid w:val="006C1D67"/>
    <w:rsid w:val="006C2CE8"/>
    <w:rsid w:val="006C32BB"/>
    <w:rsid w:val="006C38CE"/>
    <w:rsid w:val="006C6310"/>
    <w:rsid w:val="006C6FF9"/>
    <w:rsid w:val="006D0086"/>
    <w:rsid w:val="006D1C6A"/>
    <w:rsid w:val="006D2A43"/>
    <w:rsid w:val="006D2F34"/>
    <w:rsid w:val="006D4647"/>
    <w:rsid w:val="006D6D73"/>
    <w:rsid w:val="006D6E22"/>
    <w:rsid w:val="006D72E9"/>
    <w:rsid w:val="006E138D"/>
    <w:rsid w:val="006E21EB"/>
    <w:rsid w:val="006E26E9"/>
    <w:rsid w:val="006E2777"/>
    <w:rsid w:val="006E2F02"/>
    <w:rsid w:val="006E3647"/>
    <w:rsid w:val="006E37DE"/>
    <w:rsid w:val="006E3861"/>
    <w:rsid w:val="006E6232"/>
    <w:rsid w:val="006E7747"/>
    <w:rsid w:val="006F1362"/>
    <w:rsid w:val="006F18A0"/>
    <w:rsid w:val="006F1DDE"/>
    <w:rsid w:val="006F2C8D"/>
    <w:rsid w:val="006F438E"/>
    <w:rsid w:val="006F4CBA"/>
    <w:rsid w:val="006F4D9D"/>
    <w:rsid w:val="006F5573"/>
    <w:rsid w:val="006F6ED7"/>
    <w:rsid w:val="006F719E"/>
    <w:rsid w:val="00700EA3"/>
    <w:rsid w:val="00700ECE"/>
    <w:rsid w:val="007010E6"/>
    <w:rsid w:val="00701459"/>
    <w:rsid w:val="00701DA7"/>
    <w:rsid w:val="00702A2B"/>
    <w:rsid w:val="00702D6C"/>
    <w:rsid w:val="00702ECD"/>
    <w:rsid w:val="00704ECC"/>
    <w:rsid w:val="00705F09"/>
    <w:rsid w:val="007100C9"/>
    <w:rsid w:val="00711272"/>
    <w:rsid w:val="00713F15"/>
    <w:rsid w:val="007149CE"/>
    <w:rsid w:val="00716E9B"/>
    <w:rsid w:val="00720E94"/>
    <w:rsid w:val="00722C59"/>
    <w:rsid w:val="0072330E"/>
    <w:rsid w:val="0072357E"/>
    <w:rsid w:val="00723EF5"/>
    <w:rsid w:val="00724006"/>
    <w:rsid w:val="00724216"/>
    <w:rsid w:val="00725688"/>
    <w:rsid w:val="00726401"/>
    <w:rsid w:val="007275CC"/>
    <w:rsid w:val="00727851"/>
    <w:rsid w:val="00727BEB"/>
    <w:rsid w:val="007311C5"/>
    <w:rsid w:val="007317ED"/>
    <w:rsid w:val="00732A6F"/>
    <w:rsid w:val="00734D7F"/>
    <w:rsid w:val="0073644A"/>
    <w:rsid w:val="00737C90"/>
    <w:rsid w:val="00737F65"/>
    <w:rsid w:val="0074028E"/>
    <w:rsid w:val="0074225B"/>
    <w:rsid w:val="007422A6"/>
    <w:rsid w:val="0074250B"/>
    <w:rsid w:val="0074258F"/>
    <w:rsid w:val="00742728"/>
    <w:rsid w:val="0074306B"/>
    <w:rsid w:val="00744CFE"/>
    <w:rsid w:val="00744F99"/>
    <w:rsid w:val="007453AD"/>
    <w:rsid w:val="007469D0"/>
    <w:rsid w:val="00746D73"/>
    <w:rsid w:val="00746DEC"/>
    <w:rsid w:val="007501CC"/>
    <w:rsid w:val="00750F9C"/>
    <w:rsid w:val="0075303B"/>
    <w:rsid w:val="00753284"/>
    <w:rsid w:val="00754850"/>
    <w:rsid w:val="00754DA3"/>
    <w:rsid w:val="00754F48"/>
    <w:rsid w:val="007554BC"/>
    <w:rsid w:val="007555FF"/>
    <w:rsid w:val="00757B4B"/>
    <w:rsid w:val="0076262B"/>
    <w:rsid w:val="007627DD"/>
    <w:rsid w:val="00764E73"/>
    <w:rsid w:val="007652E3"/>
    <w:rsid w:val="007668C9"/>
    <w:rsid w:val="00766EF4"/>
    <w:rsid w:val="00766FB3"/>
    <w:rsid w:val="007707A9"/>
    <w:rsid w:val="00771162"/>
    <w:rsid w:val="00772882"/>
    <w:rsid w:val="00772A8E"/>
    <w:rsid w:val="00772BD1"/>
    <w:rsid w:val="00773263"/>
    <w:rsid w:val="0077396F"/>
    <w:rsid w:val="007740C0"/>
    <w:rsid w:val="00774B8C"/>
    <w:rsid w:val="00774F6D"/>
    <w:rsid w:val="0077752F"/>
    <w:rsid w:val="00777A42"/>
    <w:rsid w:val="007804A4"/>
    <w:rsid w:val="00780FE2"/>
    <w:rsid w:val="007827C6"/>
    <w:rsid w:val="00783359"/>
    <w:rsid w:val="0078363C"/>
    <w:rsid w:val="00784263"/>
    <w:rsid w:val="00785285"/>
    <w:rsid w:val="00785A54"/>
    <w:rsid w:val="00785C8F"/>
    <w:rsid w:val="007865C0"/>
    <w:rsid w:val="00786B2F"/>
    <w:rsid w:val="007876BE"/>
    <w:rsid w:val="00787AED"/>
    <w:rsid w:val="00790261"/>
    <w:rsid w:val="00790F35"/>
    <w:rsid w:val="0079180A"/>
    <w:rsid w:val="007929A1"/>
    <w:rsid w:val="007929E7"/>
    <w:rsid w:val="007938B4"/>
    <w:rsid w:val="00794AEA"/>
    <w:rsid w:val="007A0E08"/>
    <w:rsid w:val="007A28C3"/>
    <w:rsid w:val="007A2FDC"/>
    <w:rsid w:val="007A3D09"/>
    <w:rsid w:val="007A4366"/>
    <w:rsid w:val="007A444C"/>
    <w:rsid w:val="007A49EE"/>
    <w:rsid w:val="007A5C8C"/>
    <w:rsid w:val="007A684D"/>
    <w:rsid w:val="007A7CB1"/>
    <w:rsid w:val="007B1D27"/>
    <w:rsid w:val="007B4A40"/>
    <w:rsid w:val="007B7789"/>
    <w:rsid w:val="007B7D62"/>
    <w:rsid w:val="007C1169"/>
    <w:rsid w:val="007C1D28"/>
    <w:rsid w:val="007C2167"/>
    <w:rsid w:val="007C6564"/>
    <w:rsid w:val="007C6E96"/>
    <w:rsid w:val="007C7050"/>
    <w:rsid w:val="007C71D3"/>
    <w:rsid w:val="007C7AA7"/>
    <w:rsid w:val="007D1B0B"/>
    <w:rsid w:val="007D37D9"/>
    <w:rsid w:val="007D51D7"/>
    <w:rsid w:val="007D64C5"/>
    <w:rsid w:val="007D6F2F"/>
    <w:rsid w:val="007E0730"/>
    <w:rsid w:val="007E0BB8"/>
    <w:rsid w:val="007E1AD1"/>
    <w:rsid w:val="007E1F06"/>
    <w:rsid w:val="007E20E9"/>
    <w:rsid w:val="007E5087"/>
    <w:rsid w:val="007E5116"/>
    <w:rsid w:val="007E6BB6"/>
    <w:rsid w:val="007E710A"/>
    <w:rsid w:val="007F003A"/>
    <w:rsid w:val="007F0098"/>
    <w:rsid w:val="007F3092"/>
    <w:rsid w:val="007F4CF5"/>
    <w:rsid w:val="007F597E"/>
    <w:rsid w:val="007F6D51"/>
    <w:rsid w:val="007F7159"/>
    <w:rsid w:val="00800E2A"/>
    <w:rsid w:val="00802C68"/>
    <w:rsid w:val="00803B9F"/>
    <w:rsid w:val="008049CD"/>
    <w:rsid w:val="008049E8"/>
    <w:rsid w:val="00804AEF"/>
    <w:rsid w:val="00804F47"/>
    <w:rsid w:val="00805A7D"/>
    <w:rsid w:val="00805F38"/>
    <w:rsid w:val="00806569"/>
    <w:rsid w:val="0081022D"/>
    <w:rsid w:val="00810516"/>
    <w:rsid w:val="00811134"/>
    <w:rsid w:val="008112EE"/>
    <w:rsid w:val="00811810"/>
    <w:rsid w:val="00813D31"/>
    <w:rsid w:val="00814029"/>
    <w:rsid w:val="00814B31"/>
    <w:rsid w:val="0081613E"/>
    <w:rsid w:val="008172A5"/>
    <w:rsid w:val="00817CD0"/>
    <w:rsid w:val="00820186"/>
    <w:rsid w:val="00820498"/>
    <w:rsid w:val="00820A6E"/>
    <w:rsid w:val="0082315B"/>
    <w:rsid w:val="008240C5"/>
    <w:rsid w:val="00824F5D"/>
    <w:rsid w:val="00825B69"/>
    <w:rsid w:val="00827030"/>
    <w:rsid w:val="0082755E"/>
    <w:rsid w:val="0082759F"/>
    <w:rsid w:val="00830811"/>
    <w:rsid w:val="00831AA8"/>
    <w:rsid w:val="008324F4"/>
    <w:rsid w:val="008326BC"/>
    <w:rsid w:val="00834742"/>
    <w:rsid w:val="00834FFF"/>
    <w:rsid w:val="008355AB"/>
    <w:rsid w:val="00836B20"/>
    <w:rsid w:val="00843132"/>
    <w:rsid w:val="008439B9"/>
    <w:rsid w:val="00843B32"/>
    <w:rsid w:val="00844736"/>
    <w:rsid w:val="00846B8F"/>
    <w:rsid w:val="008504E4"/>
    <w:rsid w:val="00850D79"/>
    <w:rsid w:val="0085101F"/>
    <w:rsid w:val="00851261"/>
    <w:rsid w:val="00851CF3"/>
    <w:rsid w:val="00851FFF"/>
    <w:rsid w:val="00852268"/>
    <w:rsid w:val="00852904"/>
    <w:rsid w:val="0085380E"/>
    <w:rsid w:val="00853B16"/>
    <w:rsid w:val="00853C0D"/>
    <w:rsid w:val="00853F0C"/>
    <w:rsid w:val="00860B5E"/>
    <w:rsid w:val="008617C8"/>
    <w:rsid w:val="00861CD6"/>
    <w:rsid w:val="0086424F"/>
    <w:rsid w:val="00864B9C"/>
    <w:rsid w:val="008678AB"/>
    <w:rsid w:val="00871EA9"/>
    <w:rsid w:val="00871F2F"/>
    <w:rsid w:val="00874C09"/>
    <w:rsid w:val="0087612E"/>
    <w:rsid w:val="00880261"/>
    <w:rsid w:val="00880479"/>
    <w:rsid w:val="0088060A"/>
    <w:rsid w:val="008816F8"/>
    <w:rsid w:val="0088352E"/>
    <w:rsid w:val="008837B3"/>
    <w:rsid w:val="008838FB"/>
    <w:rsid w:val="00883C48"/>
    <w:rsid w:val="0088438E"/>
    <w:rsid w:val="00884B3B"/>
    <w:rsid w:val="008852C2"/>
    <w:rsid w:val="00885BE9"/>
    <w:rsid w:val="00886168"/>
    <w:rsid w:val="00890D12"/>
    <w:rsid w:val="00890F05"/>
    <w:rsid w:val="00893BAC"/>
    <w:rsid w:val="0089446E"/>
    <w:rsid w:val="0089697D"/>
    <w:rsid w:val="00896F38"/>
    <w:rsid w:val="008974AE"/>
    <w:rsid w:val="008A0048"/>
    <w:rsid w:val="008A12C8"/>
    <w:rsid w:val="008A26D5"/>
    <w:rsid w:val="008A346C"/>
    <w:rsid w:val="008A531A"/>
    <w:rsid w:val="008A54ED"/>
    <w:rsid w:val="008A67E1"/>
    <w:rsid w:val="008A6993"/>
    <w:rsid w:val="008A7CEC"/>
    <w:rsid w:val="008B0B99"/>
    <w:rsid w:val="008B1375"/>
    <w:rsid w:val="008B193F"/>
    <w:rsid w:val="008B2C08"/>
    <w:rsid w:val="008B3564"/>
    <w:rsid w:val="008B49F2"/>
    <w:rsid w:val="008B54A5"/>
    <w:rsid w:val="008B56C2"/>
    <w:rsid w:val="008B71F7"/>
    <w:rsid w:val="008B7B1A"/>
    <w:rsid w:val="008C162E"/>
    <w:rsid w:val="008C2092"/>
    <w:rsid w:val="008C4D61"/>
    <w:rsid w:val="008C4DB6"/>
    <w:rsid w:val="008C512A"/>
    <w:rsid w:val="008C5311"/>
    <w:rsid w:val="008C6042"/>
    <w:rsid w:val="008C60AF"/>
    <w:rsid w:val="008C7BAC"/>
    <w:rsid w:val="008D05D2"/>
    <w:rsid w:val="008D1586"/>
    <w:rsid w:val="008D262B"/>
    <w:rsid w:val="008D280D"/>
    <w:rsid w:val="008D63E6"/>
    <w:rsid w:val="008D66D2"/>
    <w:rsid w:val="008D762B"/>
    <w:rsid w:val="008E0C2B"/>
    <w:rsid w:val="008E256C"/>
    <w:rsid w:val="008E25CE"/>
    <w:rsid w:val="008E3470"/>
    <w:rsid w:val="008E6A20"/>
    <w:rsid w:val="008E78FC"/>
    <w:rsid w:val="008E7EBC"/>
    <w:rsid w:val="008F0918"/>
    <w:rsid w:val="008F0B73"/>
    <w:rsid w:val="008F24D7"/>
    <w:rsid w:val="008F2802"/>
    <w:rsid w:val="008F2D46"/>
    <w:rsid w:val="008F2E13"/>
    <w:rsid w:val="008F3452"/>
    <w:rsid w:val="008F3C45"/>
    <w:rsid w:val="008F469B"/>
    <w:rsid w:val="008F6578"/>
    <w:rsid w:val="008F7412"/>
    <w:rsid w:val="00901AF8"/>
    <w:rsid w:val="00902AD6"/>
    <w:rsid w:val="0090528B"/>
    <w:rsid w:val="00905AAA"/>
    <w:rsid w:val="00906A3B"/>
    <w:rsid w:val="0090796D"/>
    <w:rsid w:val="00907B5E"/>
    <w:rsid w:val="00911C79"/>
    <w:rsid w:val="009128D9"/>
    <w:rsid w:val="00912CC0"/>
    <w:rsid w:val="00913F8C"/>
    <w:rsid w:val="00915DD8"/>
    <w:rsid w:val="00916403"/>
    <w:rsid w:val="00916A6A"/>
    <w:rsid w:val="00920AE7"/>
    <w:rsid w:val="00922D3B"/>
    <w:rsid w:val="00923CC9"/>
    <w:rsid w:val="00923FAB"/>
    <w:rsid w:val="00925880"/>
    <w:rsid w:val="00926370"/>
    <w:rsid w:val="009272A0"/>
    <w:rsid w:val="009274CB"/>
    <w:rsid w:val="0092782A"/>
    <w:rsid w:val="0092794F"/>
    <w:rsid w:val="00931A38"/>
    <w:rsid w:val="00931ED0"/>
    <w:rsid w:val="00932FD6"/>
    <w:rsid w:val="009330B3"/>
    <w:rsid w:val="00933DE2"/>
    <w:rsid w:val="00933ECA"/>
    <w:rsid w:val="0093454E"/>
    <w:rsid w:val="009401B9"/>
    <w:rsid w:val="009401CB"/>
    <w:rsid w:val="009421BB"/>
    <w:rsid w:val="00942DD6"/>
    <w:rsid w:val="00942E08"/>
    <w:rsid w:val="0094415C"/>
    <w:rsid w:val="00944976"/>
    <w:rsid w:val="00946526"/>
    <w:rsid w:val="00946925"/>
    <w:rsid w:val="00950068"/>
    <w:rsid w:val="009529DD"/>
    <w:rsid w:val="009540A9"/>
    <w:rsid w:val="0095496A"/>
    <w:rsid w:val="00956129"/>
    <w:rsid w:val="0095667A"/>
    <w:rsid w:val="00956DC4"/>
    <w:rsid w:val="0095723A"/>
    <w:rsid w:val="00957F27"/>
    <w:rsid w:val="009602DD"/>
    <w:rsid w:val="0096037D"/>
    <w:rsid w:val="00962449"/>
    <w:rsid w:val="00962FDF"/>
    <w:rsid w:val="0096338F"/>
    <w:rsid w:val="0096493D"/>
    <w:rsid w:val="00964AB1"/>
    <w:rsid w:val="00964C1A"/>
    <w:rsid w:val="00970126"/>
    <w:rsid w:val="00971E4C"/>
    <w:rsid w:val="009726BF"/>
    <w:rsid w:val="00972A28"/>
    <w:rsid w:val="00972A6F"/>
    <w:rsid w:val="009730F8"/>
    <w:rsid w:val="0097552F"/>
    <w:rsid w:val="00975B3C"/>
    <w:rsid w:val="009769ED"/>
    <w:rsid w:val="00976CA0"/>
    <w:rsid w:val="00977DFD"/>
    <w:rsid w:val="00977E13"/>
    <w:rsid w:val="009813AF"/>
    <w:rsid w:val="00981FBA"/>
    <w:rsid w:val="009841A2"/>
    <w:rsid w:val="00984999"/>
    <w:rsid w:val="0098514A"/>
    <w:rsid w:val="00985A26"/>
    <w:rsid w:val="00985C70"/>
    <w:rsid w:val="00986FA4"/>
    <w:rsid w:val="00987F74"/>
    <w:rsid w:val="00987FCB"/>
    <w:rsid w:val="009919C6"/>
    <w:rsid w:val="00994317"/>
    <w:rsid w:val="009943B7"/>
    <w:rsid w:val="00994B88"/>
    <w:rsid w:val="00995B86"/>
    <w:rsid w:val="00997056"/>
    <w:rsid w:val="0099721F"/>
    <w:rsid w:val="009A0EC7"/>
    <w:rsid w:val="009A40B3"/>
    <w:rsid w:val="009A4AC7"/>
    <w:rsid w:val="009A53E5"/>
    <w:rsid w:val="009B100C"/>
    <w:rsid w:val="009B14D8"/>
    <w:rsid w:val="009B20E2"/>
    <w:rsid w:val="009B2DE9"/>
    <w:rsid w:val="009B4D2C"/>
    <w:rsid w:val="009B53AA"/>
    <w:rsid w:val="009B714F"/>
    <w:rsid w:val="009B7937"/>
    <w:rsid w:val="009B7DE2"/>
    <w:rsid w:val="009C1868"/>
    <w:rsid w:val="009C21FF"/>
    <w:rsid w:val="009C221A"/>
    <w:rsid w:val="009C22C6"/>
    <w:rsid w:val="009C28C2"/>
    <w:rsid w:val="009D146F"/>
    <w:rsid w:val="009D17B2"/>
    <w:rsid w:val="009D19A6"/>
    <w:rsid w:val="009D1E7A"/>
    <w:rsid w:val="009D20DB"/>
    <w:rsid w:val="009D2126"/>
    <w:rsid w:val="009D277D"/>
    <w:rsid w:val="009D3419"/>
    <w:rsid w:val="009D607D"/>
    <w:rsid w:val="009E13C3"/>
    <w:rsid w:val="009E1F81"/>
    <w:rsid w:val="009E2875"/>
    <w:rsid w:val="009E2C90"/>
    <w:rsid w:val="009E32B7"/>
    <w:rsid w:val="009E607F"/>
    <w:rsid w:val="009E60DF"/>
    <w:rsid w:val="009E6B71"/>
    <w:rsid w:val="009E7B5F"/>
    <w:rsid w:val="009E7CD9"/>
    <w:rsid w:val="009E7E4C"/>
    <w:rsid w:val="009F23DE"/>
    <w:rsid w:val="009F2D0D"/>
    <w:rsid w:val="009F33FE"/>
    <w:rsid w:val="009F3BA6"/>
    <w:rsid w:val="009F3BCC"/>
    <w:rsid w:val="009F4031"/>
    <w:rsid w:val="009F40BD"/>
    <w:rsid w:val="009F46F9"/>
    <w:rsid w:val="009F4FDE"/>
    <w:rsid w:val="009F5470"/>
    <w:rsid w:val="009F62DE"/>
    <w:rsid w:val="009F6A0E"/>
    <w:rsid w:val="009F79AE"/>
    <w:rsid w:val="00A0113F"/>
    <w:rsid w:val="00A030B6"/>
    <w:rsid w:val="00A045E7"/>
    <w:rsid w:val="00A04991"/>
    <w:rsid w:val="00A05701"/>
    <w:rsid w:val="00A06613"/>
    <w:rsid w:val="00A068CF"/>
    <w:rsid w:val="00A1060A"/>
    <w:rsid w:val="00A11289"/>
    <w:rsid w:val="00A11D00"/>
    <w:rsid w:val="00A126A2"/>
    <w:rsid w:val="00A12DA5"/>
    <w:rsid w:val="00A1327A"/>
    <w:rsid w:val="00A13374"/>
    <w:rsid w:val="00A14590"/>
    <w:rsid w:val="00A150E2"/>
    <w:rsid w:val="00A17ABF"/>
    <w:rsid w:val="00A17BEF"/>
    <w:rsid w:val="00A20ECA"/>
    <w:rsid w:val="00A218FC"/>
    <w:rsid w:val="00A2265C"/>
    <w:rsid w:val="00A23C4B"/>
    <w:rsid w:val="00A244AF"/>
    <w:rsid w:val="00A24BFF"/>
    <w:rsid w:val="00A2609A"/>
    <w:rsid w:val="00A2728B"/>
    <w:rsid w:val="00A27D5A"/>
    <w:rsid w:val="00A32109"/>
    <w:rsid w:val="00A32B8D"/>
    <w:rsid w:val="00A32BDA"/>
    <w:rsid w:val="00A32F71"/>
    <w:rsid w:val="00A3328E"/>
    <w:rsid w:val="00A34FBF"/>
    <w:rsid w:val="00A36509"/>
    <w:rsid w:val="00A41E22"/>
    <w:rsid w:val="00A41F2F"/>
    <w:rsid w:val="00A44D73"/>
    <w:rsid w:val="00A45DE6"/>
    <w:rsid w:val="00A464E4"/>
    <w:rsid w:val="00A464EE"/>
    <w:rsid w:val="00A465E6"/>
    <w:rsid w:val="00A46B6E"/>
    <w:rsid w:val="00A46CA5"/>
    <w:rsid w:val="00A51124"/>
    <w:rsid w:val="00A514B2"/>
    <w:rsid w:val="00A556C3"/>
    <w:rsid w:val="00A56090"/>
    <w:rsid w:val="00A57512"/>
    <w:rsid w:val="00A60869"/>
    <w:rsid w:val="00A6142C"/>
    <w:rsid w:val="00A61723"/>
    <w:rsid w:val="00A61D42"/>
    <w:rsid w:val="00A61E4C"/>
    <w:rsid w:val="00A63019"/>
    <w:rsid w:val="00A63E41"/>
    <w:rsid w:val="00A6496A"/>
    <w:rsid w:val="00A67C51"/>
    <w:rsid w:val="00A70295"/>
    <w:rsid w:val="00A71A47"/>
    <w:rsid w:val="00A71EF2"/>
    <w:rsid w:val="00A734F2"/>
    <w:rsid w:val="00A7367D"/>
    <w:rsid w:val="00A77EFD"/>
    <w:rsid w:val="00A80342"/>
    <w:rsid w:val="00A80EEF"/>
    <w:rsid w:val="00A818AF"/>
    <w:rsid w:val="00A8279C"/>
    <w:rsid w:val="00A827F9"/>
    <w:rsid w:val="00A84258"/>
    <w:rsid w:val="00A842F1"/>
    <w:rsid w:val="00A847A6"/>
    <w:rsid w:val="00A85559"/>
    <w:rsid w:val="00A85F55"/>
    <w:rsid w:val="00A860A7"/>
    <w:rsid w:val="00A87BA3"/>
    <w:rsid w:val="00A87C47"/>
    <w:rsid w:val="00A87CDF"/>
    <w:rsid w:val="00A9415F"/>
    <w:rsid w:val="00A94431"/>
    <w:rsid w:val="00A94711"/>
    <w:rsid w:val="00A95D25"/>
    <w:rsid w:val="00A96472"/>
    <w:rsid w:val="00A96B7F"/>
    <w:rsid w:val="00A97AE2"/>
    <w:rsid w:val="00AA0749"/>
    <w:rsid w:val="00AA0B7E"/>
    <w:rsid w:val="00AA0EDA"/>
    <w:rsid w:val="00AA1899"/>
    <w:rsid w:val="00AA2FAF"/>
    <w:rsid w:val="00AA457E"/>
    <w:rsid w:val="00AA5E21"/>
    <w:rsid w:val="00AA735D"/>
    <w:rsid w:val="00AA78E9"/>
    <w:rsid w:val="00AB0A98"/>
    <w:rsid w:val="00AB1B04"/>
    <w:rsid w:val="00AB1BCE"/>
    <w:rsid w:val="00AB1D29"/>
    <w:rsid w:val="00AB2280"/>
    <w:rsid w:val="00AB2FC8"/>
    <w:rsid w:val="00AB3259"/>
    <w:rsid w:val="00AB362A"/>
    <w:rsid w:val="00AB4C82"/>
    <w:rsid w:val="00AB57D8"/>
    <w:rsid w:val="00AB5E3F"/>
    <w:rsid w:val="00AB5EF5"/>
    <w:rsid w:val="00AB77ED"/>
    <w:rsid w:val="00AC0323"/>
    <w:rsid w:val="00AC28C9"/>
    <w:rsid w:val="00AC4521"/>
    <w:rsid w:val="00AC48D4"/>
    <w:rsid w:val="00AC64D0"/>
    <w:rsid w:val="00AC7E1A"/>
    <w:rsid w:val="00AD0040"/>
    <w:rsid w:val="00AD0262"/>
    <w:rsid w:val="00AD117D"/>
    <w:rsid w:val="00AD211A"/>
    <w:rsid w:val="00AD22F0"/>
    <w:rsid w:val="00AD37E5"/>
    <w:rsid w:val="00AD4729"/>
    <w:rsid w:val="00AD4B4B"/>
    <w:rsid w:val="00AD5186"/>
    <w:rsid w:val="00AD55BC"/>
    <w:rsid w:val="00AD585A"/>
    <w:rsid w:val="00AD59A4"/>
    <w:rsid w:val="00AD6958"/>
    <w:rsid w:val="00AD6995"/>
    <w:rsid w:val="00AD726C"/>
    <w:rsid w:val="00AD7817"/>
    <w:rsid w:val="00AE08DE"/>
    <w:rsid w:val="00AE09C4"/>
    <w:rsid w:val="00AE11DB"/>
    <w:rsid w:val="00AE1FF9"/>
    <w:rsid w:val="00AE372D"/>
    <w:rsid w:val="00AE3F8B"/>
    <w:rsid w:val="00AE4C79"/>
    <w:rsid w:val="00AE62BA"/>
    <w:rsid w:val="00AE72B5"/>
    <w:rsid w:val="00AF0237"/>
    <w:rsid w:val="00AF09D8"/>
    <w:rsid w:val="00AF0CAE"/>
    <w:rsid w:val="00AF2F9F"/>
    <w:rsid w:val="00AF3DB3"/>
    <w:rsid w:val="00AF4ABD"/>
    <w:rsid w:val="00AF6384"/>
    <w:rsid w:val="00AF7BBA"/>
    <w:rsid w:val="00B00BC3"/>
    <w:rsid w:val="00B01DFA"/>
    <w:rsid w:val="00B029E9"/>
    <w:rsid w:val="00B04801"/>
    <w:rsid w:val="00B04F45"/>
    <w:rsid w:val="00B068A5"/>
    <w:rsid w:val="00B070CD"/>
    <w:rsid w:val="00B07A81"/>
    <w:rsid w:val="00B11024"/>
    <w:rsid w:val="00B12702"/>
    <w:rsid w:val="00B1503F"/>
    <w:rsid w:val="00B16152"/>
    <w:rsid w:val="00B17E1E"/>
    <w:rsid w:val="00B20555"/>
    <w:rsid w:val="00B210C4"/>
    <w:rsid w:val="00B228AB"/>
    <w:rsid w:val="00B23D95"/>
    <w:rsid w:val="00B23F88"/>
    <w:rsid w:val="00B259B3"/>
    <w:rsid w:val="00B25FD8"/>
    <w:rsid w:val="00B30741"/>
    <w:rsid w:val="00B32272"/>
    <w:rsid w:val="00B3345E"/>
    <w:rsid w:val="00B33F57"/>
    <w:rsid w:val="00B34096"/>
    <w:rsid w:val="00B34D04"/>
    <w:rsid w:val="00B35368"/>
    <w:rsid w:val="00B37921"/>
    <w:rsid w:val="00B404DC"/>
    <w:rsid w:val="00B40ED3"/>
    <w:rsid w:val="00B41967"/>
    <w:rsid w:val="00B427D9"/>
    <w:rsid w:val="00B446CE"/>
    <w:rsid w:val="00B45C0C"/>
    <w:rsid w:val="00B46660"/>
    <w:rsid w:val="00B46BF4"/>
    <w:rsid w:val="00B47DC8"/>
    <w:rsid w:val="00B503BA"/>
    <w:rsid w:val="00B50891"/>
    <w:rsid w:val="00B52513"/>
    <w:rsid w:val="00B54F89"/>
    <w:rsid w:val="00B5581C"/>
    <w:rsid w:val="00B56E10"/>
    <w:rsid w:val="00B579E2"/>
    <w:rsid w:val="00B6017E"/>
    <w:rsid w:val="00B601B6"/>
    <w:rsid w:val="00B6076F"/>
    <w:rsid w:val="00B638BD"/>
    <w:rsid w:val="00B641E2"/>
    <w:rsid w:val="00B6575D"/>
    <w:rsid w:val="00B65F96"/>
    <w:rsid w:val="00B663F1"/>
    <w:rsid w:val="00B66A95"/>
    <w:rsid w:val="00B716E6"/>
    <w:rsid w:val="00B727CB"/>
    <w:rsid w:val="00B73910"/>
    <w:rsid w:val="00B81ABC"/>
    <w:rsid w:val="00B81BE7"/>
    <w:rsid w:val="00B82106"/>
    <w:rsid w:val="00B8282B"/>
    <w:rsid w:val="00B82E2C"/>
    <w:rsid w:val="00B83127"/>
    <w:rsid w:val="00B83B20"/>
    <w:rsid w:val="00B83C49"/>
    <w:rsid w:val="00B8513F"/>
    <w:rsid w:val="00B853ED"/>
    <w:rsid w:val="00B85C8E"/>
    <w:rsid w:val="00B9446C"/>
    <w:rsid w:val="00B94F16"/>
    <w:rsid w:val="00B95DC0"/>
    <w:rsid w:val="00B96011"/>
    <w:rsid w:val="00B96365"/>
    <w:rsid w:val="00B9787E"/>
    <w:rsid w:val="00BA0319"/>
    <w:rsid w:val="00BA138A"/>
    <w:rsid w:val="00BA27F7"/>
    <w:rsid w:val="00BA34DD"/>
    <w:rsid w:val="00BA40C0"/>
    <w:rsid w:val="00BA55EA"/>
    <w:rsid w:val="00BA74E1"/>
    <w:rsid w:val="00BA7D63"/>
    <w:rsid w:val="00BB07FD"/>
    <w:rsid w:val="00BB18A5"/>
    <w:rsid w:val="00BB27B8"/>
    <w:rsid w:val="00BB2C5E"/>
    <w:rsid w:val="00BB3914"/>
    <w:rsid w:val="00BB3CAB"/>
    <w:rsid w:val="00BB41B3"/>
    <w:rsid w:val="00BB4F61"/>
    <w:rsid w:val="00BB62C4"/>
    <w:rsid w:val="00BB70F7"/>
    <w:rsid w:val="00BB7263"/>
    <w:rsid w:val="00BC1A97"/>
    <w:rsid w:val="00BC2467"/>
    <w:rsid w:val="00BC39ED"/>
    <w:rsid w:val="00BC3AD0"/>
    <w:rsid w:val="00BC3AF1"/>
    <w:rsid w:val="00BC4AC8"/>
    <w:rsid w:val="00BC6FBE"/>
    <w:rsid w:val="00BC74E3"/>
    <w:rsid w:val="00BC7603"/>
    <w:rsid w:val="00BC787F"/>
    <w:rsid w:val="00BD0B1F"/>
    <w:rsid w:val="00BD0E98"/>
    <w:rsid w:val="00BD279A"/>
    <w:rsid w:val="00BD2DAE"/>
    <w:rsid w:val="00BD3840"/>
    <w:rsid w:val="00BD41C0"/>
    <w:rsid w:val="00BD4E03"/>
    <w:rsid w:val="00BD516C"/>
    <w:rsid w:val="00BD5CD6"/>
    <w:rsid w:val="00BD6ED5"/>
    <w:rsid w:val="00BD6FE0"/>
    <w:rsid w:val="00BD7A3F"/>
    <w:rsid w:val="00BE04EF"/>
    <w:rsid w:val="00BE0614"/>
    <w:rsid w:val="00BE0904"/>
    <w:rsid w:val="00BE15CC"/>
    <w:rsid w:val="00BE1EC4"/>
    <w:rsid w:val="00BE295D"/>
    <w:rsid w:val="00BE354E"/>
    <w:rsid w:val="00BE4EE3"/>
    <w:rsid w:val="00BE5408"/>
    <w:rsid w:val="00BE6DA6"/>
    <w:rsid w:val="00BE7A77"/>
    <w:rsid w:val="00BF31DF"/>
    <w:rsid w:val="00BF3662"/>
    <w:rsid w:val="00BF4551"/>
    <w:rsid w:val="00BF48F2"/>
    <w:rsid w:val="00BF57E4"/>
    <w:rsid w:val="00BF66FB"/>
    <w:rsid w:val="00BF759E"/>
    <w:rsid w:val="00C00711"/>
    <w:rsid w:val="00C0238E"/>
    <w:rsid w:val="00C05F76"/>
    <w:rsid w:val="00C1010F"/>
    <w:rsid w:val="00C101C1"/>
    <w:rsid w:val="00C112AA"/>
    <w:rsid w:val="00C12360"/>
    <w:rsid w:val="00C12666"/>
    <w:rsid w:val="00C15FCA"/>
    <w:rsid w:val="00C16673"/>
    <w:rsid w:val="00C176F4"/>
    <w:rsid w:val="00C21CC6"/>
    <w:rsid w:val="00C22003"/>
    <w:rsid w:val="00C2303B"/>
    <w:rsid w:val="00C23FA1"/>
    <w:rsid w:val="00C261C2"/>
    <w:rsid w:val="00C31844"/>
    <w:rsid w:val="00C33735"/>
    <w:rsid w:val="00C34777"/>
    <w:rsid w:val="00C34F4B"/>
    <w:rsid w:val="00C37584"/>
    <w:rsid w:val="00C408F8"/>
    <w:rsid w:val="00C40A39"/>
    <w:rsid w:val="00C41150"/>
    <w:rsid w:val="00C41361"/>
    <w:rsid w:val="00C41D54"/>
    <w:rsid w:val="00C4206F"/>
    <w:rsid w:val="00C430C0"/>
    <w:rsid w:val="00C44550"/>
    <w:rsid w:val="00C445BB"/>
    <w:rsid w:val="00C44F05"/>
    <w:rsid w:val="00C46127"/>
    <w:rsid w:val="00C46623"/>
    <w:rsid w:val="00C46EE7"/>
    <w:rsid w:val="00C50879"/>
    <w:rsid w:val="00C508B4"/>
    <w:rsid w:val="00C51AC5"/>
    <w:rsid w:val="00C51FCB"/>
    <w:rsid w:val="00C52D4D"/>
    <w:rsid w:val="00C542C1"/>
    <w:rsid w:val="00C56026"/>
    <w:rsid w:val="00C6001E"/>
    <w:rsid w:val="00C60767"/>
    <w:rsid w:val="00C63BD4"/>
    <w:rsid w:val="00C7051A"/>
    <w:rsid w:val="00C71431"/>
    <w:rsid w:val="00C718B7"/>
    <w:rsid w:val="00C71F5C"/>
    <w:rsid w:val="00C73FC4"/>
    <w:rsid w:val="00C746DB"/>
    <w:rsid w:val="00C753C5"/>
    <w:rsid w:val="00C76EBE"/>
    <w:rsid w:val="00C80766"/>
    <w:rsid w:val="00C812FE"/>
    <w:rsid w:val="00C814AE"/>
    <w:rsid w:val="00C82DE7"/>
    <w:rsid w:val="00C84503"/>
    <w:rsid w:val="00C84C44"/>
    <w:rsid w:val="00C85271"/>
    <w:rsid w:val="00C85838"/>
    <w:rsid w:val="00C8610E"/>
    <w:rsid w:val="00C863FD"/>
    <w:rsid w:val="00C86FA6"/>
    <w:rsid w:val="00C87714"/>
    <w:rsid w:val="00C87DC3"/>
    <w:rsid w:val="00C91A2B"/>
    <w:rsid w:val="00C925FB"/>
    <w:rsid w:val="00C93F20"/>
    <w:rsid w:val="00C941E5"/>
    <w:rsid w:val="00C947F9"/>
    <w:rsid w:val="00C95250"/>
    <w:rsid w:val="00C95459"/>
    <w:rsid w:val="00CA0DD1"/>
    <w:rsid w:val="00CA1789"/>
    <w:rsid w:val="00CA184F"/>
    <w:rsid w:val="00CA2E42"/>
    <w:rsid w:val="00CA392F"/>
    <w:rsid w:val="00CA42A9"/>
    <w:rsid w:val="00CA4629"/>
    <w:rsid w:val="00CA568E"/>
    <w:rsid w:val="00CA568F"/>
    <w:rsid w:val="00CA5736"/>
    <w:rsid w:val="00CA5897"/>
    <w:rsid w:val="00CB1F42"/>
    <w:rsid w:val="00CB2A44"/>
    <w:rsid w:val="00CB3091"/>
    <w:rsid w:val="00CB31C4"/>
    <w:rsid w:val="00CB5162"/>
    <w:rsid w:val="00CB6045"/>
    <w:rsid w:val="00CB61CC"/>
    <w:rsid w:val="00CB77E1"/>
    <w:rsid w:val="00CB7F42"/>
    <w:rsid w:val="00CC052A"/>
    <w:rsid w:val="00CC134B"/>
    <w:rsid w:val="00CC2F1B"/>
    <w:rsid w:val="00CC3929"/>
    <w:rsid w:val="00CC4D75"/>
    <w:rsid w:val="00CC4E7F"/>
    <w:rsid w:val="00CC548C"/>
    <w:rsid w:val="00CC6ACA"/>
    <w:rsid w:val="00CC7294"/>
    <w:rsid w:val="00CC7B43"/>
    <w:rsid w:val="00CC7C2B"/>
    <w:rsid w:val="00CD0630"/>
    <w:rsid w:val="00CD19F8"/>
    <w:rsid w:val="00CD28F0"/>
    <w:rsid w:val="00CD3F42"/>
    <w:rsid w:val="00CD4EC4"/>
    <w:rsid w:val="00CD4FFA"/>
    <w:rsid w:val="00CD551C"/>
    <w:rsid w:val="00CD61D6"/>
    <w:rsid w:val="00CD6519"/>
    <w:rsid w:val="00CD67D5"/>
    <w:rsid w:val="00CD68E8"/>
    <w:rsid w:val="00CE2874"/>
    <w:rsid w:val="00CE47CB"/>
    <w:rsid w:val="00CE6652"/>
    <w:rsid w:val="00CE732A"/>
    <w:rsid w:val="00CE7BEE"/>
    <w:rsid w:val="00CF09CB"/>
    <w:rsid w:val="00CF1DF7"/>
    <w:rsid w:val="00CF26A3"/>
    <w:rsid w:val="00CF3651"/>
    <w:rsid w:val="00CF5C80"/>
    <w:rsid w:val="00CF6BA2"/>
    <w:rsid w:val="00CF75EB"/>
    <w:rsid w:val="00D018FE"/>
    <w:rsid w:val="00D020C0"/>
    <w:rsid w:val="00D0506E"/>
    <w:rsid w:val="00D10F0E"/>
    <w:rsid w:val="00D116B0"/>
    <w:rsid w:val="00D116E7"/>
    <w:rsid w:val="00D12447"/>
    <w:rsid w:val="00D14692"/>
    <w:rsid w:val="00D16A64"/>
    <w:rsid w:val="00D179B5"/>
    <w:rsid w:val="00D210F0"/>
    <w:rsid w:val="00D21932"/>
    <w:rsid w:val="00D219E8"/>
    <w:rsid w:val="00D22FEF"/>
    <w:rsid w:val="00D235F8"/>
    <w:rsid w:val="00D23C25"/>
    <w:rsid w:val="00D24E7E"/>
    <w:rsid w:val="00D257EC"/>
    <w:rsid w:val="00D25ABE"/>
    <w:rsid w:val="00D25E9E"/>
    <w:rsid w:val="00D27308"/>
    <w:rsid w:val="00D3038D"/>
    <w:rsid w:val="00D30619"/>
    <w:rsid w:val="00D3356C"/>
    <w:rsid w:val="00D34539"/>
    <w:rsid w:val="00D34B1C"/>
    <w:rsid w:val="00D35230"/>
    <w:rsid w:val="00D407D8"/>
    <w:rsid w:val="00D40B5C"/>
    <w:rsid w:val="00D44BBA"/>
    <w:rsid w:val="00D46FEA"/>
    <w:rsid w:val="00D4787D"/>
    <w:rsid w:val="00D520DB"/>
    <w:rsid w:val="00D53621"/>
    <w:rsid w:val="00D5382C"/>
    <w:rsid w:val="00D54D42"/>
    <w:rsid w:val="00D55BBA"/>
    <w:rsid w:val="00D57769"/>
    <w:rsid w:val="00D60DCC"/>
    <w:rsid w:val="00D619B6"/>
    <w:rsid w:val="00D62205"/>
    <w:rsid w:val="00D632FF"/>
    <w:rsid w:val="00D6377C"/>
    <w:rsid w:val="00D637B2"/>
    <w:rsid w:val="00D63A57"/>
    <w:rsid w:val="00D642D6"/>
    <w:rsid w:val="00D64CDB"/>
    <w:rsid w:val="00D67B36"/>
    <w:rsid w:val="00D67C11"/>
    <w:rsid w:val="00D67FFE"/>
    <w:rsid w:val="00D70628"/>
    <w:rsid w:val="00D7553A"/>
    <w:rsid w:val="00D758C9"/>
    <w:rsid w:val="00D761C5"/>
    <w:rsid w:val="00D76284"/>
    <w:rsid w:val="00D77DC3"/>
    <w:rsid w:val="00D83CC6"/>
    <w:rsid w:val="00D87022"/>
    <w:rsid w:val="00D87312"/>
    <w:rsid w:val="00D91676"/>
    <w:rsid w:val="00D91DAD"/>
    <w:rsid w:val="00D93A2C"/>
    <w:rsid w:val="00D9409B"/>
    <w:rsid w:val="00D958F0"/>
    <w:rsid w:val="00D96544"/>
    <w:rsid w:val="00D97BA2"/>
    <w:rsid w:val="00D97C11"/>
    <w:rsid w:val="00DA2F57"/>
    <w:rsid w:val="00DA349C"/>
    <w:rsid w:val="00DA478D"/>
    <w:rsid w:val="00DA4A38"/>
    <w:rsid w:val="00DA7620"/>
    <w:rsid w:val="00DA7A0C"/>
    <w:rsid w:val="00DB1152"/>
    <w:rsid w:val="00DB1C36"/>
    <w:rsid w:val="00DB1D71"/>
    <w:rsid w:val="00DB2B63"/>
    <w:rsid w:val="00DB2E8D"/>
    <w:rsid w:val="00DB5609"/>
    <w:rsid w:val="00DB72D2"/>
    <w:rsid w:val="00DB7320"/>
    <w:rsid w:val="00DB7692"/>
    <w:rsid w:val="00DB7B04"/>
    <w:rsid w:val="00DC028B"/>
    <w:rsid w:val="00DC037D"/>
    <w:rsid w:val="00DC3CA3"/>
    <w:rsid w:val="00DC45A0"/>
    <w:rsid w:val="00DC5D61"/>
    <w:rsid w:val="00DC6AB6"/>
    <w:rsid w:val="00DC6B76"/>
    <w:rsid w:val="00DC7D4D"/>
    <w:rsid w:val="00DD2699"/>
    <w:rsid w:val="00DD2D30"/>
    <w:rsid w:val="00DD33C9"/>
    <w:rsid w:val="00DD36A6"/>
    <w:rsid w:val="00DD3AD3"/>
    <w:rsid w:val="00DD3DBA"/>
    <w:rsid w:val="00DD56C4"/>
    <w:rsid w:val="00DD5BF1"/>
    <w:rsid w:val="00DD5D10"/>
    <w:rsid w:val="00DE0B62"/>
    <w:rsid w:val="00DE1E9F"/>
    <w:rsid w:val="00DE3DFD"/>
    <w:rsid w:val="00DE671F"/>
    <w:rsid w:val="00DE6855"/>
    <w:rsid w:val="00DE7C42"/>
    <w:rsid w:val="00DF0444"/>
    <w:rsid w:val="00DF04F3"/>
    <w:rsid w:val="00DF0D14"/>
    <w:rsid w:val="00DF1770"/>
    <w:rsid w:val="00DF1D74"/>
    <w:rsid w:val="00DF5211"/>
    <w:rsid w:val="00DF553F"/>
    <w:rsid w:val="00DF5FEF"/>
    <w:rsid w:val="00DF747D"/>
    <w:rsid w:val="00E00147"/>
    <w:rsid w:val="00E00A35"/>
    <w:rsid w:val="00E01C94"/>
    <w:rsid w:val="00E02128"/>
    <w:rsid w:val="00E0421C"/>
    <w:rsid w:val="00E07AFC"/>
    <w:rsid w:val="00E10F01"/>
    <w:rsid w:val="00E10FB6"/>
    <w:rsid w:val="00E125DE"/>
    <w:rsid w:val="00E135BF"/>
    <w:rsid w:val="00E14E27"/>
    <w:rsid w:val="00E1603C"/>
    <w:rsid w:val="00E16535"/>
    <w:rsid w:val="00E1717C"/>
    <w:rsid w:val="00E175BE"/>
    <w:rsid w:val="00E21153"/>
    <w:rsid w:val="00E211B5"/>
    <w:rsid w:val="00E21439"/>
    <w:rsid w:val="00E21771"/>
    <w:rsid w:val="00E2196C"/>
    <w:rsid w:val="00E21D6B"/>
    <w:rsid w:val="00E22564"/>
    <w:rsid w:val="00E22B21"/>
    <w:rsid w:val="00E22B82"/>
    <w:rsid w:val="00E22E04"/>
    <w:rsid w:val="00E23B4D"/>
    <w:rsid w:val="00E26B31"/>
    <w:rsid w:val="00E27A51"/>
    <w:rsid w:val="00E304E8"/>
    <w:rsid w:val="00E306BC"/>
    <w:rsid w:val="00E31F4E"/>
    <w:rsid w:val="00E33B1B"/>
    <w:rsid w:val="00E3421A"/>
    <w:rsid w:val="00E34750"/>
    <w:rsid w:val="00E353EB"/>
    <w:rsid w:val="00E37A3F"/>
    <w:rsid w:val="00E408F5"/>
    <w:rsid w:val="00E439E7"/>
    <w:rsid w:val="00E43E17"/>
    <w:rsid w:val="00E4541D"/>
    <w:rsid w:val="00E4625D"/>
    <w:rsid w:val="00E4692B"/>
    <w:rsid w:val="00E478CD"/>
    <w:rsid w:val="00E47C0A"/>
    <w:rsid w:val="00E52434"/>
    <w:rsid w:val="00E52E61"/>
    <w:rsid w:val="00E52F0E"/>
    <w:rsid w:val="00E5375E"/>
    <w:rsid w:val="00E53AA7"/>
    <w:rsid w:val="00E53D89"/>
    <w:rsid w:val="00E5441C"/>
    <w:rsid w:val="00E54CFF"/>
    <w:rsid w:val="00E550AE"/>
    <w:rsid w:val="00E557DF"/>
    <w:rsid w:val="00E6259F"/>
    <w:rsid w:val="00E636F9"/>
    <w:rsid w:val="00E64BFC"/>
    <w:rsid w:val="00E651DD"/>
    <w:rsid w:val="00E65DED"/>
    <w:rsid w:val="00E67A45"/>
    <w:rsid w:val="00E67B74"/>
    <w:rsid w:val="00E712AE"/>
    <w:rsid w:val="00E74610"/>
    <w:rsid w:val="00E74992"/>
    <w:rsid w:val="00E755FE"/>
    <w:rsid w:val="00E76152"/>
    <w:rsid w:val="00E766C5"/>
    <w:rsid w:val="00E76C03"/>
    <w:rsid w:val="00E777F7"/>
    <w:rsid w:val="00E80EA3"/>
    <w:rsid w:val="00E81046"/>
    <w:rsid w:val="00E81454"/>
    <w:rsid w:val="00E831C6"/>
    <w:rsid w:val="00E84316"/>
    <w:rsid w:val="00E84C9D"/>
    <w:rsid w:val="00E85391"/>
    <w:rsid w:val="00E85C95"/>
    <w:rsid w:val="00E91CDD"/>
    <w:rsid w:val="00E91EAD"/>
    <w:rsid w:val="00E940F0"/>
    <w:rsid w:val="00E943BA"/>
    <w:rsid w:val="00E9448D"/>
    <w:rsid w:val="00E945A0"/>
    <w:rsid w:val="00E95BBC"/>
    <w:rsid w:val="00E96968"/>
    <w:rsid w:val="00EA05A8"/>
    <w:rsid w:val="00EA1599"/>
    <w:rsid w:val="00EA1BB2"/>
    <w:rsid w:val="00EA25D4"/>
    <w:rsid w:val="00EA2E26"/>
    <w:rsid w:val="00EA2EFD"/>
    <w:rsid w:val="00EA4188"/>
    <w:rsid w:val="00EA424C"/>
    <w:rsid w:val="00EA6363"/>
    <w:rsid w:val="00EA7A10"/>
    <w:rsid w:val="00EA7DEA"/>
    <w:rsid w:val="00EA7ECF"/>
    <w:rsid w:val="00EB085B"/>
    <w:rsid w:val="00EB09D0"/>
    <w:rsid w:val="00EB1C81"/>
    <w:rsid w:val="00EB2542"/>
    <w:rsid w:val="00EB2921"/>
    <w:rsid w:val="00EB4E2D"/>
    <w:rsid w:val="00EB6188"/>
    <w:rsid w:val="00EB6FF9"/>
    <w:rsid w:val="00EC0E10"/>
    <w:rsid w:val="00EC0F86"/>
    <w:rsid w:val="00EC0FBA"/>
    <w:rsid w:val="00EC32B2"/>
    <w:rsid w:val="00EC4066"/>
    <w:rsid w:val="00EC4E06"/>
    <w:rsid w:val="00EC5783"/>
    <w:rsid w:val="00EC7B95"/>
    <w:rsid w:val="00ED0222"/>
    <w:rsid w:val="00ED1F10"/>
    <w:rsid w:val="00ED257B"/>
    <w:rsid w:val="00ED350C"/>
    <w:rsid w:val="00ED6A9E"/>
    <w:rsid w:val="00EE04CC"/>
    <w:rsid w:val="00EE1275"/>
    <w:rsid w:val="00EE21E3"/>
    <w:rsid w:val="00EE2935"/>
    <w:rsid w:val="00EE2A86"/>
    <w:rsid w:val="00EE47AE"/>
    <w:rsid w:val="00EE68A4"/>
    <w:rsid w:val="00EE690F"/>
    <w:rsid w:val="00EF103E"/>
    <w:rsid w:val="00EF1387"/>
    <w:rsid w:val="00EF2436"/>
    <w:rsid w:val="00EF277D"/>
    <w:rsid w:val="00EF2C25"/>
    <w:rsid w:val="00EF2C7D"/>
    <w:rsid w:val="00EF44D2"/>
    <w:rsid w:val="00EF5B5C"/>
    <w:rsid w:val="00EF6648"/>
    <w:rsid w:val="00EF66F2"/>
    <w:rsid w:val="00EF69A7"/>
    <w:rsid w:val="00EF6E39"/>
    <w:rsid w:val="00EF7199"/>
    <w:rsid w:val="00F0129E"/>
    <w:rsid w:val="00F01DE0"/>
    <w:rsid w:val="00F04E11"/>
    <w:rsid w:val="00F060FD"/>
    <w:rsid w:val="00F07CD7"/>
    <w:rsid w:val="00F13E93"/>
    <w:rsid w:val="00F145C7"/>
    <w:rsid w:val="00F149DE"/>
    <w:rsid w:val="00F1674C"/>
    <w:rsid w:val="00F17672"/>
    <w:rsid w:val="00F1787C"/>
    <w:rsid w:val="00F20EDF"/>
    <w:rsid w:val="00F20EEC"/>
    <w:rsid w:val="00F2264D"/>
    <w:rsid w:val="00F233BB"/>
    <w:rsid w:val="00F24FF2"/>
    <w:rsid w:val="00F25CF6"/>
    <w:rsid w:val="00F26462"/>
    <w:rsid w:val="00F264D9"/>
    <w:rsid w:val="00F26798"/>
    <w:rsid w:val="00F26F1F"/>
    <w:rsid w:val="00F27A0E"/>
    <w:rsid w:val="00F319A0"/>
    <w:rsid w:val="00F373AC"/>
    <w:rsid w:val="00F3788C"/>
    <w:rsid w:val="00F4432C"/>
    <w:rsid w:val="00F4433A"/>
    <w:rsid w:val="00F4498E"/>
    <w:rsid w:val="00F44B52"/>
    <w:rsid w:val="00F45022"/>
    <w:rsid w:val="00F467F0"/>
    <w:rsid w:val="00F51D49"/>
    <w:rsid w:val="00F51F1A"/>
    <w:rsid w:val="00F532AD"/>
    <w:rsid w:val="00F5368A"/>
    <w:rsid w:val="00F565BE"/>
    <w:rsid w:val="00F56CB6"/>
    <w:rsid w:val="00F57D36"/>
    <w:rsid w:val="00F60144"/>
    <w:rsid w:val="00F604A0"/>
    <w:rsid w:val="00F608E4"/>
    <w:rsid w:val="00F61C70"/>
    <w:rsid w:val="00F6208A"/>
    <w:rsid w:val="00F638FF"/>
    <w:rsid w:val="00F65C43"/>
    <w:rsid w:val="00F661EB"/>
    <w:rsid w:val="00F66376"/>
    <w:rsid w:val="00F66DDF"/>
    <w:rsid w:val="00F67ED3"/>
    <w:rsid w:val="00F703B9"/>
    <w:rsid w:val="00F70B1C"/>
    <w:rsid w:val="00F746FF"/>
    <w:rsid w:val="00F759C0"/>
    <w:rsid w:val="00F7657F"/>
    <w:rsid w:val="00F766E8"/>
    <w:rsid w:val="00F76F9D"/>
    <w:rsid w:val="00F77630"/>
    <w:rsid w:val="00F8124C"/>
    <w:rsid w:val="00F8148F"/>
    <w:rsid w:val="00F814CB"/>
    <w:rsid w:val="00F8170E"/>
    <w:rsid w:val="00F82227"/>
    <w:rsid w:val="00F8232A"/>
    <w:rsid w:val="00F82978"/>
    <w:rsid w:val="00F8325D"/>
    <w:rsid w:val="00F835EA"/>
    <w:rsid w:val="00F83951"/>
    <w:rsid w:val="00F84200"/>
    <w:rsid w:val="00F842CD"/>
    <w:rsid w:val="00F84576"/>
    <w:rsid w:val="00F84813"/>
    <w:rsid w:val="00F85567"/>
    <w:rsid w:val="00F87624"/>
    <w:rsid w:val="00F87E74"/>
    <w:rsid w:val="00F91397"/>
    <w:rsid w:val="00F9302E"/>
    <w:rsid w:val="00F949C7"/>
    <w:rsid w:val="00F94DFA"/>
    <w:rsid w:val="00F96C22"/>
    <w:rsid w:val="00F97120"/>
    <w:rsid w:val="00FA024F"/>
    <w:rsid w:val="00FA148B"/>
    <w:rsid w:val="00FA2A46"/>
    <w:rsid w:val="00FA2C98"/>
    <w:rsid w:val="00FA2FEC"/>
    <w:rsid w:val="00FA3C0C"/>
    <w:rsid w:val="00FA4C91"/>
    <w:rsid w:val="00FA521C"/>
    <w:rsid w:val="00FA523B"/>
    <w:rsid w:val="00FA6D0B"/>
    <w:rsid w:val="00FA7F7F"/>
    <w:rsid w:val="00FB124E"/>
    <w:rsid w:val="00FB3193"/>
    <w:rsid w:val="00FB33FB"/>
    <w:rsid w:val="00FB3DD4"/>
    <w:rsid w:val="00FB4B8B"/>
    <w:rsid w:val="00FB5CEB"/>
    <w:rsid w:val="00FB6577"/>
    <w:rsid w:val="00FB7762"/>
    <w:rsid w:val="00FC0C9F"/>
    <w:rsid w:val="00FC47C3"/>
    <w:rsid w:val="00FC4A8B"/>
    <w:rsid w:val="00FC7352"/>
    <w:rsid w:val="00FC7607"/>
    <w:rsid w:val="00FD3491"/>
    <w:rsid w:val="00FD35FA"/>
    <w:rsid w:val="00FD4F1F"/>
    <w:rsid w:val="00FD5A70"/>
    <w:rsid w:val="00FD7D87"/>
    <w:rsid w:val="00FE0953"/>
    <w:rsid w:val="00FE3AC0"/>
    <w:rsid w:val="00FE3B58"/>
    <w:rsid w:val="00FE4C3A"/>
    <w:rsid w:val="00FE514B"/>
    <w:rsid w:val="00FE5CAA"/>
    <w:rsid w:val="00FE709C"/>
    <w:rsid w:val="00FF11EE"/>
    <w:rsid w:val="00FF14F6"/>
    <w:rsid w:val="00FF1F77"/>
    <w:rsid w:val="00FF2A92"/>
    <w:rsid w:val="00FF2EDF"/>
    <w:rsid w:val="00FF7067"/>
    <w:rsid w:val="00FF78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01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DC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77DC3"/>
    <w:rPr>
      <w:sz w:val="18"/>
      <w:szCs w:val="18"/>
    </w:rPr>
  </w:style>
  <w:style w:type="paragraph" w:styleId="CommentText">
    <w:name w:val="annotation text"/>
    <w:basedOn w:val="Normal"/>
    <w:link w:val="CommentTextChar"/>
    <w:unhideWhenUsed/>
    <w:rsid w:val="00D77DC3"/>
    <w:rPr>
      <w:rFonts w:ascii="Cambria" w:eastAsia="Times New Roman" w:hAnsi="Cambria"/>
      <w:sz w:val="20"/>
      <w:szCs w:val="20"/>
    </w:rPr>
  </w:style>
  <w:style w:type="character" w:customStyle="1" w:styleId="CommentTextChar">
    <w:name w:val="Comment Text Char"/>
    <w:link w:val="CommentText"/>
    <w:uiPriority w:val="99"/>
    <w:semiHidden/>
    <w:rsid w:val="00D77DC3"/>
    <w:rPr>
      <w:rFonts w:ascii="Cambria" w:eastAsia="Times New Roman" w:hAnsi="Cambria" w:cs="Times New Roman"/>
    </w:rPr>
  </w:style>
  <w:style w:type="paragraph" w:styleId="BalloonText">
    <w:name w:val="Balloon Text"/>
    <w:basedOn w:val="Normal"/>
    <w:link w:val="BalloonTextChar"/>
    <w:uiPriority w:val="99"/>
    <w:semiHidden/>
    <w:unhideWhenUsed/>
    <w:rsid w:val="00D77DC3"/>
    <w:rPr>
      <w:rFonts w:ascii="Lucida Grande" w:eastAsia="Times New Roman" w:hAnsi="Lucida Grande"/>
      <w:sz w:val="18"/>
      <w:szCs w:val="18"/>
    </w:rPr>
  </w:style>
  <w:style w:type="character" w:customStyle="1" w:styleId="BalloonTextChar">
    <w:name w:val="Balloon Text Char"/>
    <w:link w:val="BalloonText"/>
    <w:uiPriority w:val="99"/>
    <w:semiHidden/>
    <w:rsid w:val="00D77DC3"/>
    <w:rPr>
      <w:rFonts w:ascii="Lucida Grande" w:eastAsia="Times New Roman" w:hAnsi="Lucida Grande" w:cs="Lucida Grande"/>
      <w:sz w:val="18"/>
      <w:szCs w:val="18"/>
    </w:rPr>
  </w:style>
  <w:style w:type="paragraph" w:styleId="NormalWeb">
    <w:name w:val="Normal (Web)"/>
    <w:basedOn w:val="Normal"/>
    <w:uiPriority w:val="99"/>
    <w:rsid w:val="00975B3C"/>
    <w:pPr>
      <w:spacing w:before="100" w:beforeAutospacing="1" w:after="119"/>
    </w:pPr>
    <w:rPr>
      <w:rFonts w:eastAsia="SimSun"/>
      <w:lang w:eastAsia="zh-CN"/>
    </w:rPr>
  </w:style>
  <w:style w:type="paragraph" w:styleId="Footer">
    <w:name w:val="footer"/>
    <w:basedOn w:val="Normal"/>
    <w:link w:val="FooterChar"/>
    <w:uiPriority w:val="99"/>
    <w:unhideWhenUsed/>
    <w:rsid w:val="00175D34"/>
    <w:pPr>
      <w:tabs>
        <w:tab w:val="center" w:pos="4986"/>
        <w:tab w:val="right" w:pos="9972"/>
      </w:tabs>
    </w:pPr>
    <w:rPr>
      <w:rFonts w:ascii="Cambria" w:eastAsia="Times New Roman" w:hAnsi="Cambria"/>
      <w:sz w:val="20"/>
      <w:szCs w:val="20"/>
    </w:rPr>
  </w:style>
  <w:style w:type="character" w:customStyle="1" w:styleId="FooterChar">
    <w:name w:val="Footer Char"/>
    <w:link w:val="Footer"/>
    <w:uiPriority w:val="99"/>
    <w:rsid w:val="00175D34"/>
    <w:rPr>
      <w:rFonts w:ascii="Cambria" w:eastAsia="Times New Roman" w:hAnsi="Cambria" w:cs="Times New Roman"/>
    </w:rPr>
  </w:style>
  <w:style w:type="character" w:styleId="PageNumber">
    <w:name w:val="page number"/>
    <w:basedOn w:val="DefaultParagraphFont"/>
    <w:uiPriority w:val="99"/>
    <w:semiHidden/>
    <w:unhideWhenUsed/>
    <w:rsid w:val="00175D34"/>
  </w:style>
  <w:style w:type="paragraph" w:styleId="Caption">
    <w:name w:val="caption"/>
    <w:basedOn w:val="Normal"/>
    <w:next w:val="Normal"/>
    <w:uiPriority w:val="35"/>
    <w:unhideWhenUsed/>
    <w:qFormat/>
    <w:rsid w:val="00E33B1B"/>
    <w:pPr>
      <w:spacing w:after="200"/>
    </w:pPr>
    <w:rPr>
      <w:b/>
      <w:bCs/>
      <w:color w:val="4F81BD"/>
      <w:sz w:val="18"/>
      <w:szCs w:val="18"/>
    </w:rPr>
  </w:style>
  <w:style w:type="paragraph" w:styleId="NoSpacing">
    <w:name w:val="No Spacing"/>
    <w:uiPriority w:val="1"/>
    <w:qFormat/>
    <w:rsid w:val="003C7AF3"/>
    <w:pPr>
      <w:jc w:val="both"/>
    </w:pPr>
    <w:rPr>
      <w:rFonts w:ascii="Calibri" w:hAnsi="Calibri"/>
      <w:sz w:val="24"/>
      <w:szCs w:val="24"/>
    </w:rPr>
  </w:style>
  <w:style w:type="paragraph" w:styleId="ListParagraph">
    <w:name w:val="List Paragraph"/>
    <w:basedOn w:val="Normal"/>
    <w:uiPriority w:val="34"/>
    <w:qFormat/>
    <w:rsid w:val="003C7AF3"/>
    <w:pPr>
      <w:ind w:left="720"/>
      <w:contextualSpacing/>
    </w:pPr>
  </w:style>
  <w:style w:type="paragraph" w:styleId="CommentSubject">
    <w:name w:val="annotation subject"/>
    <w:basedOn w:val="CommentText"/>
    <w:next w:val="CommentText"/>
    <w:link w:val="CommentSubjectChar"/>
    <w:uiPriority w:val="99"/>
    <w:semiHidden/>
    <w:unhideWhenUsed/>
    <w:rsid w:val="003D00AB"/>
    <w:rPr>
      <w:b/>
      <w:bCs/>
    </w:rPr>
  </w:style>
  <w:style w:type="character" w:customStyle="1" w:styleId="CommentSubjectChar">
    <w:name w:val="Comment Subject Char"/>
    <w:link w:val="CommentSubject"/>
    <w:uiPriority w:val="99"/>
    <w:semiHidden/>
    <w:rsid w:val="003D00AB"/>
    <w:rPr>
      <w:rFonts w:ascii="Cambria" w:eastAsia="Times New Roman" w:hAnsi="Cambria" w:cs="Times New Roman"/>
      <w:b/>
      <w:bCs/>
      <w:sz w:val="20"/>
      <w:szCs w:val="20"/>
      <w:lang w:val="en-GB"/>
    </w:rPr>
  </w:style>
  <w:style w:type="character" w:styleId="PlaceholderText">
    <w:name w:val="Placeholder Text"/>
    <w:uiPriority w:val="99"/>
    <w:semiHidden/>
    <w:rsid w:val="00D35230"/>
    <w:rPr>
      <w:color w:val="808080"/>
    </w:rPr>
  </w:style>
  <w:style w:type="paragraph" w:styleId="FootnoteText">
    <w:name w:val="footnote text"/>
    <w:basedOn w:val="Normal"/>
    <w:link w:val="FootnoteTextChar"/>
    <w:uiPriority w:val="99"/>
    <w:unhideWhenUsed/>
    <w:rsid w:val="00BB62C4"/>
    <w:rPr>
      <w:sz w:val="20"/>
      <w:szCs w:val="20"/>
    </w:rPr>
  </w:style>
  <w:style w:type="character" w:customStyle="1" w:styleId="FootnoteTextChar">
    <w:name w:val="Footnote Text Char"/>
    <w:link w:val="FootnoteText"/>
    <w:uiPriority w:val="99"/>
    <w:rsid w:val="00BB62C4"/>
    <w:rPr>
      <w:sz w:val="20"/>
      <w:szCs w:val="20"/>
      <w:lang w:val="en-GB"/>
    </w:rPr>
  </w:style>
  <w:style w:type="character" w:styleId="FootnoteReference">
    <w:name w:val="footnote reference"/>
    <w:uiPriority w:val="99"/>
    <w:unhideWhenUsed/>
    <w:rsid w:val="00BB62C4"/>
    <w:rPr>
      <w:vertAlign w:val="superscript"/>
    </w:rPr>
  </w:style>
  <w:style w:type="paragraph" w:styleId="Revision">
    <w:name w:val="Revision"/>
    <w:hidden/>
    <w:uiPriority w:val="71"/>
    <w:rsid w:val="00610305"/>
    <w:rPr>
      <w:sz w:val="24"/>
      <w:szCs w:val="24"/>
      <w:lang w:val="en-GB"/>
    </w:rPr>
  </w:style>
  <w:style w:type="paragraph" w:styleId="Header">
    <w:name w:val="header"/>
    <w:basedOn w:val="Normal"/>
    <w:link w:val="HeaderChar"/>
    <w:uiPriority w:val="99"/>
    <w:unhideWhenUsed/>
    <w:rsid w:val="00EB6FF9"/>
    <w:pPr>
      <w:tabs>
        <w:tab w:val="center" w:pos="4513"/>
        <w:tab w:val="right" w:pos="9026"/>
      </w:tabs>
    </w:pPr>
  </w:style>
  <w:style w:type="character" w:customStyle="1" w:styleId="HeaderChar">
    <w:name w:val="Header Char"/>
    <w:basedOn w:val="DefaultParagraphFont"/>
    <w:link w:val="Header"/>
    <w:uiPriority w:val="99"/>
    <w:rsid w:val="00EB6FF9"/>
    <w:rPr>
      <w:sz w:val="24"/>
      <w:szCs w:val="24"/>
      <w:lang w:val="en-GB"/>
    </w:rPr>
  </w:style>
  <w:style w:type="character" w:styleId="Hyperlink">
    <w:name w:val="Hyperlink"/>
    <w:basedOn w:val="DefaultParagraphFont"/>
    <w:uiPriority w:val="99"/>
    <w:unhideWhenUsed/>
    <w:rsid w:val="00EB6FF9"/>
    <w:rPr>
      <w:color w:val="0000FF" w:themeColor="hyperlink"/>
      <w:u w:val="single"/>
    </w:rPr>
  </w:style>
  <w:style w:type="paragraph" w:styleId="DocumentMap">
    <w:name w:val="Document Map"/>
    <w:basedOn w:val="Normal"/>
    <w:link w:val="DocumentMapChar"/>
    <w:uiPriority w:val="99"/>
    <w:semiHidden/>
    <w:unhideWhenUsed/>
    <w:rsid w:val="00B04F45"/>
  </w:style>
  <w:style w:type="character" w:customStyle="1" w:styleId="DocumentMapChar">
    <w:name w:val="Document Map Char"/>
    <w:basedOn w:val="DefaultParagraphFont"/>
    <w:link w:val="DocumentMap"/>
    <w:uiPriority w:val="99"/>
    <w:semiHidden/>
    <w:rsid w:val="00B04F45"/>
    <w:rPr>
      <w:sz w:val="24"/>
      <w:szCs w:val="24"/>
      <w:lang w:val="en-GB"/>
    </w:rPr>
  </w:style>
  <w:style w:type="character" w:styleId="EndnoteReference">
    <w:name w:val="endnote reference"/>
    <w:basedOn w:val="DefaultParagraphFont"/>
    <w:uiPriority w:val="99"/>
    <w:semiHidden/>
    <w:unhideWhenUsed/>
    <w:rsid w:val="00232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3103">
      <w:bodyDiv w:val="1"/>
      <w:marLeft w:val="0"/>
      <w:marRight w:val="0"/>
      <w:marTop w:val="0"/>
      <w:marBottom w:val="0"/>
      <w:divBdr>
        <w:top w:val="none" w:sz="0" w:space="0" w:color="auto"/>
        <w:left w:val="none" w:sz="0" w:space="0" w:color="auto"/>
        <w:bottom w:val="none" w:sz="0" w:space="0" w:color="auto"/>
        <w:right w:val="none" w:sz="0" w:space="0" w:color="auto"/>
      </w:divBdr>
    </w:div>
    <w:div w:id="366373792">
      <w:bodyDiv w:val="1"/>
      <w:marLeft w:val="0"/>
      <w:marRight w:val="0"/>
      <w:marTop w:val="0"/>
      <w:marBottom w:val="0"/>
      <w:divBdr>
        <w:top w:val="none" w:sz="0" w:space="0" w:color="auto"/>
        <w:left w:val="none" w:sz="0" w:space="0" w:color="auto"/>
        <w:bottom w:val="none" w:sz="0" w:space="0" w:color="auto"/>
        <w:right w:val="none" w:sz="0" w:space="0" w:color="auto"/>
      </w:divBdr>
    </w:div>
    <w:div w:id="517089335">
      <w:bodyDiv w:val="1"/>
      <w:marLeft w:val="0"/>
      <w:marRight w:val="0"/>
      <w:marTop w:val="0"/>
      <w:marBottom w:val="0"/>
      <w:divBdr>
        <w:top w:val="none" w:sz="0" w:space="0" w:color="auto"/>
        <w:left w:val="none" w:sz="0" w:space="0" w:color="auto"/>
        <w:bottom w:val="none" w:sz="0" w:space="0" w:color="auto"/>
        <w:right w:val="none" w:sz="0" w:space="0" w:color="auto"/>
      </w:divBdr>
    </w:div>
    <w:div w:id="605188207">
      <w:bodyDiv w:val="1"/>
      <w:marLeft w:val="0"/>
      <w:marRight w:val="0"/>
      <w:marTop w:val="0"/>
      <w:marBottom w:val="0"/>
      <w:divBdr>
        <w:top w:val="none" w:sz="0" w:space="0" w:color="auto"/>
        <w:left w:val="none" w:sz="0" w:space="0" w:color="auto"/>
        <w:bottom w:val="none" w:sz="0" w:space="0" w:color="auto"/>
        <w:right w:val="none" w:sz="0" w:space="0" w:color="auto"/>
      </w:divBdr>
    </w:div>
    <w:div w:id="879515525">
      <w:bodyDiv w:val="1"/>
      <w:marLeft w:val="0"/>
      <w:marRight w:val="0"/>
      <w:marTop w:val="0"/>
      <w:marBottom w:val="0"/>
      <w:divBdr>
        <w:top w:val="none" w:sz="0" w:space="0" w:color="auto"/>
        <w:left w:val="none" w:sz="0" w:space="0" w:color="auto"/>
        <w:bottom w:val="none" w:sz="0" w:space="0" w:color="auto"/>
        <w:right w:val="none" w:sz="0" w:space="0" w:color="auto"/>
      </w:divBdr>
    </w:div>
    <w:div w:id="896428747">
      <w:bodyDiv w:val="1"/>
      <w:marLeft w:val="0"/>
      <w:marRight w:val="0"/>
      <w:marTop w:val="0"/>
      <w:marBottom w:val="0"/>
      <w:divBdr>
        <w:top w:val="none" w:sz="0" w:space="0" w:color="auto"/>
        <w:left w:val="none" w:sz="0" w:space="0" w:color="auto"/>
        <w:bottom w:val="none" w:sz="0" w:space="0" w:color="auto"/>
        <w:right w:val="none" w:sz="0" w:space="0" w:color="auto"/>
      </w:divBdr>
    </w:div>
    <w:div w:id="913587025">
      <w:bodyDiv w:val="1"/>
      <w:marLeft w:val="0"/>
      <w:marRight w:val="0"/>
      <w:marTop w:val="0"/>
      <w:marBottom w:val="0"/>
      <w:divBdr>
        <w:top w:val="none" w:sz="0" w:space="0" w:color="auto"/>
        <w:left w:val="none" w:sz="0" w:space="0" w:color="auto"/>
        <w:bottom w:val="none" w:sz="0" w:space="0" w:color="auto"/>
        <w:right w:val="none" w:sz="0" w:space="0" w:color="auto"/>
      </w:divBdr>
    </w:div>
    <w:div w:id="1168986733">
      <w:bodyDiv w:val="1"/>
      <w:marLeft w:val="0"/>
      <w:marRight w:val="0"/>
      <w:marTop w:val="0"/>
      <w:marBottom w:val="0"/>
      <w:divBdr>
        <w:top w:val="none" w:sz="0" w:space="0" w:color="auto"/>
        <w:left w:val="none" w:sz="0" w:space="0" w:color="auto"/>
        <w:bottom w:val="none" w:sz="0" w:space="0" w:color="auto"/>
        <w:right w:val="none" w:sz="0" w:space="0" w:color="auto"/>
      </w:divBdr>
    </w:div>
    <w:div w:id="1188568878">
      <w:bodyDiv w:val="1"/>
      <w:marLeft w:val="0"/>
      <w:marRight w:val="0"/>
      <w:marTop w:val="0"/>
      <w:marBottom w:val="0"/>
      <w:divBdr>
        <w:top w:val="none" w:sz="0" w:space="0" w:color="auto"/>
        <w:left w:val="none" w:sz="0" w:space="0" w:color="auto"/>
        <w:bottom w:val="none" w:sz="0" w:space="0" w:color="auto"/>
        <w:right w:val="none" w:sz="0" w:space="0" w:color="auto"/>
      </w:divBdr>
      <w:divsChild>
        <w:div w:id="385760185">
          <w:marLeft w:val="0"/>
          <w:marRight w:val="0"/>
          <w:marTop w:val="0"/>
          <w:marBottom w:val="0"/>
          <w:divBdr>
            <w:top w:val="none" w:sz="0" w:space="0" w:color="auto"/>
            <w:left w:val="none" w:sz="0" w:space="0" w:color="auto"/>
            <w:bottom w:val="none" w:sz="0" w:space="0" w:color="auto"/>
            <w:right w:val="none" w:sz="0" w:space="0" w:color="auto"/>
          </w:divBdr>
        </w:div>
        <w:div w:id="1000083269">
          <w:marLeft w:val="0"/>
          <w:marRight w:val="0"/>
          <w:marTop w:val="0"/>
          <w:marBottom w:val="0"/>
          <w:divBdr>
            <w:top w:val="none" w:sz="0" w:space="0" w:color="auto"/>
            <w:left w:val="none" w:sz="0" w:space="0" w:color="auto"/>
            <w:bottom w:val="none" w:sz="0" w:space="0" w:color="auto"/>
            <w:right w:val="none" w:sz="0" w:space="0" w:color="auto"/>
          </w:divBdr>
        </w:div>
        <w:div w:id="1689521419">
          <w:marLeft w:val="0"/>
          <w:marRight w:val="0"/>
          <w:marTop w:val="0"/>
          <w:marBottom w:val="0"/>
          <w:divBdr>
            <w:top w:val="none" w:sz="0" w:space="0" w:color="auto"/>
            <w:left w:val="none" w:sz="0" w:space="0" w:color="auto"/>
            <w:bottom w:val="none" w:sz="0" w:space="0" w:color="auto"/>
            <w:right w:val="none" w:sz="0" w:space="0" w:color="auto"/>
          </w:divBdr>
          <w:divsChild>
            <w:div w:id="1183402633">
              <w:marLeft w:val="0"/>
              <w:marRight w:val="0"/>
              <w:marTop w:val="0"/>
              <w:marBottom w:val="0"/>
              <w:divBdr>
                <w:top w:val="none" w:sz="0" w:space="0" w:color="auto"/>
                <w:left w:val="none" w:sz="0" w:space="0" w:color="auto"/>
                <w:bottom w:val="none" w:sz="0" w:space="0" w:color="auto"/>
                <w:right w:val="none" w:sz="0" w:space="0" w:color="auto"/>
              </w:divBdr>
              <w:divsChild>
                <w:div w:id="140658042">
                  <w:marLeft w:val="0"/>
                  <w:marRight w:val="0"/>
                  <w:marTop w:val="0"/>
                  <w:marBottom w:val="0"/>
                  <w:divBdr>
                    <w:top w:val="none" w:sz="0" w:space="0" w:color="auto"/>
                    <w:left w:val="none" w:sz="0" w:space="0" w:color="auto"/>
                    <w:bottom w:val="none" w:sz="0" w:space="0" w:color="auto"/>
                    <w:right w:val="none" w:sz="0" w:space="0" w:color="auto"/>
                  </w:divBdr>
                  <w:divsChild>
                    <w:div w:id="2095275609">
                      <w:marLeft w:val="0"/>
                      <w:marRight w:val="0"/>
                      <w:marTop w:val="0"/>
                      <w:marBottom w:val="0"/>
                      <w:divBdr>
                        <w:top w:val="none" w:sz="0" w:space="0" w:color="auto"/>
                        <w:left w:val="none" w:sz="0" w:space="0" w:color="auto"/>
                        <w:bottom w:val="none" w:sz="0" w:space="0" w:color="auto"/>
                        <w:right w:val="none" w:sz="0" w:space="0" w:color="auto"/>
                      </w:divBdr>
                      <w:divsChild>
                        <w:div w:id="1220482327">
                          <w:marLeft w:val="0"/>
                          <w:marRight w:val="0"/>
                          <w:marTop w:val="0"/>
                          <w:marBottom w:val="0"/>
                          <w:divBdr>
                            <w:top w:val="none" w:sz="0" w:space="0" w:color="auto"/>
                            <w:left w:val="none" w:sz="0" w:space="0" w:color="auto"/>
                            <w:bottom w:val="none" w:sz="0" w:space="0" w:color="auto"/>
                            <w:right w:val="none" w:sz="0" w:space="0" w:color="auto"/>
                          </w:divBdr>
                          <w:divsChild>
                            <w:div w:id="151216710">
                              <w:marLeft w:val="0"/>
                              <w:marRight w:val="0"/>
                              <w:marTop w:val="0"/>
                              <w:marBottom w:val="0"/>
                              <w:divBdr>
                                <w:top w:val="none" w:sz="0" w:space="0" w:color="auto"/>
                                <w:left w:val="none" w:sz="0" w:space="0" w:color="auto"/>
                                <w:bottom w:val="none" w:sz="0" w:space="0" w:color="auto"/>
                                <w:right w:val="none" w:sz="0" w:space="0" w:color="auto"/>
                              </w:divBdr>
                              <w:divsChild>
                                <w:div w:id="1483541716">
                                  <w:marLeft w:val="0"/>
                                  <w:marRight w:val="0"/>
                                  <w:marTop w:val="0"/>
                                  <w:marBottom w:val="0"/>
                                  <w:divBdr>
                                    <w:top w:val="none" w:sz="0" w:space="0" w:color="auto"/>
                                    <w:left w:val="none" w:sz="0" w:space="0" w:color="auto"/>
                                    <w:bottom w:val="none" w:sz="0" w:space="0" w:color="auto"/>
                                    <w:right w:val="none" w:sz="0" w:space="0" w:color="auto"/>
                                  </w:divBdr>
                                  <w:divsChild>
                                    <w:div w:id="2080515033">
                                      <w:marLeft w:val="0"/>
                                      <w:marRight w:val="0"/>
                                      <w:marTop w:val="0"/>
                                      <w:marBottom w:val="0"/>
                                      <w:divBdr>
                                        <w:top w:val="none" w:sz="0" w:space="0" w:color="auto"/>
                                        <w:left w:val="none" w:sz="0" w:space="0" w:color="auto"/>
                                        <w:bottom w:val="none" w:sz="0" w:space="0" w:color="auto"/>
                                        <w:right w:val="none" w:sz="0" w:space="0" w:color="auto"/>
                                      </w:divBdr>
                                      <w:divsChild>
                                        <w:div w:id="481117012">
                                          <w:marLeft w:val="0"/>
                                          <w:marRight w:val="0"/>
                                          <w:marTop w:val="0"/>
                                          <w:marBottom w:val="0"/>
                                          <w:divBdr>
                                            <w:top w:val="none" w:sz="0" w:space="0" w:color="auto"/>
                                            <w:left w:val="none" w:sz="0" w:space="0" w:color="auto"/>
                                            <w:bottom w:val="none" w:sz="0" w:space="0" w:color="auto"/>
                                            <w:right w:val="none" w:sz="0" w:space="0" w:color="auto"/>
                                          </w:divBdr>
                                          <w:divsChild>
                                            <w:div w:id="1923561263">
                                              <w:marLeft w:val="0"/>
                                              <w:marRight w:val="0"/>
                                              <w:marTop w:val="0"/>
                                              <w:marBottom w:val="0"/>
                                              <w:divBdr>
                                                <w:top w:val="none" w:sz="0" w:space="0" w:color="auto"/>
                                                <w:left w:val="none" w:sz="0" w:space="0" w:color="auto"/>
                                                <w:bottom w:val="none" w:sz="0" w:space="0" w:color="auto"/>
                                                <w:right w:val="none" w:sz="0" w:space="0" w:color="auto"/>
                                              </w:divBdr>
                                              <w:divsChild>
                                                <w:div w:id="637106030">
                                                  <w:marLeft w:val="0"/>
                                                  <w:marRight w:val="0"/>
                                                  <w:marTop w:val="0"/>
                                                  <w:marBottom w:val="0"/>
                                                  <w:divBdr>
                                                    <w:top w:val="none" w:sz="0" w:space="0" w:color="auto"/>
                                                    <w:left w:val="none" w:sz="0" w:space="0" w:color="auto"/>
                                                    <w:bottom w:val="none" w:sz="0" w:space="0" w:color="auto"/>
                                                    <w:right w:val="none" w:sz="0" w:space="0" w:color="auto"/>
                                                  </w:divBdr>
                                                  <w:divsChild>
                                                    <w:div w:id="1807236438">
                                                      <w:marLeft w:val="0"/>
                                                      <w:marRight w:val="0"/>
                                                      <w:marTop w:val="0"/>
                                                      <w:marBottom w:val="0"/>
                                                      <w:divBdr>
                                                        <w:top w:val="none" w:sz="0" w:space="0" w:color="auto"/>
                                                        <w:left w:val="none" w:sz="0" w:space="0" w:color="auto"/>
                                                        <w:bottom w:val="none" w:sz="0" w:space="0" w:color="auto"/>
                                                        <w:right w:val="none" w:sz="0" w:space="0" w:color="auto"/>
                                                      </w:divBdr>
                                                      <w:divsChild>
                                                        <w:div w:id="1380085338">
                                                          <w:marLeft w:val="0"/>
                                                          <w:marRight w:val="0"/>
                                                          <w:marTop w:val="0"/>
                                                          <w:marBottom w:val="0"/>
                                                          <w:divBdr>
                                                            <w:top w:val="none" w:sz="0" w:space="0" w:color="auto"/>
                                                            <w:left w:val="none" w:sz="0" w:space="0" w:color="auto"/>
                                                            <w:bottom w:val="none" w:sz="0" w:space="0" w:color="auto"/>
                                                            <w:right w:val="none" w:sz="0" w:space="0" w:color="auto"/>
                                                          </w:divBdr>
                                                          <w:divsChild>
                                                            <w:div w:id="1659069478">
                                                              <w:marLeft w:val="0"/>
                                                              <w:marRight w:val="0"/>
                                                              <w:marTop w:val="0"/>
                                                              <w:marBottom w:val="0"/>
                                                              <w:divBdr>
                                                                <w:top w:val="none" w:sz="0" w:space="0" w:color="auto"/>
                                                                <w:left w:val="none" w:sz="0" w:space="0" w:color="auto"/>
                                                                <w:bottom w:val="none" w:sz="0" w:space="0" w:color="auto"/>
                                                                <w:right w:val="none" w:sz="0" w:space="0" w:color="auto"/>
                                                              </w:divBdr>
                                                              <w:divsChild>
                                                                <w:div w:id="1268387558">
                                                                  <w:marLeft w:val="0"/>
                                                                  <w:marRight w:val="0"/>
                                                                  <w:marTop w:val="0"/>
                                                                  <w:marBottom w:val="0"/>
                                                                  <w:divBdr>
                                                                    <w:top w:val="none" w:sz="0" w:space="0" w:color="auto"/>
                                                                    <w:left w:val="none" w:sz="0" w:space="0" w:color="auto"/>
                                                                    <w:bottom w:val="none" w:sz="0" w:space="0" w:color="auto"/>
                                                                    <w:right w:val="none" w:sz="0" w:space="0" w:color="auto"/>
                                                                  </w:divBdr>
                                                                  <w:divsChild>
                                                                    <w:div w:id="1010109758">
                                                                      <w:marLeft w:val="0"/>
                                                                      <w:marRight w:val="0"/>
                                                                      <w:marTop w:val="0"/>
                                                                      <w:marBottom w:val="0"/>
                                                                      <w:divBdr>
                                                                        <w:top w:val="none" w:sz="0" w:space="0" w:color="auto"/>
                                                                        <w:left w:val="none" w:sz="0" w:space="0" w:color="auto"/>
                                                                        <w:bottom w:val="none" w:sz="0" w:space="0" w:color="auto"/>
                                                                        <w:right w:val="none" w:sz="0" w:space="0" w:color="auto"/>
                                                                      </w:divBdr>
                                                                      <w:divsChild>
                                                                        <w:div w:id="1338926576">
                                                                          <w:marLeft w:val="0"/>
                                                                          <w:marRight w:val="0"/>
                                                                          <w:marTop w:val="0"/>
                                                                          <w:marBottom w:val="0"/>
                                                                          <w:divBdr>
                                                                            <w:top w:val="none" w:sz="0" w:space="0" w:color="auto"/>
                                                                            <w:left w:val="none" w:sz="0" w:space="0" w:color="auto"/>
                                                                            <w:bottom w:val="none" w:sz="0" w:space="0" w:color="auto"/>
                                                                            <w:right w:val="none" w:sz="0" w:space="0" w:color="auto"/>
                                                                          </w:divBdr>
                                                                          <w:divsChild>
                                                                            <w:div w:id="626543967">
                                                                              <w:marLeft w:val="0"/>
                                                                              <w:marRight w:val="0"/>
                                                                              <w:marTop w:val="0"/>
                                                                              <w:marBottom w:val="0"/>
                                                                              <w:divBdr>
                                                                                <w:top w:val="none" w:sz="0" w:space="0" w:color="auto"/>
                                                                                <w:left w:val="none" w:sz="0" w:space="0" w:color="auto"/>
                                                                                <w:bottom w:val="none" w:sz="0" w:space="0" w:color="auto"/>
                                                                                <w:right w:val="none" w:sz="0" w:space="0" w:color="auto"/>
                                                                              </w:divBdr>
                                                                              <w:divsChild>
                                                                                <w:div w:id="1828278008">
                                                                                  <w:marLeft w:val="0"/>
                                                                                  <w:marRight w:val="0"/>
                                                                                  <w:marTop w:val="0"/>
                                                                                  <w:marBottom w:val="0"/>
                                                                                  <w:divBdr>
                                                                                    <w:top w:val="none" w:sz="0" w:space="0" w:color="auto"/>
                                                                                    <w:left w:val="none" w:sz="0" w:space="0" w:color="auto"/>
                                                                                    <w:bottom w:val="none" w:sz="0" w:space="0" w:color="auto"/>
                                                                                    <w:right w:val="none" w:sz="0" w:space="0" w:color="auto"/>
                                                                                  </w:divBdr>
                                                                                  <w:divsChild>
                                                                                    <w:div w:id="816803898">
                                                                                      <w:marLeft w:val="0"/>
                                                                                      <w:marRight w:val="0"/>
                                                                                      <w:marTop w:val="0"/>
                                                                                      <w:marBottom w:val="0"/>
                                                                                      <w:divBdr>
                                                                                        <w:top w:val="none" w:sz="0" w:space="0" w:color="auto"/>
                                                                                        <w:left w:val="none" w:sz="0" w:space="0" w:color="auto"/>
                                                                                        <w:bottom w:val="none" w:sz="0" w:space="0" w:color="auto"/>
                                                                                        <w:right w:val="none" w:sz="0" w:space="0" w:color="auto"/>
                                                                                      </w:divBdr>
                                                                                      <w:divsChild>
                                                                                        <w:div w:id="428934105">
                                                                                          <w:marLeft w:val="0"/>
                                                                                          <w:marRight w:val="0"/>
                                                                                          <w:marTop w:val="0"/>
                                                                                          <w:marBottom w:val="0"/>
                                                                                          <w:divBdr>
                                                                                            <w:top w:val="none" w:sz="0" w:space="0" w:color="auto"/>
                                                                                            <w:left w:val="none" w:sz="0" w:space="0" w:color="auto"/>
                                                                                            <w:bottom w:val="none" w:sz="0" w:space="0" w:color="auto"/>
                                                                                            <w:right w:val="none" w:sz="0" w:space="0" w:color="auto"/>
                                                                                          </w:divBdr>
                                                                                          <w:divsChild>
                                                                                            <w:div w:id="622855359">
                                                                                              <w:marLeft w:val="0"/>
                                                                                              <w:marRight w:val="0"/>
                                                                                              <w:marTop w:val="0"/>
                                                                                              <w:marBottom w:val="0"/>
                                                                                              <w:divBdr>
                                                                                                <w:top w:val="none" w:sz="0" w:space="0" w:color="auto"/>
                                                                                                <w:left w:val="none" w:sz="0" w:space="0" w:color="auto"/>
                                                                                                <w:bottom w:val="none" w:sz="0" w:space="0" w:color="auto"/>
                                                                                                <w:right w:val="none" w:sz="0" w:space="0" w:color="auto"/>
                                                                                              </w:divBdr>
                                                                                              <w:divsChild>
                                                                                                <w:div w:id="53358681">
                                                                                                  <w:marLeft w:val="0"/>
                                                                                                  <w:marRight w:val="0"/>
                                                                                                  <w:marTop w:val="0"/>
                                                                                                  <w:marBottom w:val="0"/>
                                                                                                  <w:divBdr>
                                                                                                    <w:top w:val="none" w:sz="0" w:space="0" w:color="auto"/>
                                                                                                    <w:left w:val="none" w:sz="0" w:space="0" w:color="auto"/>
                                                                                                    <w:bottom w:val="none" w:sz="0" w:space="0" w:color="auto"/>
                                                                                                    <w:right w:val="none" w:sz="0" w:space="0" w:color="auto"/>
                                                                                                  </w:divBdr>
                                                                                                  <w:divsChild>
                                                                                                    <w:div w:id="836729826">
                                                                                                      <w:marLeft w:val="0"/>
                                                                                                      <w:marRight w:val="0"/>
                                                                                                      <w:marTop w:val="0"/>
                                                                                                      <w:marBottom w:val="0"/>
                                                                                                      <w:divBdr>
                                                                                                        <w:top w:val="none" w:sz="0" w:space="0" w:color="auto"/>
                                                                                                        <w:left w:val="none" w:sz="0" w:space="0" w:color="auto"/>
                                                                                                        <w:bottom w:val="none" w:sz="0" w:space="0" w:color="auto"/>
                                                                                                        <w:right w:val="none" w:sz="0" w:space="0" w:color="auto"/>
                                                                                                      </w:divBdr>
                                                                                                      <w:divsChild>
                                                                                                        <w:div w:id="1173061277">
                                                                                                          <w:marLeft w:val="0"/>
                                                                                                          <w:marRight w:val="0"/>
                                                                                                          <w:marTop w:val="0"/>
                                                                                                          <w:marBottom w:val="0"/>
                                                                                                          <w:divBdr>
                                                                                                            <w:top w:val="none" w:sz="0" w:space="0" w:color="auto"/>
                                                                                                            <w:left w:val="none" w:sz="0" w:space="0" w:color="auto"/>
                                                                                                            <w:bottom w:val="none" w:sz="0" w:space="0" w:color="auto"/>
                                                                                                            <w:right w:val="none" w:sz="0" w:space="0" w:color="auto"/>
                                                                                                          </w:divBdr>
                                                                                                          <w:divsChild>
                                                                                                            <w:div w:id="2063138882">
                                                                                                              <w:marLeft w:val="0"/>
                                                                                                              <w:marRight w:val="0"/>
                                                                                                              <w:marTop w:val="0"/>
                                                                                                              <w:marBottom w:val="0"/>
                                                                                                              <w:divBdr>
                                                                                                                <w:top w:val="none" w:sz="0" w:space="0" w:color="auto"/>
                                                                                                                <w:left w:val="none" w:sz="0" w:space="0" w:color="auto"/>
                                                                                                                <w:bottom w:val="none" w:sz="0" w:space="0" w:color="auto"/>
                                                                                                                <w:right w:val="none" w:sz="0" w:space="0" w:color="auto"/>
                                                                                                              </w:divBdr>
                                                                                                              <w:divsChild>
                                                                                                                <w:div w:id="757098845">
                                                                                                                  <w:marLeft w:val="0"/>
                                                                                                                  <w:marRight w:val="0"/>
                                                                                                                  <w:marTop w:val="0"/>
                                                                                                                  <w:marBottom w:val="0"/>
                                                                                                                  <w:divBdr>
                                                                                                                    <w:top w:val="none" w:sz="0" w:space="0" w:color="auto"/>
                                                                                                                    <w:left w:val="none" w:sz="0" w:space="0" w:color="auto"/>
                                                                                                                    <w:bottom w:val="none" w:sz="0" w:space="0" w:color="auto"/>
                                                                                                                    <w:right w:val="none" w:sz="0" w:space="0" w:color="auto"/>
                                                                                                                  </w:divBdr>
                                                                                                                  <w:divsChild>
                                                                                                                    <w:div w:id="1904683672">
                                                                                                                      <w:marLeft w:val="0"/>
                                                                                                                      <w:marRight w:val="0"/>
                                                                                                                      <w:marTop w:val="0"/>
                                                                                                                      <w:marBottom w:val="0"/>
                                                                                                                      <w:divBdr>
                                                                                                                        <w:top w:val="none" w:sz="0" w:space="0" w:color="auto"/>
                                                                                                                        <w:left w:val="none" w:sz="0" w:space="0" w:color="auto"/>
                                                                                                                        <w:bottom w:val="none" w:sz="0" w:space="0" w:color="auto"/>
                                                                                                                        <w:right w:val="none" w:sz="0" w:space="0" w:color="auto"/>
                                                                                                                      </w:divBdr>
                                                                                                                      <w:divsChild>
                                                                                                                        <w:div w:id="2041394231">
                                                                                                                          <w:marLeft w:val="0"/>
                                                                                                                          <w:marRight w:val="0"/>
                                                                                                                          <w:marTop w:val="0"/>
                                                                                                                          <w:marBottom w:val="0"/>
                                                                                                                          <w:divBdr>
                                                                                                                            <w:top w:val="none" w:sz="0" w:space="0" w:color="auto"/>
                                                                                                                            <w:left w:val="none" w:sz="0" w:space="0" w:color="auto"/>
                                                                                                                            <w:bottom w:val="none" w:sz="0" w:space="0" w:color="auto"/>
                                                                                                                            <w:right w:val="none" w:sz="0" w:space="0" w:color="auto"/>
                                                                                                                          </w:divBdr>
                                                                                                                          <w:divsChild>
                                                                                                                            <w:div w:id="1745227435">
                                                                                                                              <w:marLeft w:val="0"/>
                                                                                                                              <w:marRight w:val="0"/>
                                                                                                                              <w:marTop w:val="0"/>
                                                                                                                              <w:marBottom w:val="0"/>
                                                                                                                              <w:divBdr>
                                                                                                                                <w:top w:val="none" w:sz="0" w:space="0" w:color="auto"/>
                                                                                                                                <w:left w:val="none" w:sz="0" w:space="0" w:color="auto"/>
                                                                                                                                <w:bottom w:val="none" w:sz="0" w:space="0" w:color="auto"/>
                                                                                                                                <w:right w:val="none" w:sz="0" w:space="0" w:color="auto"/>
                                                                                                                              </w:divBdr>
                                                                                                                              <w:divsChild>
                                                                                                                                <w:div w:id="2020502113">
                                                                                                                                  <w:marLeft w:val="0"/>
                                                                                                                                  <w:marRight w:val="0"/>
                                                                                                                                  <w:marTop w:val="0"/>
                                                                                                                                  <w:marBottom w:val="0"/>
                                                                                                                                  <w:divBdr>
                                                                                                                                    <w:top w:val="none" w:sz="0" w:space="0" w:color="auto"/>
                                                                                                                                    <w:left w:val="none" w:sz="0" w:space="0" w:color="auto"/>
                                                                                                                                    <w:bottom w:val="none" w:sz="0" w:space="0" w:color="auto"/>
                                                                                                                                    <w:right w:val="none" w:sz="0" w:space="0" w:color="auto"/>
                                                                                                                                  </w:divBdr>
                                                                                                                                  <w:divsChild>
                                                                                                                                    <w:div w:id="1069227011">
                                                                                                                                      <w:marLeft w:val="0"/>
                                                                                                                                      <w:marRight w:val="0"/>
                                                                                                                                      <w:marTop w:val="0"/>
                                                                                                                                      <w:marBottom w:val="0"/>
                                                                                                                                      <w:divBdr>
                                                                                                                                        <w:top w:val="none" w:sz="0" w:space="0" w:color="auto"/>
                                                                                                                                        <w:left w:val="none" w:sz="0" w:space="0" w:color="auto"/>
                                                                                                                                        <w:bottom w:val="none" w:sz="0" w:space="0" w:color="auto"/>
                                                                                                                                        <w:right w:val="none" w:sz="0" w:space="0" w:color="auto"/>
                                                                                                                                      </w:divBdr>
                                                                                                                                      <w:divsChild>
                                                                                                                                        <w:div w:id="362750982">
                                                                                                                                          <w:marLeft w:val="0"/>
                                                                                                                                          <w:marRight w:val="0"/>
                                                                                                                                          <w:marTop w:val="0"/>
                                                                                                                                          <w:marBottom w:val="0"/>
                                                                                                                                          <w:divBdr>
                                                                                                                                            <w:top w:val="none" w:sz="0" w:space="0" w:color="auto"/>
                                                                                                                                            <w:left w:val="none" w:sz="0" w:space="0" w:color="auto"/>
                                                                                                                                            <w:bottom w:val="none" w:sz="0" w:space="0" w:color="auto"/>
                                                                                                                                            <w:right w:val="none" w:sz="0" w:space="0" w:color="auto"/>
                                                                                                                                          </w:divBdr>
                                                                                                                                          <w:divsChild>
                                                                                                                                            <w:div w:id="295305747">
                                                                                                                                              <w:marLeft w:val="0"/>
                                                                                                                                              <w:marRight w:val="0"/>
                                                                                                                                              <w:marTop w:val="0"/>
                                                                                                                                              <w:marBottom w:val="0"/>
                                                                                                                                              <w:divBdr>
                                                                                                                                                <w:top w:val="none" w:sz="0" w:space="0" w:color="auto"/>
                                                                                                                                                <w:left w:val="none" w:sz="0" w:space="0" w:color="auto"/>
                                                                                                                                                <w:bottom w:val="none" w:sz="0" w:space="0" w:color="auto"/>
                                                                                                                                                <w:right w:val="none" w:sz="0" w:space="0" w:color="auto"/>
                                                                                                                                              </w:divBdr>
                                                                                                                                              <w:divsChild>
                                                                                                                                                <w:div w:id="378867111">
                                                                                                                                                  <w:marLeft w:val="0"/>
                                                                                                                                                  <w:marRight w:val="0"/>
                                                                                                                                                  <w:marTop w:val="0"/>
                                                                                                                                                  <w:marBottom w:val="0"/>
                                                                                                                                                  <w:divBdr>
                                                                                                                                                    <w:top w:val="none" w:sz="0" w:space="0" w:color="auto"/>
                                                                                                                                                    <w:left w:val="none" w:sz="0" w:space="0" w:color="auto"/>
                                                                                                                                                    <w:bottom w:val="none" w:sz="0" w:space="0" w:color="auto"/>
                                                                                                                                                    <w:right w:val="none" w:sz="0" w:space="0" w:color="auto"/>
                                                                                                                                                  </w:divBdr>
                                                                                                                                                  <w:divsChild>
                                                                                                                                                    <w:div w:id="982350407">
                                                                                                                                                      <w:marLeft w:val="0"/>
                                                                                                                                                      <w:marRight w:val="0"/>
                                                                                                                                                      <w:marTop w:val="0"/>
                                                                                                                                                      <w:marBottom w:val="0"/>
                                                                                                                                                      <w:divBdr>
                                                                                                                                                        <w:top w:val="none" w:sz="0" w:space="0" w:color="auto"/>
                                                                                                                                                        <w:left w:val="none" w:sz="0" w:space="0" w:color="auto"/>
                                                                                                                                                        <w:bottom w:val="none" w:sz="0" w:space="0" w:color="auto"/>
                                                                                                                                                        <w:right w:val="none" w:sz="0" w:space="0" w:color="auto"/>
                                                                                                                                                      </w:divBdr>
                                                                                                                                                      <w:divsChild>
                                                                                                                                                        <w:div w:id="1649019359">
                                                                                                                                                          <w:marLeft w:val="0"/>
                                                                                                                                                          <w:marRight w:val="0"/>
                                                                                                                                                          <w:marTop w:val="0"/>
                                                                                                                                                          <w:marBottom w:val="0"/>
                                                                                                                                                          <w:divBdr>
                                                                                                                                                            <w:top w:val="none" w:sz="0" w:space="0" w:color="auto"/>
                                                                                                                                                            <w:left w:val="none" w:sz="0" w:space="0" w:color="auto"/>
                                                                                                                                                            <w:bottom w:val="none" w:sz="0" w:space="0" w:color="auto"/>
                                                                                                                                                            <w:right w:val="none" w:sz="0" w:space="0" w:color="auto"/>
                                                                                                                                                          </w:divBdr>
                                                                                                                                                          <w:divsChild>
                                                                                                                                                            <w:div w:id="119499012">
                                                                                                                                                              <w:marLeft w:val="0"/>
                                                                                                                                                              <w:marRight w:val="0"/>
                                                                                                                                                              <w:marTop w:val="0"/>
                                                                                                                                                              <w:marBottom w:val="0"/>
                                                                                                                                                              <w:divBdr>
                                                                                                                                                                <w:top w:val="none" w:sz="0" w:space="0" w:color="auto"/>
                                                                                                                                                                <w:left w:val="none" w:sz="0" w:space="0" w:color="auto"/>
                                                                                                                                                                <w:bottom w:val="none" w:sz="0" w:space="0" w:color="auto"/>
                                                                                                                                                                <w:right w:val="none" w:sz="0" w:space="0" w:color="auto"/>
                                                                                                                                                              </w:divBdr>
                                                                                                                                                              <w:divsChild>
                                                                                                                                                                <w:div w:id="661197067">
                                                                                                                                                                  <w:marLeft w:val="0"/>
                                                                                                                                                                  <w:marRight w:val="0"/>
                                                                                                                                                                  <w:marTop w:val="0"/>
                                                                                                                                                                  <w:marBottom w:val="0"/>
                                                                                                                                                                  <w:divBdr>
                                                                                                                                                                    <w:top w:val="none" w:sz="0" w:space="0" w:color="auto"/>
                                                                                                                                                                    <w:left w:val="none" w:sz="0" w:space="0" w:color="auto"/>
                                                                                                                                                                    <w:bottom w:val="none" w:sz="0" w:space="0" w:color="auto"/>
                                                                                                                                                                    <w:right w:val="none" w:sz="0" w:space="0" w:color="auto"/>
                                                                                                                                                                  </w:divBdr>
                                                                                                                                                                  <w:divsChild>
                                                                                                                                                                    <w:div w:id="1128087364">
                                                                                                                                                                      <w:marLeft w:val="0"/>
                                                                                                                                                                      <w:marRight w:val="0"/>
                                                                                                                                                                      <w:marTop w:val="0"/>
                                                                                                                                                                      <w:marBottom w:val="0"/>
                                                                                                                                                                      <w:divBdr>
                                                                                                                                                                        <w:top w:val="none" w:sz="0" w:space="0" w:color="auto"/>
                                                                                                                                                                        <w:left w:val="none" w:sz="0" w:space="0" w:color="auto"/>
                                                                                                                                                                        <w:bottom w:val="none" w:sz="0" w:space="0" w:color="auto"/>
                                                                                                                                                                        <w:right w:val="none" w:sz="0" w:space="0" w:color="auto"/>
                                                                                                                                                                      </w:divBdr>
                                                                                                                                                                      <w:divsChild>
                                                                                                                                                                        <w:div w:id="980771276">
                                                                                                                                                                          <w:marLeft w:val="0"/>
                                                                                                                                                                          <w:marRight w:val="0"/>
                                                                                                                                                                          <w:marTop w:val="0"/>
                                                                                                                                                                          <w:marBottom w:val="0"/>
                                                                                                                                                                          <w:divBdr>
                                                                                                                                                                            <w:top w:val="none" w:sz="0" w:space="0" w:color="auto"/>
                                                                                                                                                                            <w:left w:val="none" w:sz="0" w:space="0" w:color="auto"/>
                                                                                                                                                                            <w:bottom w:val="none" w:sz="0" w:space="0" w:color="auto"/>
                                                                                                                                                                            <w:right w:val="none" w:sz="0" w:space="0" w:color="auto"/>
                                                                                                                                                                          </w:divBdr>
                                                                                                                                                                          <w:divsChild>
                                                                                                                                                                            <w:div w:id="1986348310">
                                                                                                                                                                              <w:marLeft w:val="0"/>
                                                                                                                                                                              <w:marRight w:val="0"/>
                                                                                                                                                                              <w:marTop w:val="0"/>
                                                                                                                                                                              <w:marBottom w:val="0"/>
                                                                                                                                                                              <w:divBdr>
                                                                                                                                                                                <w:top w:val="none" w:sz="0" w:space="0" w:color="auto"/>
                                                                                                                                                                                <w:left w:val="none" w:sz="0" w:space="0" w:color="auto"/>
                                                                                                                                                                                <w:bottom w:val="none" w:sz="0" w:space="0" w:color="auto"/>
                                                                                                                                                                                <w:right w:val="none" w:sz="0" w:space="0" w:color="auto"/>
                                                                                                                                                                              </w:divBdr>
                                                                                                                                                                              <w:divsChild>
                                                                                                                                                                                <w:div w:id="1853062547">
                                                                                                                                                                                  <w:marLeft w:val="0"/>
                                                                                                                                                                                  <w:marRight w:val="0"/>
                                                                                                                                                                                  <w:marTop w:val="0"/>
                                                                                                                                                                                  <w:marBottom w:val="0"/>
                                                                                                                                                                                  <w:divBdr>
                                                                                                                                                                                    <w:top w:val="none" w:sz="0" w:space="0" w:color="auto"/>
                                                                                                                                                                                    <w:left w:val="none" w:sz="0" w:space="0" w:color="auto"/>
                                                                                                                                                                                    <w:bottom w:val="none" w:sz="0" w:space="0" w:color="auto"/>
                                                                                                                                                                                    <w:right w:val="none" w:sz="0" w:space="0" w:color="auto"/>
                                                                                                                                                                                  </w:divBdr>
                                                                                                                                                                                  <w:divsChild>
                                                                                                                                                                                    <w:div w:id="671642596">
                                                                                                                                                                                      <w:marLeft w:val="0"/>
                                                                                                                                                                                      <w:marRight w:val="0"/>
                                                                                                                                                                                      <w:marTop w:val="0"/>
                                                                                                                                                                                      <w:marBottom w:val="0"/>
                                                                                                                                                                                      <w:divBdr>
                                                                                                                                                                                        <w:top w:val="none" w:sz="0" w:space="0" w:color="auto"/>
                                                                                                                                                                                        <w:left w:val="none" w:sz="0" w:space="0" w:color="auto"/>
                                                                                                                                                                                        <w:bottom w:val="none" w:sz="0" w:space="0" w:color="auto"/>
                                                                                                                                                                                        <w:right w:val="none" w:sz="0" w:space="0" w:color="auto"/>
                                                                                                                                                                                      </w:divBdr>
                                                                                                                                                                                      <w:divsChild>
                                                                                                                                                                                        <w:div w:id="2067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796102">
      <w:bodyDiv w:val="1"/>
      <w:marLeft w:val="0"/>
      <w:marRight w:val="0"/>
      <w:marTop w:val="0"/>
      <w:marBottom w:val="0"/>
      <w:divBdr>
        <w:top w:val="none" w:sz="0" w:space="0" w:color="auto"/>
        <w:left w:val="none" w:sz="0" w:space="0" w:color="auto"/>
        <w:bottom w:val="none" w:sz="0" w:space="0" w:color="auto"/>
        <w:right w:val="none" w:sz="0" w:space="0" w:color="auto"/>
      </w:divBdr>
    </w:div>
    <w:div w:id="1358655858">
      <w:bodyDiv w:val="1"/>
      <w:marLeft w:val="0"/>
      <w:marRight w:val="0"/>
      <w:marTop w:val="0"/>
      <w:marBottom w:val="0"/>
      <w:divBdr>
        <w:top w:val="none" w:sz="0" w:space="0" w:color="auto"/>
        <w:left w:val="none" w:sz="0" w:space="0" w:color="auto"/>
        <w:bottom w:val="none" w:sz="0" w:space="0" w:color="auto"/>
        <w:right w:val="none" w:sz="0" w:space="0" w:color="auto"/>
      </w:divBdr>
    </w:div>
    <w:div w:id="1436897583">
      <w:bodyDiv w:val="1"/>
      <w:marLeft w:val="0"/>
      <w:marRight w:val="0"/>
      <w:marTop w:val="0"/>
      <w:marBottom w:val="0"/>
      <w:divBdr>
        <w:top w:val="none" w:sz="0" w:space="0" w:color="auto"/>
        <w:left w:val="none" w:sz="0" w:space="0" w:color="auto"/>
        <w:bottom w:val="none" w:sz="0" w:space="0" w:color="auto"/>
        <w:right w:val="none" w:sz="0" w:space="0" w:color="auto"/>
      </w:divBdr>
    </w:div>
    <w:div w:id="1471165154">
      <w:bodyDiv w:val="1"/>
      <w:marLeft w:val="0"/>
      <w:marRight w:val="0"/>
      <w:marTop w:val="0"/>
      <w:marBottom w:val="0"/>
      <w:divBdr>
        <w:top w:val="none" w:sz="0" w:space="0" w:color="auto"/>
        <w:left w:val="none" w:sz="0" w:space="0" w:color="auto"/>
        <w:bottom w:val="none" w:sz="0" w:space="0" w:color="auto"/>
        <w:right w:val="none" w:sz="0" w:space="0" w:color="auto"/>
      </w:divBdr>
    </w:div>
    <w:div w:id="1645426839">
      <w:bodyDiv w:val="1"/>
      <w:marLeft w:val="0"/>
      <w:marRight w:val="0"/>
      <w:marTop w:val="0"/>
      <w:marBottom w:val="0"/>
      <w:divBdr>
        <w:top w:val="none" w:sz="0" w:space="0" w:color="auto"/>
        <w:left w:val="none" w:sz="0" w:space="0" w:color="auto"/>
        <w:bottom w:val="none" w:sz="0" w:space="0" w:color="auto"/>
        <w:right w:val="none" w:sz="0" w:space="0" w:color="auto"/>
      </w:divBdr>
    </w:div>
    <w:div w:id="2005237738">
      <w:bodyDiv w:val="1"/>
      <w:marLeft w:val="0"/>
      <w:marRight w:val="0"/>
      <w:marTop w:val="0"/>
      <w:marBottom w:val="0"/>
      <w:divBdr>
        <w:top w:val="none" w:sz="0" w:space="0" w:color="auto"/>
        <w:left w:val="none" w:sz="0" w:space="0" w:color="auto"/>
        <w:bottom w:val="none" w:sz="0" w:space="0" w:color="auto"/>
        <w:right w:val="none" w:sz="0" w:space="0" w:color="auto"/>
      </w:divBdr>
    </w:div>
    <w:div w:id="2006712352">
      <w:bodyDiv w:val="1"/>
      <w:marLeft w:val="0"/>
      <w:marRight w:val="0"/>
      <w:marTop w:val="0"/>
      <w:marBottom w:val="0"/>
      <w:divBdr>
        <w:top w:val="none" w:sz="0" w:space="0" w:color="auto"/>
        <w:left w:val="none" w:sz="0" w:space="0" w:color="auto"/>
        <w:bottom w:val="none" w:sz="0" w:space="0" w:color="auto"/>
        <w:right w:val="none" w:sz="0" w:space="0" w:color="auto"/>
      </w:divBdr>
    </w:div>
    <w:div w:id="211408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3.bin"/><Relationship Id="rId15" Type="http://schemas.openxmlformats.org/officeDocument/2006/relationships/image" Target="media/image5.wmf"/><Relationship Id="rId16" Type="http://schemas.openxmlformats.org/officeDocument/2006/relationships/oleObject" Target="embeddings/oleObject4.bin"/><Relationship Id="rId17" Type="http://schemas.openxmlformats.org/officeDocument/2006/relationships/image" Target="media/image6.wmf"/><Relationship Id="rId18" Type="http://schemas.openxmlformats.org/officeDocument/2006/relationships/oleObject" Target="embeddings/oleObject5.bin"/><Relationship Id="rId19" Type="http://schemas.openxmlformats.org/officeDocument/2006/relationships/image" Target="media/image7.wmf"/><Relationship Id="rId63" Type="http://schemas.openxmlformats.org/officeDocument/2006/relationships/oleObject" Target="embeddings/oleObject27.bin"/><Relationship Id="rId64" Type="http://schemas.openxmlformats.org/officeDocument/2006/relationships/image" Target="media/image30.wmf"/><Relationship Id="rId65" Type="http://schemas.openxmlformats.org/officeDocument/2006/relationships/oleObject" Target="embeddings/oleObject28.bin"/><Relationship Id="rId66" Type="http://schemas.openxmlformats.org/officeDocument/2006/relationships/image" Target="media/image31.wmf"/><Relationship Id="rId67" Type="http://schemas.openxmlformats.org/officeDocument/2006/relationships/oleObject" Target="embeddings/oleObject29.bin"/><Relationship Id="rId68" Type="http://schemas.openxmlformats.org/officeDocument/2006/relationships/image" Target="media/image32.wmf"/><Relationship Id="rId69" Type="http://schemas.openxmlformats.org/officeDocument/2006/relationships/oleObject" Target="embeddings/oleObject30.bin"/><Relationship Id="rId50" Type="http://schemas.openxmlformats.org/officeDocument/2006/relationships/image" Target="media/image23.wmf"/><Relationship Id="rId51" Type="http://schemas.openxmlformats.org/officeDocument/2006/relationships/oleObject" Target="embeddings/oleObject21.bin"/><Relationship Id="rId52" Type="http://schemas.openxmlformats.org/officeDocument/2006/relationships/image" Target="media/image24.wmf"/><Relationship Id="rId53" Type="http://schemas.openxmlformats.org/officeDocument/2006/relationships/oleObject" Target="embeddings/oleObject22.bin"/><Relationship Id="rId54" Type="http://schemas.openxmlformats.org/officeDocument/2006/relationships/image" Target="media/image25.wmf"/><Relationship Id="rId55" Type="http://schemas.openxmlformats.org/officeDocument/2006/relationships/oleObject" Target="embeddings/oleObject23.bin"/><Relationship Id="rId56" Type="http://schemas.openxmlformats.org/officeDocument/2006/relationships/image" Target="media/image26.wmf"/><Relationship Id="rId57" Type="http://schemas.openxmlformats.org/officeDocument/2006/relationships/oleObject" Target="embeddings/oleObject24.bin"/><Relationship Id="rId58" Type="http://schemas.openxmlformats.org/officeDocument/2006/relationships/image" Target="media/image27.wmf"/><Relationship Id="rId59" Type="http://schemas.openxmlformats.org/officeDocument/2006/relationships/oleObject" Target="embeddings/oleObject25.bin"/><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emf"/><Relationship Id="rId49" Type="http://schemas.openxmlformats.org/officeDocument/2006/relationships/image" Target="media/image2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70" Type="http://schemas.openxmlformats.org/officeDocument/2006/relationships/image" Target="media/image33.wmf"/><Relationship Id="rId71" Type="http://schemas.openxmlformats.org/officeDocument/2006/relationships/oleObject" Target="embeddings/oleObject31.bin"/><Relationship Id="rId72" Type="http://schemas.openxmlformats.org/officeDocument/2006/relationships/footer" Target="footer1.xml"/><Relationship Id="rId20" Type="http://schemas.openxmlformats.org/officeDocument/2006/relationships/oleObject" Target="embeddings/oleObject6.bin"/><Relationship Id="rId21" Type="http://schemas.openxmlformats.org/officeDocument/2006/relationships/image" Target="media/image8.wmf"/><Relationship Id="rId22" Type="http://schemas.openxmlformats.org/officeDocument/2006/relationships/oleObject" Target="embeddings/oleObject7.bin"/><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73" Type="http://schemas.openxmlformats.org/officeDocument/2006/relationships/footer" Target="footer2.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image" Target="media/image28.wmf"/><Relationship Id="rId61" Type="http://schemas.openxmlformats.org/officeDocument/2006/relationships/oleObject" Target="embeddings/oleObject26.bin"/><Relationship Id="rId62" Type="http://schemas.openxmlformats.org/officeDocument/2006/relationships/image" Target="media/image29.wmf"/><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CD259-98DF-244C-8361-5E8487D5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6110</Words>
  <Characters>34827</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40856</CharactersWithSpaces>
  <SharedDoc>false</SharedDoc>
  <HLinks>
    <vt:vector size="12" baseType="variant">
      <vt:variant>
        <vt:i4>131101</vt:i4>
      </vt:variant>
      <vt:variant>
        <vt:i4>57</vt:i4>
      </vt:variant>
      <vt:variant>
        <vt:i4>0</vt:i4>
      </vt:variant>
      <vt:variant>
        <vt:i4>5</vt:i4>
      </vt:variant>
      <vt:variant>
        <vt:lpwstr>http://ideas.repec.org/h/eee/labchp/3-26.html</vt:lpwstr>
      </vt:variant>
      <vt:variant>
        <vt:lpwstr/>
      </vt:variant>
      <vt:variant>
        <vt:i4>1966145</vt:i4>
      </vt:variant>
      <vt:variant>
        <vt:i4>54</vt:i4>
      </vt:variant>
      <vt:variant>
        <vt:i4>0</vt:i4>
      </vt:variant>
      <vt:variant>
        <vt:i4>5</vt:i4>
      </vt:variant>
      <vt:variant>
        <vt:lpwstr>http://ideas.repec.org/s/tpr/restat.html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marco.biagetti</dc:creator>
  <cp:lastModifiedBy>Marra, Marianna</cp:lastModifiedBy>
  <cp:revision>10</cp:revision>
  <cp:lastPrinted>2016-11-07T12:55:00Z</cp:lastPrinted>
  <dcterms:created xsi:type="dcterms:W3CDTF">2017-01-16T16:07:00Z</dcterms:created>
  <dcterms:modified xsi:type="dcterms:W3CDTF">2017-01-16T16:42:00Z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http://www.zotero.org/styles/annals-of-operations-research</vt:lpwstr>
  </property>
  <property fmtid="{D5CDD505-2E9C-101B-9397-08002B2CF9AE}" pid="11" name="Mendeley Recent Style Name 4_1">
    <vt:lpwstr>Annals of Operations Research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http://www.zotero.org/styles/information-and-management</vt:lpwstr>
  </property>
  <property fmtid="{D5CDD505-2E9C-101B-9397-08002B2CF9AE}" pid="15" name="Mendeley Recent Style Name 6_1">
    <vt:lpwstr>Information &amp; Management</vt:lpwstr>
  </property>
  <property fmtid="{D5CDD505-2E9C-101B-9397-08002B2CF9AE}" pid="16" name="Mendeley Recent Style Id 7_1">
    <vt:lpwstr>http://www.zotero.org/styles/research-policy</vt:lpwstr>
  </property>
  <property fmtid="{D5CDD505-2E9C-101B-9397-08002B2CF9AE}" pid="17" name="Mendeley Recent Style Name 7_1">
    <vt:lpwstr>Research Policy</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Basic (author-date)</vt:lpwstr>
  </property>
  <property fmtid="{D5CDD505-2E9C-101B-9397-08002B2CF9AE}" pid="20" name="Mendeley Recent Style Id 9_1">
    <vt:lpwstr>http://www.zotero.org/styles/strategic-management-journal</vt:lpwstr>
  </property>
  <property fmtid="{D5CDD505-2E9C-101B-9397-08002B2CF9AE}" pid="21" name="Mendeley Recent Style Name 9_1">
    <vt:lpwstr>Strategic Management Journal</vt:lpwstr>
  </property>
  <property fmtid="{D5CDD505-2E9C-101B-9397-08002B2CF9AE}" pid="22" name="Mendeley Document_1">
    <vt:lpwstr>True</vt:lpwstr>
  </property>
  <property fmtid="{D5CDD505-2E9C-101B-9397-08002B2CF9AE}" pid="23" name="Mendeley Unique User Id_1">
    <vt:lpwstr>aa321d3b-383f-31aa-afef-e087a9aa7865</vt:lpwstr>
  </property>
  <property fmtid="{D5CDD505-2E9C-101B-9397-08002B2CF9AE}" pid="24" name="Mendeley Citation Style_1">
    <vt:lpwstr>http://www.zotero.org/styles/strategic-management-journal</vt:lpwstr>
  </property>
</Properties>
</file>