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B915B" w14:textId="77777777" w:rsidR="001452E2" w:rsidRDefault="009C0B7C">
      <w:pPr>
        <w:rPr>
          <w:rFonts w:ascii="Times New Roman" w:hAnsi="Times New Roman" w:cs="Times New Roman"/>
        </w:rPr>
      </w:pPr>
      <w:r>
        <w:rPr>
          <w:rFonts w:ascii="Times New Roman" w:hAnsi="Times New Roman" w:cs="Times New Roman"/>
        </w:rPr>
        <w:t xml:space="preserve">LSE </w:t>
      </w:r>
      <w:r w:rsidR="00D901C8">
        <w:rPr>
          <w:rFonts w:ascii="Times New Roman" w:hAnsi="Times New Roman" w:cs="Times New Roman"/>
        </w:rPr>
        <w:t>Business Review</w:t>
      </w:r>
      <w:r>
        <w:rPr>
          <w:rFonts w:ascii="Times New Roman" w:hAnsi="Times New Roman" w:cs="Times New Roman"/>
        </w:rPr>
        <w:t xml:space="preserve"> 3/2/2019</w:t>
      </w:r>
    </w:p>
    <w:p w14:paraId="28342F99" w14:textId="77777777" w:rsidR="00D901C8" w:rsidRDefault="00D901C8">
      <w:pPr>
        <w:rPr>
          <w:rFonts w:ascii="Times New Roman" w:hAnsi="Times New Roman" w:cs="Times New Roman"/>
        </w:rPr>
      </w:pPr>
    </w:p>
    <w:p w14:paraId="7512BB66" w14:textId="55B55912" w:rsidR="00D901C8" w:rsidRPr="009C0B7C" w:rsidRDefault="00D901C8">
      <w:pPr>
        <w:rPr>
          <w:rFonts w:ascii="Times New Roman" w:hAnsi="Times New Roman" w:cs="Times New Roman"/>
          <w:b/>
        </w:rPr>
      </w:pPr>
      <w:r w:rsidRPr="009C0B7C">
        <w:rPr>
          <w:rFonts w:ascii="Times New Roman" w:hAnsi="Times New Roman" w:cs="Times New Roman"/>
          <w:b/>
        </w:rPr>
        <w:t>Why the EU-Japan trade deal matters</w:t>
      </w:r>
      <w:r w:rsidR="009C0B7C" w:rsidRPr="009C0B7C">
        <w:rPr>
          <w:rFonts w:ascii="Times New Roman" w:hAnsi="Times New Roman" w:cs="Times New Roman"/>
          <w:b/>
        </w:rPr>
        <w:t xml:space="preserve"> for trade and so much more</w:t>
      </w:r>
    </w:p>
    <w:p w14:paraId="6AAC2872" w14:textId="77777777" w:rsidR="009C0B7C" w:rsidRDefault="009C0B7C">
      <w:pPr>
        <w:rPr>
          <w:rFonts w:ascii="Times New Roman" w:hAnsi="Times New Roman" w:cs="Times New Roman"/>
        </w:rPr>
      </w:pPr>
      <w:r>
        <w:rPr>
          <w:rFonts w:ascii="Times New Roman" w:hAnsi="Times New Roman" w:cs="Times New Roman"/>
        </w:rPr>
        <w:t>Han Dorussen (University of Essex)</w:t>
      </w:r>
    </w:p>
    <w:p w14:paraId="699888EF" w14:textId="77777777" w:rsidR="009C0B7C" w:rsidRDefault="009C0B7C">
      <w:pPr>
        <w:rPr>
          <w:rFonts w:ascii="Times New Roman" w:hAnsi="Times New Roman" w:cs="Times New Roman"/>
        </w:rPr>
      </w:pPr>
    </w:p>
    <w:p w14:paraId="53CCD44E" w14:textId="317E838A" w:rsidR="008F6BD6" w:rsidRDefault="008F6BD6">
      <w:pPr>
        <w:rPr>
          <w:rFonts w:ascii="Times New Roman" w:hAnsi="Times New Roman" w:cs="Times New Roman"/>
        </w:rPr>
      </w:pPr>
      <w:r>
        <w:rPr>
          <w:rFonts w:ascii="Times New Roman" w:hAnsi="Times New Roman" w:cs="Times New Roman"/>
        </w:rPr>
        <w:t>On February 1</w:t>
      </w:r>
      <w:r w:rsidRPr="008F6BD6">
        <w:rPr>
          <w:rFonts w:ascii="Times New Roman" w:hAnsi="Times New Roman" w:cs="Times New Roman"/>
          <w:vertAlign w:val="superscript"/>
        </w:rPr>
        <w:t>st</w:t>
      </w:r>
      <w:r>
        <w:rPr>
          <w:rFonts w:ascii="Times New Roman" w:hAnsi="Times New Roman" w:cs="Times New Roman"/>
        </w:rPr>
        <w:t xml:space="preserve">, the EU-Japan Economic Partnership Agreement </w:t>
      </w:r>
      <w:r w:rsidR="00594F71">
        <w:rPr>
          <w:rFonts w:ascii="Times New Roman" w:hAnsi="Times New Roman" w:cs="Times New Roman"/>
        </w:rPr>
        <w:t xml:space="preserve">(EPA) </w:t>
      </w:r>
      <w:r>
        <w:rPr>
          <w:rFonts w:ascii="Times New Roman" w:hAnsi="Times New Roman" w:cs="Times New Roman"/>
        </w:rPr>
        <w:t xml:space="preserve">entered into force. Rightly described as a ‘mega-deal’, since it covers 27.8 percent of the world economy and more than a third of global world trade, the event </w:t>
      </w:r>
      <w:r w:rsidR="00B03D01">
        <w:rPr>
          <w:rFonts w:ascii="Times New Roman" w:hAnsi="Times New Roman" w:cs="Times New Roman"/>
        </w:rPr>
        <w:t>still</w:t>
      </w:r>
      <w:r>
        <w:rPr>
          <w:rFonts w:ascii="Times New Roman" w:hAnsi="Times New Roman" w:cs="Times New Roman"/>
        </w:rPr>
        <w:t xml:space="preserve"> received relatively little attention. Yet the deal </w:t>
      </w:r>
      <w:r w:rsidR="003D6536">
        <w:rPr>
          <w:rFonts w:ascii="Times New Roman" w:hAnsi="Times New Roman" w:cs="Times New Roman"/>
        </w:rPr>
        <w:t xml:space="preserve">truly </w:t>
      </w:r>
      <w:r>
        <w:rPr>
          <w:rFonts w:ascii="Times New Roman" w:hAnsi="Times New Roman" w:cs="Times New Roman"/>
        </w:rPr>
        <w:t>matters both economically and politically</w:t>
      </w:r>
      <w:r w:rsidR="0038751A">
        <w:rPr>
          <w:rFonts w:ascii="Times New Roman" w:hAnsi="Times New Roman" w:cs="Times New Roman"/>
        </w:rPr>
        <w:t>,</w:t>
      </w:r>
      <w:r>
        <w:rPr>
          <w:rFonts w:ascii="Times New Roman" w:hAnsi="Times New Roman" w:cs="Times New Roman"/>
        </w:rPr>
        <w:t xml:space="preserve"> especial</w:t>
      </w:r>
      <w:r w:rsidR="003D6536">
        <w:rPr>
          <w:rFonts w:ascii="Times New Roman" w:hAnsi="Times New Roman" w:cs="Times New Roman"/>
        </w:rPr>
        <w:t xml:space="preserve">ly at a time when most headlines are made by the fall-out of President’s Trump ‘America First’ policies and UK-EU wrangling over </w:t>
      </w:r>
      <w:proofErr w:type="spellStart"/>
      <w:r w:rsidR="003D6536">
        <w:rPr>
          <w:rFonts w:ascii="Times New Roman" w:hAnsi="Times New Roman" w:cs="Times New Roman"/>
        </w:rPr>
        <w:t>Brexit</w:t>
      </w:r>
      <w:proofErr w:type="spellEnd"/>
      <w:r w:rsidR="003D6536">
        <w:rPr>
          <w:rFonts w:ascii="Times New Roman" w:hAnsi="Times New Roman" w:cs="Times New Roman"/>
        </w:rPr>
        <w:t>.</w:t>
      </w:r>
      <w:r>
        <w:rPr>
          <w:rFonts w:ascii="Times New Roman" w:hAnsi="Times New Roman" w:cs="Times New Roman"/>
        </w:rPr>
        <w:t xml:space="preserve"> </w:t>
      </w:r>
    </w:p>
    <w:p w14:paraId="73F9A061" w14:textId="77777777" w:rsidR="008F6BD6" w:rsidRDefault="008F6BD6">
      <w:pPr>
        <w:rPr>
          <w:rFonts w:ascii="Times New Roman" w:hAnsi="Times New Roman" w:cs="Times New Roman"/>
        </w:rPr>
      </w:pPr>
    </w:p>
    <w:p w14:paraId="5B36BB85" w14:textId="1E0AF31B" w:rsidR="0022153E" w:rsidRDefault="00594F71">
      <w:pPr>
        <w:rPr>
          <w:rFonts w:ascii="Times New Roman" w:hAnsi="Times New Roman" w:cs="Times New Roman"/>
        </w:rPr>
      </w:pPr>
      <w:r>
        <w:rPr>
          <w:rFonts w:ascii="Times New Roman" w:hAnsi="Times New Roman" w:cs="Times New Roman"/>
        </w:rPr>
        <w:t xml:space="preserve">The economic significance of the EPA is self-evident. It </w:t>
      </w:r>
      <w:r w:rsidR="004F40A8">
        <w:rPr>
          <w:rFonts w:ascii="Times New Roman" w:hAnsi="Times New Roman" w:cs="Times New Roman"/>
        </w:rPr>
        <w:t>substantially</w:t>
      </w:r>
      <w:r>
        <w:rPr>
          <w:rFonts w:ascii="Times New Roman" w:hAnsi="Times New Roman" w:cs="Times New Roman"/>
        </w:rPr>
        <w:t xml:space="preserve"> lowers barriers to trade between the largest (EU) and fourth largest (Jap</w:t>
      </w:r>
      <w:r w:rsidR="0056285A">
        <w:rPr>
          <w:rFonts w:ascii="Times New Roman" w:hAnsi="Times New Roman" w:cs="Times New Roman"/>
        </w:rPr>
        <w:t>an) markets globally.</w:t>
      </w:r>
      <w:r>
        <w:rPr>
          <w:rFonts w:ascii="Times New Roman" w:hAnsi="Times New Roman" w:cs="Times New Roman"/>
        </w:rPr>
        <w:t xml:space="preserve"> </w:t>
      </w:r>
      <w:r w:rsidR="0056285A">
        <w:rPr>
          <w:rFonts w:ascii="Times New Roman" w:hAnsi="Times New Roman" w:cs="Times New Roman"/>
        </w:rPr>
        <w:t>C</w:t>
      </w:r>
      <w:r>
        <w:rPr>
          <w:rFonts w:ascii="Times New Roman" w:hAnsi="Times New Roman" w:cs="Times New Roman"/>
        </w:rPr>
        <w:t xml:space="preserve">ombined the markets </w:t>
      </w:r>
      <w:r w:rsidR="00B03D01">
        <w:rPr>
          <w:rFonts w:ascii="Times New Roman" w:hAnsi="Times New Roman" w:cs="Times New Roman"/>
        </w:rPr>
        <w:t>involve</w:t>
      </w:r>
      <w:r>
        <w:rPr>
          <w:rFonts w:ascii="Times New Roman" w:hAnsi="Times New Roman" w:cs="Times New Roman"/>
        </w:rPr>
        <w:t xml:space="preserve"> 635 million people. </w:t>
      </w:r>
      <w:r w:rsidR="0038751A">
        <w:rPr>
          <w:rFonts w:ascii="Times New Roman" w:hAnsi="Times New Roman" w:cs="Times New Roman"/>
        </w:rPr>
        <w:t xml:space="preserve">The agreement </w:t>
      </w:r>
      <w:r>
        <w:rPr>
          <w:rFonts w:ascii="Times New Roman" w:hAnsi="Times New Roman" w:cs="Times New Roman"/>
        </w:rPr>
        <w:t xml:space="preserve">eases access of European firms into </w:t>
      </w:r>
      <w:r w:rsidR="004F40A8">
        <w:rPr>
          <w:rFonts w:ascii="Times New Roman" w:hAnsi="Times New Roman" w:cs="Times New Roman"/>
        </w:rPr>
        <w:t xml:space="preserve">a </w:t>
      </w:r>
      <w:r>
        <w:rPr>
          <w:rFonts w:ascii="Times New Roman" w:hAnsi="Times New Roman" w:cs="Times New Roman"/>
        </w:rPr>
        <w:t>country that is still perceived by many as highly</w:t>
      </w:r>
      <w:r w:rsidR="002B2437">
        <w:rPr>
          <w:rFonts w:ascii="Times New Roman" w:hAnsi="Times New Roman" w:cs="Times New Roman"/>
        </w:rPr>
        <w:t xml:space="preserve"> protective. In 201</w:t>
      </w:r>
      <w:r w:rsidR="004F40A8">
        <w:rPr>
          <w:rFonts w:ascii="Times New Roman" w:hAnsi="Times New Roman" w:cs="Times New Roman"/>
        </w:rPr>
        <w:t>7</w:t>
      </w:r>
      <w:r w:rsidR="002B2437">
        <w:rPr>
          <w:rFonts w:ascii="Times New Roman" w:hAnsi="Times New Roman" w:cs="Times New Roman"/>
        </w:rPr>
        <w:t xml:space="preserve">, EU </w:t>
      </w:r>
      <w:r w:rsidR="004F40A8">
        <w:rPr>
          <w:rFonts w:ascii="Times New Roman" w:hAnsi="Times New Roman" w:cs="Times New Roman"/>
        </w:rPr>
        <w:t>trade in goods posted a deficit of 8.4 €</w:t>
      </w:r>
      <w:proofErr w:type="spellStart"/>
      <w:r w:rsidR="004F40A8">
        <w:rPr>
          <w:rFonts w:ascii="Times New Roman" w:hAnsi="Times New Roman" w:cs="Times New Roman"/>
        </w:rPr>
        <w:t>bn</w:t>
      </w:r>
      <w:proofErr w:type="spellEnd"/>
      <w:r w:rsidR="004F40A8">
        <w:rPr>
          <w:rFonts w:ascii="Times New Roman" w:hAnsi="Times New Roman" w:cs="Times New Roman"/>
        </w:rPr>
        <w:t xml:space="preserve"> with </w:t>
      </w:r>
      <w:r w:rsidR="002B2437">
        <w:rPr>
          <w:rFonts w:ascii="Times New Roman" w:hAnsi="Times New Roman" w:cs="Times New Roman"/>
        </w:rPr>
        <w:t xml:space="preserve">exports to Japan </w:t>
      </w:r>
      <w:r w:rsidR="004F40A8">
        <w:rPr>
          <w:rFonts w:ascii="Times New Roman" w:hAnsi="Times New Roman" w:cs="Times New Roman"/>
        </w:rPr>
        <w:t>worth 60.5 €</w:t>
      </w:r>
      <w:proofErr w:type="spellStart"/>
      <w:r w:rsidR="004F40A8">
        <w:rPr>
          <w:rFonts w:ascii="Times New Roman" w:hAnsi="Times New Roman" w:cs="Times New Roman"/>
        </w:rPr>
        <w:t>bn</w:t>
      </w:r>
      <w:proofErr w:type="spellEnd"/>
      <w:r w:rsidR="004F40A8">
        <w:rPr>
          <w:rFonts w:ascii="Times New Roman" w:hAnsi="Times New Roman" w:cs="Times New Roman"/>
        </w:rPr>
        <w:t xml:space="preserve"> and imports va</w:t>
      </w:r>
      <w:r w:rsidR="002652FC">
        <w:rPr>
          <w:rFonts w:ascii="Times New Roman" w:hAnsi="Times New Roman" w:cs="Times New Roman"/>
        </w:rPr>
        <w:t>lued at 68.9 €bn. In particular</w:t>
      </w:r>
      <w:r w:rsidR="0038751A">
        <w:rPr>
          <w:rFonts w:ascii="Times New Roman" w:hAnsi="Times New Roman" w:cs="Times New Roman"/>
        </w:rPr>
        <w:t>,</w:t>
      </w:r>
      <w:r w:rsidR="004F40A8">
        <w:rPr>
          <w:rFonts w:ascii="Times New Roman" w:hAnsi="Times New Roman" w:cs="Times New Roman"/>
        </w:rPr>
        <w:t xml:space="preserve"> EU producers of agricultural products, pharmaceuticals and medical equipment stand to benefit.</w:t>
      </w:r>
      <w:r w:rsidR="0022153E" w:rsidRPr="0022153E">
        <w:rPr>
          <w:rFonts w:ascii="Times New Roman" w:hAnsi="Times New Roman" w:cs="Times New Roman"/>
        </w:rPr>
        <w:t xml:space="preserve"> </w:t>
      </w:r>
      <w:r w:rsidR="0022153E">
        <w:rPr>
          <w:rFonts w:ascii="Times New Roman" w:hAnsi="Times New Roman" w:cs="Times New Roman"/>
        </w:rPr>
        <w:t>The EPA also make</w:t>
      </w:r>
      <w:r w:rsidR="00233422">
        <w:rPr>
          <w:rFonts w:ascii="Times New Roman" w:hAnsi="Times New Roman" w:cs="Times New Roman"/>
        </w:rPr>
        <w:t>s</w:t>
      </w:r>
      <w:r w:rsidR="0022153E">
        <w:rPr>
          <w:rFonts w:ascii="Times New Roman" w:hAnsi="Times New Roman" w:cs="Times New Roman"/>
        </w:rPr>
        <w:t xml:space="preserve"> it easier fo</w:t>
      </w:r>
      <w:r w:rsidR="00233422">
        <w:rPr>
          <w:rFonts w:ascii="Times New Roman" w:hAnsi="Times New Roman" w:cs="Times New Roman"/>
        </w:rPr>
        <w:t>r European</w:t>
      </w:r>
      <w:r w:rsidR="0022153E">
        <w:rPr>
          <w:rFonts w:ascii="Times New Roman" w:hAnsi="Times New Roman" w:cs="Times New Roman"/>
        </w:rPr>
        <w:t xml:space="preserve"> firms to bid on large-scale infrastructure projects in Japan.</w:t>
      </w:r>
      <w:r w:rsidR="00EC352B">
        <w:rPr>
          <w:rFonts w:ascii="Times New Roman" w:hAnsi="Times New Roman" w:cs="Times New Roman"/>
        </w:rPr>
        <w:t xml:space="preserve"> </w:t>
      </w:r>
    </w:p>
    <w:p w14:paraId="61FD854F" w14:textId="77777777" w:rsidR="0022153E" w:rsidRDefault="0022153E">
      <w:pPr>
        <w:rPr>
          <w:rFonts w:ascii="Times New Roman" w:hAnsi="Times New Roman" w:cs="Times New Roman"/>
        </w:rPr>
      </w:pPr>
    </w:p>
    <w:p w14:paraId="654B1ACD" w14:textId="39E3D8AD" w:rsidR="004F40A8" w:rsidRDefault="0022153E">
      <w:pPr>
        <w:rPr>
          <w:rFonts w:ascii="Times New Roman" w:hAnsi="Times New Roman" w:cs="Times New Roman"/>
        </w:rPr>
      </w:pPr>
      <w:r>
        <w:rPr>
          <w:rFonts w:ascii="Times New Roman" w:hAnsi="Times New Roman" w:cs="Times New Roman"/>
        </w:rPr>
        <w:t>Japanese</w:t>
      </w:r>
      <w:r w:rsidR="004F40A8">
        <w:rPr>
          <w:rFonts w:ascii="Times New Roman" w:hAnsi="Times New Roman" w:cs="Times New Roman"/>
        </w:rPr>
        <w:t xml:space="preserve"> automotive and high-tech industries</w:t>
      </w:r>
      <w:r w:rsidR="00EC352B">
        <w:rPr>
          <w:rFonts w:ascii="Times New Roman" w:hAnsi="Times New Roman" w:cs="Times New Roman"/>
        </w:rPr>
        <w:t xml:space="preserve"> are also expected to benefit. P</w:t>
      </w:r>
      <w:r>
        <w:rPr>
          <w:rFonts w:ascii="Times New Roman" w:hAnsi="Times New Roman" w:cs="Times New Roman"/>
        </w:rPr>
        <w:t>ossibly even more important</w:t>
      </w:r>
      <w:r w:rsidR="00EC352B">
        <w:rPr>
          <w:rFonts w:ascii="Times New Roman" w:hAnsi="Times New Roman" w:cs="Times New Roman"/>
        </w:rPr>
        <w:t>,</w:t>
      </w:r>
      <w:r>
        <w:rPr>
          <w:rFonts w:ascii="Times New Roman" w:hAnsi="Times New Roman" w:cs="Times New Roman"/>
        </w:rPr>
        <w:t xml:space="preserve"> the EPA enshrines the interconnectedness between the Japanese and European economies. Japanese foreign direct investment into the EU was worth 205.7 €</w:t>
      </w:r>
      <w:proofErr w:type="spellStart"/>
      <w:r>
        <w:rPr>
          <w:rFonts w:ascii="Times New Roman" w:hAnsi="Times New Roman" w:cs="Times New Roman"/>
        </w:rPr>
        <w:t>bn</w:t>
      </w:r>
      <w:proofErr w:type="spellEnd"/>
      <w:r>
        <w:rPr>
          <w:rFonts w:ascii="Times New Roman" w:hAnsi="Times New Roman" w:cs="Times New Roman"/>
        </w:rPr>
        <w:t xml:space="preserve"> in 2016, </w:t>
      </w:r>
      <w:r w:rsidR="00802E23">
        <w:rPr>
          <w:rFonts w:ascii="Times New Roman" w:hAnsi="Times New Roman" w:cs="Times New Roman"/>
        </w:rPr>
        <w:t xml:space="preserve">while </w:t>
      </w:r>
      <w:r>
        <w:rPr>
          <w:rFonts w:ascii="Times New Roman" w:hAnsi="Times New Roman" w:cs="Times New Roman"/>
        </w:rPr>
        <w:t xml:space="preserve">EU foreign direct investment </w:t>
      </w:r>
      <w:r w:rsidR="00802E23">
        <w:rPr>
          <w:rFonts w:ascii="Times New Roman" w:hAnsi="Times New Roman" w:cs="Times New Roman"/>
        </w:rPr>
        <w:t xml:space="preserve">into Japan totaled </w:t>
      </w:r>
      <w:r>
        <w:rPr>
          <w:rFonts w:ascii="Times New Roman" w:hAnsi="Times New Roman" w:cs="Times New Roman"/>
        </w:rPr>
        <w:t xml:space="preserve">82.8 €bn. </w:t>
      </w:r>
      <w:r w:rsidR="00233422">
        <w:rPr>
          <w:rFonts w:ascii="Times New Roman" w:hAnsi="Times New Roman" w:cs="Times New Roman"/>
        </w:rPr>
        <w:t>With</w:t>
      </w:r>
      <w:r>
        <w:rPr>
          <w:rFonts w:ascii="Times New Roman" w:hAnsi="Times New Roman" w:cs="Times New Roman"/>
        </w:rPr>
        <w:t xml:space="preserve"> its ageing population, Japan’s economic strength </w:t>
      </w:r>
      <w:r w:rsidR="00233422">
        <w:rPr>
          <w:rFonts w:ascii="Times New Roman" w:hAnsi="Times New Roman" w:cs="Times New Roman"/>
        </w:rPr>
        <w:t>increasingly relies</w:t>
      </w:r>
      <w:r>
        <w:rPr>
          <w:rFonts w:ascii="Times New Roman" w:hAnsi="Times New Roman" w:cs="Times New Roman"/>
        </w:rPr>
        <w:t xml:space="preserve"> on the</w:t>
      </w:r>
      <w:r w:rsidR="00EC352B">
        <w:rPr>
          <w:rFonts w:ascii="Times New Roman" w:hAnsi="Times New Roman" w:cs="Times New Roman"/>
        </w:rPr>
        <w:t xml:space="preserve"> efficiency and competitiveness of the</w:t>
      </w:r>
      <w:r>
        <w:rPr>
          <w:rFonts w:ascii="Times New Roman" w:hAnsi="Times New Roman" w:cs="Times New Roman"/>
        </w:rPr>
        <w:t xml:space="preserve"> network of Japanese companies </w:t>
      </w:r>
      <w:r w:rsidR="00EC352B">
        <w:rPr>
          <w:rFonts w:ascii="Times New Roman" w:hAnsi="Times New Roman" w:cs="Times New Roman"/>
        </w:rPr>
        <w:t xml:space="preserve">operating globally. Japanese companies will welcome </w:t>
      </w:r>
      <w:r w:rsidR="0038751A">
        <w:rPr>
          <w:rFonts w:ascii="Times New Roman" w:hAnsi="Times New Roman" w:cs="Times New Roman"/>
        </w:rPr>
        <w:t xml:space="preserve">the fact </w:t>
      </w:r>
      <w:r w:rsidR="00EC352B">
        <w:rPr>
          <w:rFonts w:ascii="Times New Roman" w:hAnsi="Times New Roman" w:cs="Times New Roman"/>
        </w:rPr>
        <w:t xml:space="preserve">that the deal facilitates </w:t>
      </w:r>
      <w:r w:rsidR="00233422">
        <w:rPr>
          <w:rFonts w:ascii="Times New Roman" w:hAnsi="Times New Roman" w:cs="Times New Roman"/>
        </w:rPr>
        <w:t xml:space="preserve">investments and </w:t>
      </w:r>
      <w:r w:rsidR="00802E23">
        <w:rPr>
          <w:rFonts w:ascii="Times New Roman" w:hAnsi="Times New Roman" w:cs="Times New Roman"/>
        </w:rPr>
        <w:t xml:space="preserve">closely related </w:t>
      </w:r>
      <w:r w:rsidR="00EC352B">
        <w:rPr>
          <w:rFonts w:ascii="Times New Roman" w:hAnsi="Times New Roman" w:cs="Times New Roman"/>
        </w:rPr>
        <w:t xml:space="preserve">trade in services, in which the EU traditionally </w:t>
      </w:r>
      <w:r w:rsidR="00233422">
        <w:rPr>
          <w:rFonts w:ascii="Times New Roman" w:hAnsi="Times New Roman" w:cs="Times New Roman"/>
        </w:rPr>
        <w:t xml:space="preserve">already </w:t>
      </w:r>
      <w:r w:rsidR="00EC352B">
        <w:rPr>
          <w:rFonts w:ascii="Times New Roman" w:hAnsi="Times New Roman" w:cs="Times New Roman"/>
        </w:rPr>
        <w:t xml:space="preserve">posts a large surplus.  </w:t>
      </w:r>
    </w:p>
    <w:p w14:paraId="7BDA2CCA" w14:textId="77777777" w:rsidR="0022153E" w:rsidRDefault="0022153E">
      <w:pPr>
        <w:rPr>
          <w:rFonts w:ascii="Times New Roman" w:hAnsi="Times New Roman" w:cs="Times New Roman"/>
        </w:rPr>
      </w:pPr>
    </w:p>
    <w:p w14:paraId="0BF5DCD4" w14:textId="47EC3B5B" w:rsidR="0022153E" w:rsidRDefault="00EC352B">
      <w:pPr>
        <w:rPr>
          <w:rFonts w:ascii="Times New Roman" w:hAnsi="Times New Roman" w:cs="Times New Roman"/>
        </w:rPr>
      </w:pPr>
      <w:r>
        <w:rPr>
          <w:rFonts w:ascii="Times New Roman" w:hAnsi="Times New Roman" w:cs="Times New Roman"/>
        </w:rPr>
        <w:t>The EPA also matters politically</w:t>
      </w:r>
      <w:r w:rsidR="00915EB1">
        <w:rPr>
          <w:rFonts w:ascii="Times New Roman" w:hAnsi="Times New Roman" w:cs="Times New Roman"/>
        </w:rPr>
        <w:t>. It is no coincidence that alongside the EPA, EU and Japan have also agreed on a Strategic Partnership</w:t>
      </w:r>
      <w:r w:rsidR="00CB3594">
        <w:rPr>
          <w:rFonts w:ascii="Times New Roman" w:hAnsi="Times New Roman" w:cs="Times New Roman"/>
        </w:rPr>
        <w:t xml:space="preserve"> (SPA)</w:t>
      </w:r>
      <w:r w:rsidR="00915EB1">
        <w:rPr>
          <w:rFonts w:ascii="Times New Roman" w:hAnsi="Times New Roman" w:cs="Times New Roman"/>
        </w:rPr>
        <w:t>.</w:t>
      </w:r>
      <w:r w:rsidR="00F228E8">
        <w:rPr>
          <w:rFonts w:ascii="Times New Roman" w:hAnsi="Times New Roman" w:cs="Times New Roman"/>
        </w:rPr>
        <w:t xml:space="preserve"> Both agreements emphasize ‘common principles and values’, and indeed signal a continued commitment to </w:t>
      </w:r>
      <w:bookmarkStart w:id="0" w:name="_GoBack"/>
      <w:r w:rsidR="00802E23">
        <w:rPr>
          <w:rFonts w:ascii="Times New Roman" w:hAnsi="Times New Roman" w:cs="Times New Roman"/>
        </w:rPr>
        <w:t xml:space="preserve">liberal </w:t>
      </w:r>
      <w:bookmarkEnd w:id="0"/>
      <w:r w:rsidR="00F228E8">
        <w:rPr>
          <w:rFonts w:ascii="Times New Roman" w:hAnsi="Times New Roman" w:cs="Times New Roman"/>
        </w:rPr>
        <w:t xml:space="preserve">democracy, multilateralism and </w:t>
      </w:r>
      <w:r w:rsidR="00E37F36">
        <w:rPr>
          <w:rFonts w:ascii="Times New Roman" w:hAnsi="Times New Roman" w:cs="Times New Roman"/>
        </w:rPr>
        <w:t>a rule-based</w:t>
      </w:r>
      <w:r w:rsidR="00F228E8">
        <w:rPr>
          <w:rFonts w:ascii="Times New Roman" w:hAnsi="Times New Roman" w:cs="Times New Roman"/>
        </w:rPr>
        <w:t xml:space="preserve"> economic orde</w:t>
      </w:r>
      <w:r w:rsidR="00E37F36">
        <w:rPr>
          <w:rFonts w:ascii="Times New Roman" w:hAnsi="Times New Roman" w:cs="Times New Roman"/>
        </w:rPr>
        <w:t xml:space="preserve">r. The EPA recognizes the relevance of the WTO. It confirms the commitment of </w:t>
      </w:r>
      <w:r w:rsidR="002652FC">
        <w:rPr>
          <w:rFonts w:ascii="Times New Roman" w:hAnsi="Times New Roman" w:cs="Times New Roman"/>
        </w:rPr>
        <w:t>both parties</w:t>
      </w:r>
      <w:r w:rsidR="00E37F36">
        <w:rPr>
          <w:rFonts w:ascii="Times New Roman" w:hAnsi="Times New Roman" w:cs="Times New Roman"/>
        </w:rPr>
        <w:t xml:space="preserve"> to sustainable development, including the Paris agreement on climate change. On cyber issues, the EU and Japan persist </w:t>
      </w:r>
      <w:r w:rsidR="00802E23">
        <w:rPr>
          <w:rFonts w:ascii="Times New Roman" w:hAnsi="Times New Roman" w:cs="Times New Roman"/>
        </w:rPr>
        <w:t xml:space="preserve">in maintaining </w:t>
      </w:r>
      <w:r w:rsidR="00E37F36">
        <w:rPr>
          <w:rFonts w:ascii="Times New Roman" w:hAnsi="Times New Roman" w:cs="Times New Roman"/>
        </w:rPr>
        <w:t xml:space="preserve">a free, open and accessible </w:t>
      </w:r>
      <w:proofErr w:type="gramStart"/>
      <w:r w:rsidR="00E37F36">
        <w:rPr>
          <w:rFonts w:ascii="Times New Roman" w:hAnsi="Times New Roman" w:cs="Times New Roman"/>
        </w:rPr>
        <w:t>internet</w:t>
      </w:r>
      <w:proofErr w:type="gramEnd"/>
      <w:r w:rsidR="00751D32">
        <w:rPr>
          <w:rFonts w:ascii="Times New Roman" w:hAnsi="Times New Roman" w:cs="Times New Roman"/>
        </w:rPr>
        <w:t>, based on a multi-stakeholder, rather than government controlled, governance model. Going against the grain, the EU and Japan have stuck to a discourse valuing multilateralism over bilateral deals, and internationalism over nationalism.</w:t>
      </w:r>
    </w:p>
    <w:p w14:paraId="5100D4BD" w14:textId="77777777" w:rsidR="00751D32" w:rsidRDefault="00751D32">
      <w:pPr>
        <w:rPr>
          <w:rFonts w:ascii="Times New Roman" w:hAnsi="Times New Roman" w:cs="Times New Roman"/>
        </w:rPr>
      </w:pPr>
    </w:p>
    <w:p w14:paraId="27EE35D2" w14:textId="4CADDB1D" w:rsidR="00751D32" w:rsidRDefault="00751D32">
      <w:pPr>
        <w:rPr>
          <w:rFonts w:ascii="Times New Roman" w:hAnsi="Times New Roman" w:cs="Times New Roman"/>
        </w:rPr>
      </w:pPr>
      <w:r>
        <w:rPr>
          <w:rFonts w:ascii="Times New Roman" w:hAnsi="Times New Roman" w:cs="Times New Roman"/>
        </w:rPr>
        <w:t xml:space="preserve">The agreements are also a powerful political signal </w:t>
      </w:r>
      <w:r w:rsidR="002652FC">
        <w:rPr>
          <w:rFonts w:ascii="Times New Roman" w:hAnsi="Times New Roman" w:cs="Times New Roman"/>
        </w:rPr>
        <w:t>that the</w:t>
      </w:r>
      <w:r>
        <w:rPr>
          <w:rFonts w:ascii="Times New Roman" w:hAnsi="Times New Roman" w:cs="Times New Roman"/>
        </w:rPr>
        <w:t xml:space="preserve"> EU and Japan</w:t>
      </w:r>
      <w:r w:rsidR="002652FC">
        <w:rPr>
          <w:rFonts w:ascii="Times New Roman" w:hAnsi="Times New Roman" w:cs="Times New Roman"/>
        </w:rPr>
        <w:t xml:space="preserve"> are able</w:t>
      </w:r>
      <w:r>
        <w:rPr>
          <w:rFonts w:ascii="Times New Roman" w:hAnsi="Times New Roman" w:cs="Times New Roman"/>
        </w:rPr>
        <w:t xml:space="preserve"> to successfully conclude negotiations. </w:t>
      </w:r>
      <w:r w:rsidR="00C5234A">
        <w:rPr>
          <w:rFonts w:ascii="Times New Roman" w:hAnsi="Times New Roman" w:cs="Times New Roman"/>
        </w:rPr>
        <w:t xml:space="preserve">Trade agreements tend to take a long time. Already in 2001, the EU and Japan agreed an Action Plan for Cooperation. The dialogue on the EPA started in 2011, and from 2013 </w:t>
      </w:r>
      <w:r w:rsidR="002652FC">
        <w:rPr>
          <w:rFonts w:ascii="Times New Roman" w:hAnsi="Times New Roman" w:cs="Times New Roman"/>
        </w:rPr>
        <w:t xml:space="preserve">negotiations were </w:t>
      </w:r>
      <w:r w:rsidR="00C5234A">
        <w:rPr>
          <w:rFonts w:ascii="Times New Roman" w:hAnsi="Times New Roman" w:cs="Times New Roman"/>
        </w:rPr>
        <w:t xml:space="preserve">endorsed by all 28 EU member states. Ratification and implementation of the EPA, and main parts of the SPA, however, </w:t>
      </w:r>
      <w:r w:rsidR="00B03D01">
        <w:rPr>
          <w:rFonts w:ascii="Times New Roman" w:hAnsi="Times New Roman" w:cs="Times New Roman"/>
        </w:rPr>
        <w:t>has been</w:t>
      </w:r>
      <w:r w:rsidR="00C5234A">
        <w:rPr>
          <w:rFonts w:ascii="Times New Roman" w:hAnsi="Times New Roman" w:cs="Times New Roman"/>
        </w:rPr>
        <w:t xml:space="preserve"> swift taking less than six months. This provides a sharp contrast with the difficulties the EU faced in ratifying its free trade agreement with </w:t>
      </w:r>
      <w:r w:rsidR="00C5234A">
        <w:rPr>
          <w:rFonts w:ascii="Times New Roman" w:hAnsi="Times New Roman" w:cs="Times New Roman"/>
        </w:rPr>
        <w:lastRenderedPageBreak/>
        <w:t>Canada, and the failure, at least for now, of agreeing the Transatlantic Trade and Investment Partnership with the USA. It also provides a victory for</w:t>
      </w:r>
      <w:r w:rsidR="00802E23">
        <w:rPr>
          <w:rFonts w:ascii="Times New Roman" w:hAnsi="Times New Roman" w:cs="Times New Roman"/>
        </w:rPr>
        <w:t xml:space="preserve"> a</w:t>
      </w:r>
      <w:r w:rsidR="00C5234A">
        <w:rPr>
          <w:rFonts w:ascii="Times New Roman" w:hAnsi="Times New Roman" w:cs="Times New Roman"/>
        </w:rPr>
        <w:t xml:space="preserve"> Japan still hurting from President’s Trump decision to walk away for the Trans-Pacific Partnership. </w:t>
      </w:r>
    </w:p>
    <w:p w14:paraId="6BB102FC" w14:textId="77777777" w:rsidR="00EC352B" w:rsidRDefault="00EC352B">
      <w:pPr>
        <w:rPr>
          <w:rFonts w:ascii="Times New Roman" w:hAnsi="Times New Roman" w:cs="Times New Roman"/>
        </w:rPr>
      </w:pPr>
    </w:p>
    <w:p w14:paraId="7C5F24A7" w14:textId="6B493292" w:rsidR="00F85D4D" w:rsidRDefault="002652FC" w:rsidP="00E51ECC">
      <w:pPr>
        <w:rPr>
          <w:rFonts w:ascii="Times New Roman" w:hAnsi="Times New Roman" w:cs="Times New Roman"/>
        </w:rPr>
      </w:pPr>
      <w:r>
        <w:rPr>
          <w:rFonts w:ascii="Times New Roman" w:hAnsi="Times New Roman" w:cs="Times New Roman"/>
        </w:rPr>
        <w:t xml:space="preserve">International </w:t>
      </w:r>
      <w:r w:rsidR="005A4F24">
        <w:rPr>
          <w:rFonts w:ascii="Times New Roman" w:hAnsi="Times New Roman" w:cs="Times New Roman"/>
        </w:rPr>
        <w:t>cooperation has taken on greater</w:t>
      </w:r>
      <w:r>
        <w:rPr>
          <w:rFonts w:ascii="Times New Roman" w:hAnsi="Times New Roman" w:cs="Times New Roman"/>
        </w:rPr>
        <w:t xml:space="preserve"> strategic importance for the EU as well as Japan. </w:t>
      </w:r>
      <w:r w:rsidR="005A4F24">
        <w:rPr>
          <w:rFonts w:ascii="Times New Roman" w:hAnsi="Times New Roman" w:cs="Times New Roman"/>
        </w:rPr>
        <w:t xml:space="preserve">In a recent study, Emil Kirchner and I surveyed developments in EU-Japan security relations between 1990 and 2017. We mapped perceptions and responses to threats across a broad range of security domains to assess the relevance of EU-Japan cooperation. Clearly, over time the EU and Japan </w:t>
      </w:r>
      <w:r w:rsidR="00B03D01">
        <w:rPr>
          <w:rFonts w:ascii="Times New Roman" w:hAnsi="Times New Roman" w:cs="Times New Roman"/>
        </w:rPr>
        <w:t xml:space="preserve">have </w:t>
      </w:r>
      <w:r w:rsidR="00F85D4D">
        <w:rPr>
          <w:rFonts w:ascii="Times New Roman" w:hAnsi="Times New Roman" w:cs="Times New Roman"/>
        </w:rPr>
        <w:t>perceive</w:t>
      </w:r>
      <w:r w:rsidR="00B03D01">
        <w:rPr>
          <w:rFonts w:ascii="Times New Roman" w:hAnsi="Times New Roman" w:cs="Times New Roman"/>
        </w:rPr>
        <w:t>d</w:t>
      </w:r>
      <w:r w:rsidR="005A4F24">
        <w:rPr>
          <w:rFonts w:ascii="Times New Roman" w:hAnsi="Times New Roman" w:cs="Times New Roman"/>
        </w:rPr>
        <w:t xml:space="preserve"> high-level threats in more and more domains</w:t>
      </w:r>
      <w:r w:rsidR="00F85D4D">
        <w:rPr>
          <w:rFonts w:ascii="Times New Roman" w:hAnsi="Times New Roman" w:cs="Times New Roman"/>
        </w:rPr>
        <w:t xml:space="preserve"> (see </w:t>
      </w:r>
      <w:r w:rsidR="00F85D4D" w:rsidRPr="00F85D4D">
        <w:rPr>
          <w:rFonts w:ascii="Times New Roman" w:hAnsi="Times New Roman" w:cs="Times New Roman"/>
          <w:i/>
        </w:rPr>
        <w:t>Figure 1</w:t>
      </w:r>
      <w:r w:rsidR="00F85D4D">
        <w:rPr>
          <w:rFonts w:ascii="Times New Roman" w:hAnsi="Times New Roman" w:cs="Times New Roman"/>
        </w:rPr>
        <w:t xml:space="preserve">), even when they don’t always agree on the source of the threat. For the EU, Russia, political instability in the Middle East and </w:t>
      </w:r>
      <w:proofErr w:type="spellStart"/>
      <w:r w:rsidR="00F85D4D">
        <w:rPr>
          <w:rFonts w:ascii="Times New Roman" w:hAnsi="Times New Roman" w:cs="Times New Roman"/>
        </w:rPr>
        <w:t>Jihadism</w:t>
      </w:r>
      <w:proofErr w:type="spellEnd"/>
      <w:r w:rsidR="00F85D4D">
        <w:rPr>
          <w:rFonts w:ascii="Times New Roman" w:hAnsi="Times New Roman" w:cs="Times New Roman"/>
        </w:rPr>
        <w:t xml:space="preserve"> are most commonly mentioned across security areas. North Korea and China are the main sources of insecurity for Japan.</w:t>
      </w:r>
      <w:r w:rsidR="005A4F24">
        <w:rPr>
          <w:rFonts w:ascii="Times New Roman" w:hAnsi="Times New Roman" w:cs="Times New Roman"/>
        </w:rPr>
        <w:t xml:space="preserve"> </w:t>
      </w:r>
      <w:r w:rsidR="00802E23">
        <w:rPr>
          <w:rFonts w:ascii="Times New Roman" w:hAnsi="Times New Roman" w:cs="Times New Roman"/>
        </w:rPr>
        <w:t>T</w:t>
      </w:r>
      <w:r w:rsidR="00F85D4D">
        <w:rPr>
          <w:rFonts w:ascii="Times New Roman" w:hAnsi="Times New Roman" w:cs="Times New Roman"/>
        </w:rPr>
        <w:t xml:space="preserve">he EU and Japan have </w:t>
      </w:r>
      <w:r w:rsidR="00802E23">
        <w:rPr>
          <w:rFonts w:ascii="Times New Roman" w:hAnsi="Times New Roman" w:cs="Times New Roman"/>
        </w:rPr>
        <w:t xml:space="preserve">also </w:t>
      </w:r>
      <w:r w:rsidR="00F85D4D">
        <w:rPr>
          <w:rFonts w:ascii="Times New Roman" w:hAnsi="Times New Roman" w:cs="Times New Roman"/>
        </w:rPr>
        <w:t>increased their cooperation</w:t>
      </w:r>
      <w:r w:rsidR="00802E23">
        <w:rPr>
          <w:rFonts w:ascii="Times New Roman" w:hAnsi="Times New Roman" w:cs="Times New Roman"/>
        </w:rPr>
        <w:t xml:space="preserve"> between 1990 and 2017</w:t>
      </w:r>
      <w:r w:rsidR="00F85D4D">
        <w:rPr>
          <w:rFonts w:ascii="Times New Roman" w:hAnsi="Times New Roman" w:cs="Times New Roman"/>
        </w:rPr>
        <w:t xml:space="preserve">, most notably in economic security, cyber security and civil protection. At the same time, the scope of cooperation lags behind in a number of </w:t>
      </w:r>
      <w:r w:rsidR="00B03D01">
        <w:rPr>
          <w:rFonts w:ascii="Times New Roman" w:hAnsi="Times New Roman" w:cs="Times New Roman"/>
        </w:rPr>
        <w:t>areas</w:t>
      </w:r>
      <w:r w:rsidR="00F85D4D">
        <w:rPr>
          <w:rFonts w:ascii="Times New Roman" w:hAnsi="Times New Roman" w:cs="Times New Roman"/>
        </w:rPr>
        <w:t>, such as military and regional security and terrorism.</w:t>
      </w:r>
      <w:r w:rsidR="00CB3594">
        <w:rPr>
          <w:rFonts w:ascii="Times New Roman" w:hAnsi="Times New Roman" w:cs="Times New Roman"/>
        </w:rPr>
        <w:t xml:space="preserve"> </w:t>
      </w:r>
      <w:r w:rsidR="00B03D01">
        <w:rPr>
          <w:rFonts w:ascii="Times New Roman" w:hAnsi="Times New Roman" w:cs="Times New Roman"/>
        </w:rPr>
        <w:t>Especially t</w:t>
      </w:r>
      <w:r w:rsidR="00CB3594">
        <w:rPr>
          <w:rFonts w:ascii="Times New Roman" w:hAnsi="Times New Roman" w:cs="Times New Roman"/>
        </w:rPr>
        <w:t>he SPA provides the EU and Japan with a platform to extend their security cooperation to address their global and regional challenges.</w:t>
      </w:r>
      <w:r w:rsidR="005A4F24">
        <w:rPr>
          <w:rFonts w:ascii="Times New Roman" w:hAnsi="Times New Roman" w:cs="Times New Roman"/>
        </w:rPr>
        <w:t xml:space="preserve"> </w:t>
      </w:r>
    </w:p>
    <w:p w14:paraId="7124ADB2" w14:textId="5BE7914F" w:rsidR="00F85D4D" w:rsidRDefault="00F85D4D" w:rsidP="00E51ECC">
      <w:pPr>
        <w:rPr>
          <w:rFonts w:ascii="Times New Roman" w:hAnsi="Times New Roman" w:cs="Times New Roman"/>
        </w:rPr>
      </w:pPr>
    </w:p>
    <w:p w14:paraId="5DBE7BF5" w14:textId="172ADF5B" w:rsidR="00F85D4D" w:rsidRDefault="00CB3594" w:rsidP="00E51ECC">
      <w:pPr>
        <w:rPr>
          <w:rFonts w:ascii="Times New Roman" w:hAnsi="Times New Roman" w:cs="Times New Roman"/>
        </w:rPr>
      </w:pPr>
      <w:r>
        <w:rPr>
          <w:rFonts w:ascii="Times New Roman" w:hAnsi="Times New Roman" w:cs="Times New Roman"/>
        </w:rPr>
        <w:t xml:space="preserve">And </w:t>
      </w:r>
      <w:proofErr w:type="spellStart"/>
      <w:r>
        <w:rPr>
          <w:rFonts w:ascii="Times New Roman" w:hAnsi="Times New Roman" w:cs="Times New Roman"/>
        </w:rPr>
        <w:t>Brexit</w:t>
      </w:r>
      <w:proofErr w:type="spellEnd"/>
      <w:r>
        <w:rPr>
          <w:rFonts w:ascii="Times New Roman" w:hAnsi="Times New Roman" w:cs="Times New Roman"/>
        </w:rPr>
        <w:t>?</w:t>
      </w:r>
    </w:p>
    <w:p w14:paraId="1481A20C" w14:textId="690E1D44" w:rsidR="00E51ECC" w:rsidRDefault="005A4F24" w:rsidP="00E51ECC">
      <w:pPr>
        <w:rPr>
          <w:rFonts w:ascii="Times New Roman" w:hAnsi="Times New Roman" w:cs="Times New Roman"/>
        </w:rPr>
      </w:pPr>
      <w:r>
        <w:rPr>
          <w:rFonts w:ascii="Times New Roman" w:hAnsi="Times New Roman" w:cs="Times New Roman"/>
        </w:rPr>
        <w:t xml:space="preserve">  </w:t>
      </w:r>
    </w:p>
    <w:p w14:paraId="62C753FD" w14:textId="4B41C218" w:rsidR="00CB3594" w:rsidRDefault="00CB3594" w:rsidP="00E51ECC">
      <w:pPr>
        <w:rPr>
          <w:rFonts w:ascii="Times New Roman" w:hAnsi="Times New Roman" w:cs="Times New Roman"/>
        </w:rPr>
      </w:pPr>
      <w:r>
        <w:rPr>
          <w:rFonts w:ascii="Times New Roman" w:hAnsi="Times New Roman" w:cs="Times New Roman"/>
        </w:rPr>
        <w:t xml:space="preserve">As things currently stand, the UK will only participate in the EPA and SPA for 59 days. It is </w:t>
      </w:r>
      <w:r w:rsidR="00802E23">
        <w:rPr>
          <w:rFonts w:ascii="Times New Roman" w:hAnsi="Times New Roman" w:cs="Times New Roman"/>
        </w:rPr>
        <w:t>rather</w:t>
      </w:r>
      <w:r w:rsidR="00802E23">
        <w:rPr>
          <w:rFonts w:ascii="Times New Roman" w:hAnsi="Times New Roman" w:cs="Times New Roman"/>
        </w:rPr>
        <w:t xml:space="preserve"> </w:t>
      </w:r>
      <w:r>
        <w:rPr>
          <w:rFonts w:ascii="Times New Roman" w:hAnsi="Times New Roman" w:cs="Times New Roman"/>
        </w:rPr>
        <w:t xml:space="preserve">ironic that, on March 29, the UK will exclude itself from agreements that in many ways reflect the ambitions of key </w:t>
      </w:r>
      <w:proofErr w:type="spellStart"/>
      <w:r>
        <w:rPr>
          <w:rFonts w:ascii="Times New Roman" w:hAnsi="Times New Roman" w:cs="Times New Roman"/>
        </w:rPr>
        <w:t>Brexiteers</w:t>
      </w:r>
      <w:proofErr w:type="spellEnd"/>
      <w:r>
        <w:rPr>
          <w:rFonts w:ascii="Times New Roman" w:hAnsi="Times New Roman" w:cs="Times New Roman"/>
        </w:rPr>
        <w:t>. After all, the</w:t>
      </w:r>
      <w:r w:rsidR="00E91358">
        <w:rPr>
          <w:rFonts w:ascii="Times New Roman" w:hAnsi="Times New Roman" w:cs="Times New Roman"/>
        </w:rPr>
        <w:t xml:space="preserve"> agreements not only provide a free trade area ‘beyond Europe’, they also provide the EU with greater ‘global influence’. The EPA and SPA are not only closely aligned with the UK’s economic and political interests, British diplomats </w:t>
      </w:r>
      <w:r w:rsidR="00802E23">
        <w:rPr>
          <w:rFonts w:ascii="Times New Roman" w:hAnsi="Times New Roman" w:cs="Times New Roman"/>
        </w:rPr>
        <w:t>also</w:t>
      </w:r>
      <w:r w:rsidR="00802E23">
        <w:rPr>
          <w:rFonts w:ascii="Times New Roman" w:hAnsi="Times New Roman" w:cs="Times New Roman"/>
        </w:rPr>
        <w:t xml:space="preserve"> </w:t>
      </w:r>
      <w:r w:rsidR="00E91358">
        <w:rPr>
          <w:rFonts w:ascii="Times New Roman" w:hAnsi="Times New Roman" w:cs="Times New Roman"/>
        </w:rPr>
        <w:t>played an important role in negotiating the</w:t>
      </w:r>
      <w:r w:rsidR="00B03D01">
        <w:rPr>
          <w:rFonts w:ascii="Times New Roman" w:hAnsi="Times New Roman" w:cs="Times New Roman"/>
        </w:rPr>
        <w:t>m</w:t>
      </w:r>
      <w:r w:rsidR="00E91358">
        <w:rPr>
          <w:rFonts w:ascii="Times New Roman" w:hAnsi="Times New Roman" w:cs="Times New Roman"/>
        </w:rPr>
        <w:t xml:space="preserve">. </w:t>
      </w:r>
    </w:p>
    <w:p w14:paraId="59DFB5CE" w14:textId="77777777" w:rsidR="00E91358" w:rsidRDefault="00E91358" w:rsidP="00E51ECC">
      <w:pPr>
        <w:rPr>
          <w:rFonts w:ascii="Times New Roman" w:hAnsi="Times New Roman" w:cs="Times New Roman"/>
        </w:rPr>
      </w:pPr>
    </w:p>
    <w:p w14:paraId="764E7BC5" w14:textId="1AA6E8F4" w:rsidR="00E91358" w:rsidRDefault="00E91358" w:rsidP="00E51ECC">
      <w:pPr>
        <w:rPr>
          <w:rFonts w:ascii="Times New Roman" w:hAnsi="Times New Roman" w:cs="Times New Roman"/>
        </w:rPr>
      </w:pPr>
      <w:r>
        <w:rPr>
          <w:rFonts w:ascii="Times New Roman" w:hAnsi="Times New Roman" w:cs="Times New Roman"/>
        </w:rPr>
        <w:t>Since the mid 1980</w:t>
      </w:r>
      <w:r w:rsidR="008865EB">
        <w:rPr>
          <w:rFonts w:ascii="Times New Roman" w:hAnsi="Times New Roman" w:cs="Times New Roman"/>
        </w:rPr>
        <w:t>s</w:t>
      </w:r>
      <w:r>
        <w:rPr>
          <w:rFonts w:ascii="Times New Roman" w:hAnsi="Times New Roman" w:cs="Times New Roman"/>
        </w:rPr>
        <w:t xml:space="preserve">, the UK </w:t>
      </w:r>
      <w:r w:rsidR="00860E07">
        <w:rPr>
          <w:rFonts w:ascii="Times New Roman" w:hAnsi="Times New Roman" w:cs="Times New Roman"/>
        </w:rPr>
        <w:t xml:space="preserve">has become Japan’s ‘Gateway to Europe’. </w:t>
      </w:r>
      <w:r w:rsidR="00802E23">
        <w:rPr>
          <w:rFonts w:ascii="Times New Roman" w:hAnsi="Times New Roman" w:cs="Times New Roman"/>
        </w:rPr>
        <w:t>T</w:t>
      </w:r>
      <w:r w:rsidR="00860E07">
        <w:rPr>
          <w:rFonts w:ascii="Times New Roman" w:hAnsi="Times New Roman" w:cs="Times New Roman"/>
        </w:rPr>
        <w:t xml:space="preserve">he UK </w:t>
      </w:r>
      <w:r w:rsidR="00802E23">
        <w:rPr>
          <w:rFonts w:ascii="Times New Roman" w:hAnsi="Times New Roman" w:cs="Times New Roman"/>
        </w:rPr>
        <w:t>was</w:t>
      </w:r>
      <w:r w:rsidR="00802E23">
        <w:rPr>
          <w:rFonts w:ascii="Times New Roman" w:hAnsi="Times New Roman" w:cs="Times New Roman"/>
        </w:rPr>
        <w:t xml:space="preserve"> </w:t>
      </w:r>
      <w:r w:rsidR="00860E07">
        <w:rPr>
          <w:rFonts w:ascii="Times New Roman" w:hAnsi="Times New Roman" w:cs="Times New Roman"/>
        </w:rPr>
        <w:t>Japan’s second largest destination of foreign direct investment</w:t>
      </w:r>
      <w:r w:rsidR="00802E23">
        <w:rPr>
          <w:rFonts w:ascii="Times New Roman" w:hAnsi="Times New Roman" w:cs="Times New Roman"/>
        </w:rPr>
        <w:t xml:space="preserve"> after the USA</w:t>
      </w:r>
      <w:r w:rsidR="00860E07">
        <w:rPr>
          <w:rFonts w:ascii="Times New Roman" w:hAnsi="Times New Roman" w:cs="Times New Roman"/>
        </w:rPr>
        <w:t xml:space="preserve">. There are </w:t>
      </w:r>
      <w:r w:rsidR="00B03D01">
        <w:rPr>
          <w:rFonts w:ascii="Times New Roman" w:hAnsi="Times New Roman" w:cs="Times New Roman"/>
        </w:rPr>
        <w:t>more than</w:t>
      </w:r>
      <w:r w:rsidR="00860E07">
        <w:rPr>
          <w:rFonts w:ascii="Times New Roman" w:hAnsi="Times New Roman" w:cs="Times New Roman"/>
        </w:rPr>
        <w:t xml:space="preserve"> 1,000 Japanese companies</w:t>
      </w:r>
      <w:r w:rsidR="003F014F">
        <w:rPr>
          <w:rFonts w:ascii="Times New Roman" w:hAnsi="Times New Roman" w:cs="Times New Roman"/>
        </w:rPr>
        <w:t xml:space="preserve"> in the UK, about 1/6 of all Japanese companies in the EU. These companies employ approximately 140,000 UK </w:t>
      </w:r>
      <w:r w:rsidR="00860E07">
        <w:rPr>
          <w:rFonts w:ascii="Times New Roman" w:hAnsi="Times New Roman" w:cs="Times New Roman"/>
        </w:rPr>
        <w:t>workers.</w:t>
      </w:r>
      <w:r w:rsidR="003F014F">
        <w:rPr>
          <w:rFonts w:ascii="Times New Roman" w:hAnsi="Times New Roman" w:cs="Times New Roman"/>
        </w:rPr>
        <w:t xml:space="preserve"> Japanese companies produce </w:t>
      </w:r>
      <w:r w:rsidR="00C82892">
        <w:rPr>
          <w:rFonts w:ascii="Times New Roman" w:hAnsi="Times New Roman" w:cs="Times New Roman"/>
        </w:rPr>
        <w:t>nearly</w:t>
      </w:r>
      <w:r w:rsidR="003F014F">
        <w:rPr>
          <w:rFonts w:ascii="Times New Roman" w:hAnsi="Times New Roman" w:cs="Times New Roman"/>
        </w:rPr>
        <w:t xml:space="preserve"> half of all cars manufactured in the UK, most of which are sold on the continent. The UK has proven to be so attractive for Japanese companies because of easy access to financial services </w:t>
      </w:r>
      <w:r w:rsidR="00C82892">
        <w:rPr>
          <w:rFonts w:ascii="Times New Roman" w:hAnsi="Times New Roman" w:cs="Times New Roman"/>
        </w:rPr>
        <w:t>through the</w:t>
      </w:r>
      <w:r w:rsidR="003F014F">
        <w:rPr>
          <w:rFonts w:ascii="Times New Roman" w:hAnsi="Times New Roman" w:cs="Times New Roman"/>
        </w:rPr>
        <w:t xml:space="preserve"> City of London, but also </w:t>
      </w:r>
      <w:r w:rsidR="00C82892">
        <w:rPr>
          <w:rFonts w:ascii="Times New Roman" w:hAnsi="Times New Roman" w:cs="Times New Roman"/>
        </w:rPr>
        <w:t xml:space="preserve">because </w:t>
      </w:r>
      <w:r w:rsidR="003F014F">
        <w:rPr>
          <w:rFonts w:ascii="Times New Roman" w:hAnsi="Times New Roman" w:cs="Times New Roman"/>
        </w:rPr>
        <w:t xml:space="preserve">the UK provided an </w:t>
      </w:r>
      <w:r w:rsidR="008865EB">
        <w:rPr>
          <w:rFonts w:ascii="Times New Roman" w:hAnsi="Times New Roman" w:cs="Times New Roman"/>
        </w:rPr>
        <w:t xml:space="preserve">appealing </w:t>
      </w:r>
      <w:r w:rsidR="003F014F">
        <w:rPr>
          <w:rFonts w:ascii="Times New Roman" w:hAnsi="Times New Roman" w:cs="Times New Roman"/>
        </w:rPr>
        <w:t xml:space="preserve">business environment </w:t>
      </w:r>
      <w:r w:rsidR="008865EB">
        <w:rPr>
          <w:rFonts w:ascii="Times New Roman" w:hAnsi="Times New Roman" w:cs="Times New Roman"/>
        </w:rPr>
        <w:t xml:space="preserve">from which </w:t>
      </w:r>
      <w:r w:rsidR="003F014F">
        <w:rPr>
          <w:rFonts w:ascii="Times New Roman" w:hAnsi="Times New Roman" w:cs="Times New Roman"/>
        </w:rPr>
        <w:t>to export into the rest of Europe.</w:t>
      </w:r>
    </w:p>
    <w:p w14:paraId="35F39030" w14:textId="77777777" w:rsidR="003F014F" w:rsidRDefault="003F014F" w:rsidP="00E51ECC">
      <w:pPr>
        <w:rPr>
          <w:rFonts w:ascii="Times New Roman" w:hAnsi="Times New Roman" w:cs="Times New Roman"/>
        </w:rPr>
      </w:pPr>
    </w:p>
    <w:p w14:paraId="377A3E56" w14:textId="0B7CEC34" w:rsidR="001D5A96" w:rsidRDefault="003F014F" w:rsidP="00E51ECC">
      <w:pPr>
        <w:rPr>
          <w:rFonts w:ascii="Times New Roman" w:hAnsi="Times New Roman" w:cs="Times New Roman"/>
        </w:rPr>
      </w:pPr>
      <w:proofErr w:type="spellStart"/>
      <w:r>
        <w:rPr>
          <w:rFonts w:ascii="Times New Roman" w:hAnsi="Times New Roman" w:cs="Times New Roman"/>
        </w:rPr>
        <w:t>Brexit</w:t>
      </w:r>
      <w:proofErr w:type="spellEnd"/>
      <w:r>
        <w:rPr>
          <w:rFonts w:ascii="Times New Roman" w:hAnsi="Times New Roman" w:cs="Times New Roman"/>
        </w:rPr>
        <w:t xml:space="preserve"> is a serious headache for Japanese politicians and business</w:t>
      </w:r>
      <w:r w:rsidR="00C82892">
        <w:rPr>
          <w:rFonts w:ascii="Times New Roman" w:hAnsi="Times New Roman" w:cs="Times New Roman"/>
        </w:rPr>
        <w:t>es</w:t>
      </w:r>
      <w:r>
        <w:rPr>
          <w:rFonts w:ascii="Times New Roman" w:hAnsi="Times New Roman" w:cs="Times New Roman"/>
        </w:rPr>
        <w:t xml:space="preserve">, and they have </w:t>
      </w:r>
      <w:r w:rsidR="001D5A96">
        <w:rPr>
          <w:rFonts w:ascii="Times New Roman" w:hAnsi="Times New Roman" w:cs="Times New Roman"/>
        </w:rPr>
        <w:t>sounded</w:t>
      </w:r>
      <w:r>
        <w:rPr>
          <w:rFonts w:ascii="Times New Roman" w:hAnsi="Times New Roman" w:cs="Times New Roman"/>
        </w:rPr>
        <w:t xml:space="preserve"> their </w:t>
      </w:r>
      <w:r w:rsidR="001D5A96">
        <w:rPr>
          <w:rFonts w:ascii="Times New Roman" w:hAnsi="Times New Roman" w:cs="Times New Roman"/>
        </w:rPr>
        <w:t xml:space="preserve">growing </w:t>
      </w:r>
      <w:r>
        <w:rPr>
          <w:rFonts w:ascii="Times New Roman" w:hAnsi="Times New Roman" w:cs="Times New Roman"/>
        </w:rPr>
        <w:t xml:space="preserve">alarm </w:t>
      </w:r>
      <w:r w:rsidR="001D5A96">
        <w:rPr>
          <w:rFonts w:ascii="Times New Roman" w:hAnsi="Times New Roman" w:cs="Times New Roman"/>
        </w:rPr>
        <w:t>as</w:t>
      </w:r>
      <w:r>
        <w:rPr>
          <w:rFonts w:ascii="Times New Roman" w:hAnsi="Times New Roman" w:cs="Times New Roman"/>
        </w:rPr>
        <w:t xml:space="preserve"> the process unfold</w:t>
      </w:r>
      <w:r w:rsidR="00C82892">
        <w:rPr>
          <w:rFonts w:ascii="Times New Roman" w:hAnsi="Times New Roman" w:cs="Times New Roman"/>
        </w:rPr>
        <w:t>ed</w:t>
      </w:r>
      <w:r>
        <w:rPr>
          <w:rFonts w:ascii="Times New Roman" w:hAnsi="Times New Roman" w:cs="Times New Roman"/>
        </w:rPr>
        <w:t xml:space="preserve">. Japanese companies have now begun to ‘vote with their feet’; for example, </w:t>
      </w:r>
      <w:r w:rsidR="001D5A96">
        <w:rPr>
          <w:rFonts w:ascii="Times New Roman" w:hAnsi="Times New Roman" w:cs="Times New Roman"/>
        </w:rPr>
        <w:t xml:space="preserve">Nissan cancelled planned investments into its UK production facilities, and </w:t>
      </w:r>
      <w:r>
        <w:rPr>
          <w:rFonts w:ascii="Times New Roman" w:hAnsi="Times New Roman" w:cs="Times New Roman"/>
        </w:rPr>
        <w:t xml:space="preserve">Sony </w:t>
      </w:r>
      <w:r w:rsidR="001D5A96">
        <w:rPr>
          <w:rFonts w:ascii="Times New Roman" w:hAnsi="Times New Roman" w:cs="Times New Roman"/>
        </w:rPr>
        <w:t>and Panasonic are</w:t>
      </w:r>
      <w:r>
        <w:rPr>
          <w:rFonts w:ascii="Times New Roman" w:hAnsi="Times New Roman" w:cs="Times New Roman"/>
        </w:rPr>
        <w:t xml:space="preserve"> mov</w:t>
      </w:r>
      <w:r w:rsidR="001D5A96">
        <w:rPr>
          <w:rFonts w:ascii="Times New Roman" w:hAnsi="Times New Roman" w:cs="Times New Roman"/>
        </w:rPr>
        <w:t>ing</w:t>
      </w:r>
      <w:r>
        <w:rPr>
          <w:rFonts w:ascii="Times New Roman" w:hAnsi="Times New Roman" w:cs="Times New Roman"/>
        </w:rPr>
        <w:t xml:space="preserve"> </w:t>
      </w:r>
      <w:r w:rsidR="001D5A96">
        <w:rPr>
          <w:rFonts w:ascii="Times New Roman" w:hAnsi="Times New Roman" w:cs="Times New Roman"/>
        </w:rPr>
        <w:t>their</w:t>
      </w:r>
      <w:r>
        <w:rPr>
          <w:rFonts w:ascii="Times New Roman" w:hAnsi="Times New Roman" w:cs="Times New Roman"/>
        </w:rPr>
        <w:t xml:space="preserve"> </w:t>
      </w:r>
      <w:r w:rsidR="001D5A96">
        <w:rPr>
          <w:rFonts w:ascii="Times New Roman" w:hAnsi="Times New Roman" w:cs="Times New Roman"/>
        </w:rPr>
        <w:t xml:space="preserve">European headquarters </w:t>
      </w:r>
      <w:r>
        <w:rPr>
          <w:rFonts w:ascii="Times New Roman" w:hAnsi="Times New Roman" w:cs="Times New Roman"/>
        </w:rPr>
        <w:t>to the</w:t>
      </w:r>
      <w:r w:rsidR="001D5A96">
        <w:rPr>
          <w:rFonts w:ascii="Times New Roman" w:hAnsi="Times New Roman" w:cs="Times New Roman"/>
        </w:rPr>
        <w:t xml:space="preserve"> Netherlands. It is telling that on his latest trip to Europe, Prime Minister Abe first visited the Netherlands before travelling on to see Prime Minister May in London.</w:t>
      </w:r>
    </w:p>
    <w:p w14:paraId="45724061" w14:textId="77777777" w:rsidR="001D5A96" w:rsidRDefault="001D5A96" w:rsidP="00E51ECC">
      <w:pPr>
        <w:rPr>
          <w:rFonts w:ascii="Times New Roman" w:hAnsi="Times New Roman" w:cs="Times New Roman"/>
        </w:rPr>
      </w:pPr>
    </w:p>
    <w:p w14:paraId="4B1CB416" w14:textId="7AA24161" w:rsidR="001D5A96" w:rsidRDefault="001D5A96" w:rsidP="00E51ECC">
      <w:pPr>
        <w:rPr>
          <w:rFonts w:ascii="Times New Roman" w:hAnsi="Times New Roman" w:cs="Times New Roman"/>
        </w:rPr>
      </w:pPr>
      <w:r>
        <w:rPr>
          <w:rFonts w:ascii="Times New Roman" w:hAnsi="Times New Roman" w:cs="Times New Roman"/>
        </w:rPr>
        <w:t xml:space="preserve">After </w:t>
      </w:r>
      <w:proofErr w:type="spellStart"/>
      <w:r>
        <w:rPr>
          <w:rFonts w:ascii="Times New Roman" w:hAnsi="Times New Roman" w:cs="Times New Roman"/>
        </w:rPr>
        <w:t>Brexit</w:t>
      </w:r>
      <w:proofErr w:type="spellEnd"/>
      <w:r>
        <w:rPr>
          <w:rFonts w:ascii="Times New Roman" w:hAnsi="Times New Roman" w:cs="Times New Roman"/>
        </w:rPr>
        <w:t xml:space="preserve">, the UK hopes to join the Comprehensive and Progressive Trans-Pacific Partnership, which would secure comparable access to the Japanese market. Regardless, the EPA should provide the UK with a strong framework to strike a trade </w:t>
      </w:r>
      <w:r w:rsidR="00DF06D8">
        <w:rPr>
          <w:rFonts w:ascii="Times New Roman" w:hAnsi="Times New Roman" w:cs="Times New Roman"/>
        </w:rPr>
        <w:t>deal with Japan. However, these deals may prove to be largely inconsequential; for Japan the real importance of the UK lies in its access to the EU market. Without free and open trade between the UK and the rest of the EU, Japanese companies will not be impressed by any UK-Japan trade deal.</w:t>
      </w:r>
    </w:p>
    <w:p w14:paraId="55B9D3FD" w14:textId="77777777" w:rsidR="001D5A96" w:rsidRDefault="001D5A96" w:rsidP="00E51ECC">
      <w:pPr>
        <w:rPr>
          <w:rFonts w:ascii="Times New Roman" w:hAnsi="Times New Roman" w:cs="Times New Roman"/>
        </w:rPr>
      </w:pPr>
    </w:p>
    <w:p w14:paraId="461D6089" w14:textId="32257E9C" w:rsidR="00DF06D8" w:rsidRDefault="00DF06D8" w:rsidP="00DF06D8">
      <w:pPr>
        <w:spacing w:line="480" w:lineRule="auto"/>
        <w:rPr>
          <w:rFonts w:ascii="Times New Roman" w:hAnsi="Times New Roman" w:cs="Times New Roman"/>
        </w:rPr>
      </w:pPr>
      <w:r w:rsidRPr="00CB58C5">
        <w:rPr>
          <w:rFonts w:ascii="Times New Roman" w:hAnsi="Times New Roman" w:cs="Times New Roman"/>
          <w:i/>
        </w:rPr>
        <w:t>Figure</w:t>
      </w:r>
      <w:r>
        <w:rPr>
          <w:rFonts w:ascii="Times New Roman" w:hAnsi="Times New Roman" w:cs="Times New Roman"/>
          <w:i/>
        </w:rPr>
        <w:t xml:space="preserve"> </w:t>
      </w:r>
      <w:r w:rsidRPr="00CB58C5">
        <w:rPr>
          <w:rFonts w:ascii="Times New Roman" w:hAnsi="Times New Roman" w:cs="Times New Roman"/>
          <w:i/>
        </w:rPr>
        <w:t>1</w:t>
      </w:r>
      <w:r w:rsidRPr="00CB58C5">
        <w:rPr>
          <w:rFonts w:ascii="Times New Roman" w:hAnsi="Times New Roman" w:cs="Times New Roman"/>
        </w:rPr>
        <w:t xml:space="preserve"> EU and Japan </w:t>
      </w:r>
      <w:r>
        <w:rPr>
          <w:rFonts w:ascii="Times New Roman" w:hAnsi="Times New Roman" w:cs="Times New Roman"/>
        </w:rPr>
        <w:t>threat p</w:t>
      </w:r>
      <w:r w:rsidRPr="00CB58C5">
        <w:rPr>
          <w:rFonts w:ascii="Times New Roman" w:hAnsi="Times New Roman" w:cs="Times New Roman"/>
        </w:rPr>
        <w:t>erception</w:t>
      </w:r>
    </w:p>
    <w:p w14:paraId="700D3445" w14:textId="77777777" w:rsidR="00DF06D8" w:rsidRPr="00CB58C5" w:rsidRDefault="00DF06D8" w:rsidP="00DF06D8">
      <w:pPr>
        <w:spacing w:line="480" w:lineRule="auto"/>
        <w:jc w:val="center"/>
      </w:pPr>
      <w:r w:rsidRPr="00CB58C5">
        <w:rPr>
          <w:noProof/>
        </w:rPr>
        <w:drawing>
          <wp:inline distT="0" distB="0" distL="0" distR="0" wp14:anchorId="459B265D" wp14:editId="6C1B9BD1">
            <wp:extent cx="4099560" cy="3261360"/>
            <wp:effectExtent l="0" t="0" r="1524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D55B054" w14:textId="2AF1FEED" w:rsidR="00E51ECC" w:rsidRDefault="00DF06D8" w:rsidP="00E51ECC">
      <w:pPr>
        <w:rPr>
          <w:rFonts w:ascii="Times New Roman" w:hAnsi="Times New Roman" w:cs="Times New Roman"/>
        </w:rPr>
      </w:pPr>
      <w:r>
        <w:rPr>
          <w:rFonts w:ascii="Times New Roman" w:hAnsi="Times New Roman" w:cs="Times New Roman"/>
        </w:rPr>
        <w:t>Source: Kirchner and Dorussen (2018). Policy domains: regional security, military security, non-proliferation, terrorism, organized crime, climate security, energy security, human security, civil protection, economic security, migration</w:t>
      </w:r>
    </w:p>
    <w:p w14:paraId="20CD99AC" w14:textId="77777777" w:rsidR="00DF06D8" w:rsidRDefault="00DF06D8" w:rsidP="00E51ECC">
      <w:pPr>
        <w:rPr>
          <w:rFonts w:ascii="Times New Roman" w:hAnsi="Times New Roman" w:cs="Times New Roman"/>
        </w:rPr>
      </w:pPr>
    </w:p>
    <w:p w14:paraId="0A8D3195" w14:textId="77777777" w:rsidR="00DF06D8" w:rsidRDefault="00DF06D8" w:rsidP="00E51ECC">
      <w:pPr>
        <w:rPr>
          <w:rFonts w:ascii="Times New Roman" w:hAnsi="Times New Roman" w:cs="Times New Roman"/>
        </w:rPr>
      </w:pPr>
    </w:p>
    <w:p w14:paraId="65B3C94A" w14:textId="0F197416" w:rsidR="00DF06D8" w:rsidRDefault="00DF06D8" w:rsidP="00E51ECC">
      <w:pPr>
        <w:rPr>
          <w:rFonts w:ascii="Times New Roman" w:hAnsi="Times New Roman" w:cs="Times New Roman"/>
        </w:rPr>
      </w:pPr>
      <w:r>
        <w:rPr>
          <w:rFonts w:ascii="Times New Roman" w:hAnsi="Times New Roman" w:cs="Times New Roman"/>
        </w:rPr>
        <w:t>References:</w:t>
      </w:r>
    </w:p>
    <w:p w14:paraId="3D3E0382" w14:textId="5E872C02" w:rsidR="00DF06D8" w:rsidRPr="00E51ECC" w:rsidRDefault="00DF06D8" w:rsidP="00E51ECC">
      <w:pPr>
        <w:rPr>
          <w:rFonts w:ascii="Times New Roman" w:hAnsi="Times New Roman" w:cs="Times New Roman"/>
        </w:rPr>
      </w:pPr>
      <w:r>
        <w:rPr>
          <w:rFonts w:ascii="Times New Roman" w:hAnsi="Times New Roman" w:cs="Times New Roman"/>
        </w:rPr>
        <w:t xml:space="preserve">Kirchner, Emil, and Han Dorussen, </w:t>
      </w:r>
      <w:proofErr w:type="spellStart"/>
      <w:proofErr w:type="gramStart"/>
      <w:r>
        <w:rPr>
          <w:rFonts w:ascii="Times New Roman" w:hAnsi="Times New Roman" w:cs="Times New Roman"/>
        </w:rPr>
        <w:t>eds</w:t>
      </w:r>
      <w:proofErr w:type="spellEnd"/>
      <w:proofErr w:type="gramEnd"/>
      <w:r>
        <w:rPr>
          <w:rFonts w:ascii="Times New Roman" w:hAnsi="Times New Roman" w:cs="Times New Roman"/>
        </w:rPr>
        <w:t xml:space="preserve"> (2018). </w:t>
      </w:r>
      <w:proofErr w:type="gramStart"/>
      <w:r w:rsidRPr="00DF06D8">
        <w:rPr>
          <w:rFonts w:ascii="Times New Roman" w:hAnsi="Times New Roman" w:cs="Times New Roman"/>
          <w:u w:val="single"/>
        </w:rPr>
        <w:t>EU-Japan Security Cooperation.</w:t>
      </w:r>
      <w:proofErr w:type="gramEnd"/>
      <w:r w:rsidRPr="00DF06D8">
        <w:rPr>
          <w:rFonts w:ascii="Times New Roman" w:hAnsi="Times New Roman" w:cs="Times New Roman"/>
          <w:u w:val="single"/>
        </w:rPr>
        <w:t xml:space="preserve"> </w:t>
      </w:r>
      <w:proofErr w:type="gramStart"/>
      <w:r w:rsidRPr="00DF06D8">
        <w:rPr>
          <w:rFonts w:ascii="Times New Roman" w:hAnsi="Times New Roman" w:cs="Times New Roman"/>
          <w:u w:val="single"/>
        </w:rPr>
        <w:t>Trends and Prospects</w:t>
      </w:r>
      <w:r>
        <w:rPr>
          <w:rFonts w:ascii="Times New Roman" w:hAnsi="Times New Roman" w:cs="Times New Roman"/>
        </w:rPr>
        <w:t>.</w:t>
      </w:r>
      <w:proofErr w:type="gramEnd"/>
      <w:r>
        <w:rPr>
          <w:rFonts w:ascii="Times New Roman" w:hAnsi="Times New Roman" w:cs="Times New Roman"/>
        </w:rPr>
        <w:t xml:space="preserve"> </w:t>
      </w:r>
      <w:proofErr w:type="spellStart"/>
      <w:r>
        <w:rPr>
          <w:rFonts w:ascii="Times New Roman" w:hAnsi="Times New Roman" w:cs="Times New Roman"/>
        </w:rPr>
        <w:t>Routledge</w:t>
      </w:r>
      <w:proofErr w:type="spellEnd"/>
      <w:r>
        <w:rPr>
          <w:rFonts w:ascii="Times New Roman" w:hAnsi="Times New Roman" w:cs="Times New Roman"/>
        </w:rPr>
        <w:t>: London and New York</w:t>
      </w:r>
    </w:p>
    <w:sectPr w:rsidR="00DF06D8" w:rsidRPr="00E51ECC" w:rsidSect="00837D0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A09A8"/>
    <w:multiLevelType w:val="hybridMultilevel"/>
    <w:tmpl w:val="620A9DDC"/>
    <w:lvl w:ilvl="0" w:tplc="81226F0A">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1C8"/>
    <w:rsid w:val="001452E2"/>
    <w:rsid w:val="001D5A96"/>
    <w:rsid w:val="0022153E"/>
    <w:rsid w:val="00233422"/>
    <w:rsid w:val="002652FC"/>
    <w:rsid w:val="00285B06"/>
    <w:rsid w:val="002B2437"/>
    <w:rsid w:val="0038751A"/>
    <w:rsid w:val="003D6536"/>
    <w:rsid w:val="003F014F"/>
    <w:rsid w:val="004F40A8"/>
    <w:rsid w:val="0056285A"/>
    <w:rsid w:val="00594F71"/>
    <w:rsid w:val="005A4F24"/>
    <w:rsid w:val="006052D0"/>
    <w:rsid w:val="00751D32"/>
    <w:rsid w:val="00802E23"/>
    <w:rsid w:val="00837D0D"/>
    <w:rsid w:val="00860E07"/>
    <w:rsid w:val="008865EB"/>
    <w:rsid w:val="00893274"/>
    <w:rsid w:val="008F6BD6"/>
    <w:rsid w:val="00915EB1"/>
    <w:rsid w:val="009C0B7C"/>
    <w:rsid w:val="00B03D01"/>
    <w:rsid w:val="00C5234A"/>
    <w:rsid w:val="00C82892"/>
    <w:rsid w:val="00CB3594"/>
    <w:rsid w:val="00D901C8"/>
    <w:rsid w:val="00DF06D8"/>
    <w:rsid w:val="00E37F36"/>
    <w:rsid w:val="00E51ECC"/>
    <w:rsid w:val="00E91358"/>
    <w:rsid w:val="00EC352B"/>
    <w:rsid w:val="00F228E8"/>
    <w:rsid w:val="00F8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8D82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ECC"/>
    <w:pPr>
      <w:ind w:left="720"/>
      <w:contextualSpacing/>
    </w:pPr>
  </w:style>
  <w:style w:type="paragraph" w:styleId="BalloonText">
    <w:name w:val="Balloon Text"/>
    <w:basedOn w:val="Normal"/>
    <w:link w:val="BalloonTextChar"/>
    <w:uiPriority w:val="99"/>
    <w:semiHidden/>
    <w:unhideWhenUsed/>
    <w:rsid w:val="00DF06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06D8"/>
    <w:rPr>
      <w:rFonts w:ascii="Lucida Grande" w:hAnsi="Lucida Grande" w:cs="Lucida Grande"/>
      <w:sz w:val="18"/>
      <w:szCs w:val="18"/>
    </w:rPr>
  </w:style>
  <w:style w:type="character" w:styleId="CommentReference">
    <w:name w:val="annotation reference"/>
    <w:basedOn w:val="DefaultParagraphFont"/>
    <w:uiPriority w:val="99"/>
    <w:semiHidden/>
    <w:unhideWhenUsed/>
    <w:rsid w:val="0038751A"/>
    <w:rPr>
      <w:sz w:val="18"/>
      <w:szCs w:val="18"/>
    </w:rPr>
  </w:style>
  <w:style w:type="paragraph" w:styleId="CommentText">
    <w:name w:val="annotation text"/>
    <w:basedOn w:val="Normal"/>
    <w:link w:val="CommentTextChar"/>
    <w:uiPriority w:val="99"/>
    <w:semiHidden/>
    <w:unhideWhenUsed/>
    <w:rsid w:val="0038751A"/>
  </w:style>
  <w:style w:type="character" w:customStyle="1" w:styleId="CommentTextChar">
    <w:name w:val="Comment Text Char"/>
    <w:basedOn w:val="DefaultParagraphFont"/>
    <w:link w:val="CommentText"/>
    <w:uiPriority w:val="99"/>
    <w:semiHidden/>
    <w:rsid w:val="0038751A"/>
  </w:style>
  <w:style w:type="paragraph" w:styleId="CommentSubject">
    <w:name w:val="annotation subject"/>
    <w:basedOn w:val="CommentText"/>
    <w:next w:val="CommentText"/>
    <w:link w:val="CommentSubjectChar"/>
    <w:uiPriority w:val="99"/>
    <w:semiHidden/>
    <w:unhideWhenUsed/>
    <w:rsid w:val="0038751A"/>
    <w:rPr>
      <w:b/>
      <w:bCs/>
      <w:sz w:val="20"/>
      <w:szCs w:val="20"/>
    </w:rPr>
  </w:style>
  <w:style w:type="character" w:customStyle="1" w:styleId="CommentSubjectChar">
    <w:name w:val="Comment Subject Char"/>
    <w:basedOn w:val="CommentTextChar"/>
    <w:link w:val="CommentSubject"/>
    <w:uiPriority w:val="99"/>
    <w:semiHidden/>
    <w:rsid w:val="0038751A"/>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ECC"/>
    <w:pPr>
      <w:ind w:left="720"/>
      <w:contextualSpacing/>
    </w:pPr>
  </w:style>
  <w:style w:type="paragraph" w:styleId="BalloonText">
    <w:name w:val="Balloon Text"/>
    <w:basedOn w:val="Normal"/>
    <w:link w:val="BalloonTextChar"/>
    <w:uiPriority w:val="99"/>
    <w:semiHidden/>
    <w:unhideWhenUsed/>
    <w:rsid w:val="00DF06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06D8"/>
    <w:rPr>
      <w:rFonts w:ascii="Lucida Grande" w:hAnsi="Lucida Grande" w:cs="Lucida Grande"/>
      <w:sz w:val="18"/>
      <w:szCs w:val="18"/>
    </w:rPr>
  </w:style>
  <w:style w:type="character" w:styleId="CommentReference">
    <w:name w:val="annotation reference"/>
    <w:basedOn w:val="DefaultParagraphFont"/>
    <w:uiPriority w:val="99"/>
    <w:semiHidden/>
    <w:unhideWhenUsed/>
    <w:rsid w:val="0038751A"/>
    <w:rPr>
      <w:sz w:val="18"/>
      <w:szCs w:val="18"/>
    </w:rPr>
  </w:style>
  <w:style w:type="paragraph" w:styleId="CommentText">
    <w:name w:val="annotation text"/>
    <w:basedOn w:val="Normal"/>
    <w:link w:val="CommentTextChar"/>
    <w:uiPriority w:val="99"/>
    <w:semiHidden/>
    <w:unhideWhenUsed/>
    <w:rsid w:val="0038751A"/>
  </w:style>
  <w:style w:type="character" w:customStyle="1" w:styleId="CommentTextChar">
    <w:name w:val="Comment Text Char"/>
    <w:basedOn w:val="DefaultParagraphFont"/>
    <w:link w:val="CommentText"/>
    <w:uiPriority w:val="99"/>
    <w:semiHidden/>
    <w:rsid w:val="0038751A"/>
  </w:style>
  <w:style w:type="paragraph" w:styleId="CommentSubject">
    <w:name w:val="annotation subject"/>
    <w:basedOn w:val="CommentText"/>
    <w:next w:val="CommentText"/>
    <w:link w:val="CommentSubjectChar"/>
    <w:uiPriority w:val="99"/>
    <w:semiHidden/>
    <w:unhideWhenUsed/>
    <w:rsid w:val="0038751A"/>
    <w:rPr>
      <w:b/>
      <w:bCs/>
      <w:sz w:val="20"/>
      <w:szCs w:val="20"/>
    </w:rPr>
  </w:style>
  <w:style w:type="character" w:customStyle="1" w:styleId="CommentSubjectChar">
    <w:name w:val="Comment Subject Char"/>
    <w:basedOn w:val="CommentTextChar"/>
    <w:link w:val="CommentSubject"/>
    <w:uiPriority w:val="99"/>
    <w:semiHidden/>
    <w:rsid w:val="003875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hart" Target="charts/chart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Han%20Disk:Users:han:Dropbox:EU_Japan_Security:EUJA_book%20proposal_chapter%20one_conclusions_hd:collapse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stacked"/>
        <c:varyColors val="0"/>
        <c:ser>
          <c:idx val="0"/>
          <c:order val="0"/>
          <c:tx>
            <c:strRef>
              <c:f>Sheet5!$A$2</c:f>
              <c:strCache>
                <c:ptCount val="1"/>
                <c:pt idx="0">
                  <c:v>Low</c:v>
                </c:pt>
              </c:strCache>
            </c:strRef>
          </c:tx>
          <c:spPr>
            <a:solidFill>
              <a:schemeClr val="bg1">
                <a:lumMod val="95000"/>
              </a:schemeClr>
            </a:solidFill>
            <a:ln>
              <a:solidFill>
                <a:schemeClr val="tx1"/>
              </a:solidFill>
            </a:ln>
          </c:spPr>
          <c:invertIfNegative val="0"/>
          <c:cat>
            <c:strRef>
              <c:f>Sheet5!$B$1:$H$1</c:f>
              <c:strCache>
                <c:ptCount val="7"/>
                <c:pt idx="0">
                  <c:v>1991 2000</c:v>
                </c:pt>
                <c:pt idx="1">
                  <c:v>2001 2010</c:v>
                </c:pt>
                <c:pt idx="2">
                  <c:v>2011  2017</c:v>
                </c:pt>
                <c:pt idx="4">
                  <c:v>1991 2000</c:v>
                </c:pt>
                <c:pt idx="5">
                  <c:v>2001 2010</c:v>
                </c:pt>
                <c:pt idx="6">
                  <c:v>2011 2017</c:v>
                </c:pt>
              </c:strCache>
            </c:strRef>
          </c:cat>
          <c:val>
            <c:numRef>
              <c:f>Sheet5!$B$2:$H$2</c:f>
              <c:numCache>
                <c:formatCode>General</c:formatCode>
                <c:ptCount val="7"/>
                <c:pt idx="0">
                  <c:v>3.0</c:v>
                </c:pt>
                <c:pt idx="1">
                  <c:v>0.0</c:v>
                </c:pt>
                <c:pt idx="2">
                  <c:v>0.0</c:v>
                </c:pt>
              </c:numCache>
            </c:numRef>
          </c:val>
        </c:ser>
        <c:ser>
          <c:idx val="1"/>
          <c:order val="1"/>
          <c:tx>
            <c:strRef>
              <c:f>Sheet5!$A$3</c:f>
              <c:strCache>
                <c:ptCount val="1"/>
                <c:pt idx="0">
                  <c:v>Medium</c:v>
                </c:pt>
              </c:strCache>
            </c:strRef>
          </c:tx>
          <c:spPr>
            <a:solidFill>
              <a:schemeClr val="bg1">
                <a:lumMod val="65000"/>
              </a:schemeClr>
            </a:solidFill>
            <a:ln>
              <a:solidFill>
                <a:schemeClr val="tx1"/>
              </a:solidFill>
            </a:ln>
          </c:spPr>
          <c:invertIfNegative val="0"/>
          <c:cat>
            <c:strRef>
              <c:f>Sheet5!$B$1:$H$1</c:f>
              <c:strCache>
                <c:ptCount val="7"/>
                <c:pt idx="0">
                  <c:v>1991 2000</c:v>
                </c:pt>
                <c:pt idx="1">
                  <c:v>2001 2010</c:v>
                </c:pt>
                <c:pt idx="2">
                  <c:v>2011  2017</c:v>
                </c:pt>
                <c:pt idx="4">
                  <c:v>1991 2000</c:v>
                </c:pt>
                <c:pt idx="5">
                  <c:v>2001 2010</c:v>
                </c:pt>
                <c:pt idx="6">
                  <c:v>2011 2017</c:v>
                </c:pt>
              </c:strCache>
            </c:strRef>
          </c:cat>
          <c:val>
            <c:numRef>
              <c:f>Sheet5!$B$3:$H$3</c:f>
              <c:numCache>
                <c:formatCode>General</c:formatCode>
                <c:ptCount val="7"/>
                <c:pt idx="0">
                  <c:v>8.0</c:v>
                </c:pt>
                <c:pt idx="1">
                  <c:v>7.0</c:v>
                </c:pt>
                <c:pt idx="2">
                  <c:v>5.0</c:v>
                </c:pt>
              </c:numCache>
            </c:numRef>
          </c:val>
        </c:ser>
        <c:ser>
          <c:idx val="2"/>
          <c:order val="2"/>
          <c:tx>
            <c:strRef>
              <c:f>Sheet5!$A$4</c:f>
              <c:strCache>
                <c:ptCount val="1"/>
                <c:pt idx="0">
                  <c:v>High</c:v>
                </c:pt>
              </c:strCache>
            </c:strRef>
          </c:tx>
          <c:spPr>
            <a:solidFill>
              <a:schemeClr val="tx1">
                <a:lumMod val="50000"/>
                <a:lumOff val="50000"/>
              </a:schemeClr>
            </a:solidFill>
            <a:ln>
              <a:solidFill>
                <a:schemeClr val="tx1"/>
              </a:solidFill>
            </a:ln>
          </c:spPr>
          <c:invertIfNegative val="0"/>
          <c:cat>
            <c:strRef>
              <c:f>Sheet5!$B$1:$H$1</c:f>
              <c:strCache>
                <c:ptCount val="7"/>
                <c:pt idx="0">
                  <c:v>1991 2000</c:v>
                </c:pt>
                <c:pt idx="1">
                  <c:v>2001 2010</c:v>
                </c:pt>
                <c:pt idx="2">
                  <c:v>2011  2017</c:v>
                </c:pt>
                <c:pt idx="4">
                  <c:v>1991 2000</c:v>
                </c:pt>
                <c:pt idx="5">
                  <c:v>2001 2010</c:v>
                </c:pt>
                <c:pt idx="6">
                  <c:v>2011 2017</c:v>
                </c:pt>
              </c:strCache>
            </c:strRef>
          </c:cat>
          <c:val>
            <c:numRef>
              <c:f>Sheet5!$B$4:$H$4</c:f>
              <c:numCache>
                <c:formatCode>General</c:formatCode>
                <c:ptCount val="7"/>
                <c:pt idx="0">
                  <c:v>1.0</c:v>
                </c:pt>
                <c:pt idx="1">
                  <c:v>5.0</c:v>
                </c:pt>
                <c:pt idx="2">
                  <c:v>7.0</c:v>
                </c:pt>
              </c:numCache>
            </c:numRef>
          </c:val>
        </c:ser>
        <c:ser>
          <c:idx val="3"/>
          <c:order val="3"/>
          <c:tx>
            <c:strRef>
              <c:f>Sheet5!$A$5</c:f>
              <c:strCache>
                <c:ptCount val="1"/>
                <c:pt idx="0">
                  <c:v>japan_threat_i1</c:v>
                </c:pt>
              </c:strCache>
            </c:strRef>
          </c:tx>
          <c:spPr>
            <a:solidFill>
              <a:schemeClr val="bg1">
                <a:lumMod val="95000"/>
              </a:schemeClr>
            </a:solidFill>
            <a:ln>
              <a:solidFill>
                <a:schemeClr val="tx1"/>
              </a:solidFill>
            </a:ln>
          </c:spPr>
          <c:invertIfNegative val="0"/>
          <c:cat>
            <c:strRef>
              <c:f>Sheet5!$B$1:$H$1</c:f>
              <c:strCache>
                <c:ptCount val="7"/>
                <c:pt idx="0">
                  <c:v>1991 2000</c:v>
                </c:pt>
                <c:pt idx="1">
                  <c:v>2001 2010</c:v>
                </c:pt>
                <c:pt idx="2">
                  <c:v>2011  2017</c:v>
                </c:pt>
                <c:pt idx="4">
                  <c:v>1991 2000</c:v>
                </c:pt>
                <c:pt idx="5">
                  <c:v>2001 2010</c:v>
                </c:pt>
                <c:pt idx="6">
                  <c:v>2011 2017</c:v>
                </c:pt>
              </c:strCache>
            </c:strRef>
          </c:cat>
          <c:val>
            <c:numRef>
              <c:f>Sheet5!$B$5:$H$5</c:f>
              <c:numCache>
                <c:formatCode>General</c:formatCode>
                <c:ptCount val="7"/>
                <c:pt idx="4">
                  <c:v>4.0</c:v>
                </c:pt>
                <c:pt idx="5">
                  <c:v>1.0</c:v>
                </c:pt>
                <c:pt idx="6">
                  <c:v>1.0</c:v>
                </c:pt>
              </c:numCache>
            </c:numRef>
          </c:val>
        </c:ser>
        <c:ser>
          <c:idx val="4"/>
          <c:order val="4"/>
          <c:tx>
            <c:strRef>
              <c:f>Sheet5!$A$6</c:f>
              <c:strCache>
                <c:ptCount val="1"/>
                <c:pt idx="0">
                  <c:v>japan_threat_i2</c:v>
                </c:pt>
              </c:strCache>
            </c:strRef>
          </c:tx>
          <c:spPr>
            <a:solidFill>
              <a:schemeClr val="bg1">
                <a:lumMod val="65000"/>
              </a:schemeClr>
            </a:solidFill>
            <a:ln>
              <a:solidFill>
                <a:schemeClr val="tx1"/>
              </a:solidFill>
            </a:ln>
          </c:spPr>
          <c:invertIfNegative val="0"/>
          <c:cat>
            <c:strRef>
              <c:f>Sheet5!$B$1:$H$1</c:f>
              <c:strCache>
                <c:ptCount val="7"/>
                <c:pt idx="0">
                  <c:v>1991 2000</c:v>
                </c:pt>
                <c:pt idx="1">
                  <c:v>2001 2010</c:v>
                </c:pt>
                <c:pt idx="2">
                  <c:v>2011  2017</c:v>
                </c:pt>
                <c:pt idx="4">
                  <c:v>1991 2000</c:v>
                </c:pt>
                <c:pt idx="5">
                  <c:v>2001 2010</c:v>
                </c:pt>
                <c:pt idx="6">
                  <c:v>2011 2017</c:v>
                </c:pt>
              </c:strCache>
            </c:strRef>
          </c:cat>
          <c:val>
            <c:numRef>
              <c:f>Sheet5!$B$6:$H$6</c:f>
              <c:numCache>
                <c:formatCode>General</c:formatCode>
                <c:ptCount val="7"/>
                <c:pt idx="4">
                  <c:v>4.0</c:v>
                </c:pt>
                <c:pt idx="5">
                  <c:v>8.0</c:v>
                </c:pt>
                <c:pt idx="6">
                  <c:v>5.0</c:v>
                </c:pt>
              </c:numCache>
            </c:numRef>
          </c:val>
        </c:ser>
        <c:ser>
          <c:idx val="5"/>
          <c:order val="5"/>
          <c:tx>
            <c:strRef>
              <c:f>Sheet5!$A$7</c:f>
              <c:strCache>
                <c:ptCount val="1"/>
                <c:pt idx="0">
                  <c:v>japan_threat_i3</c:v>
                </c:pt>
              </c:strCache>
            </c:strRef>
          </c:tx>
          <c:spPr>
            <a:solidFill>
              <a:schemeClr val="tx1">
                <a:lumMod val="50000"/>
                <a:lumOff val="50000"/>
              </a:schemeClr>
            </a:solidFill>
            <a:ln>
              <a:solidFill>
                <a:schemeClr val="tx1"/>
              </a:solidFill>
            </a:ln>
          </c:spPr>
          <c:invertIfNegative val="0"/>
          <c:cat>
            <c:strRef>
              <c:f>Sheet5!$B$1:$H$1</c:f>
              <c:strCache>
                <c:ptCount val="7"/>
                <c:pt idx="0">
                  <c:v>1991 2000</c:v>
                </c:pt>
                <c:pt idx="1">
                  <c:v>2001 2010</c:v>
                </c:pt>
                <c:pt idx="2">
                  <c:v>2011  2017</c:v>
                </c:pt>
                <c:pt idx="4">
                  <c:v>1991 2000</c:v>
                </c:pt>
                <c:pt idx="5">
                  <c:v>2001 2010</c:v>
                </c:pt>
                <c:pt idx="6">
                  <c:v>2011 2017</c:v>
                </c:pt>
              </c:strCache>
            </c:strRef>
          </c:cat>
          <c:val>
            <c:numRef>
              <c:f>Sheet5!$B$7:$H$7</c:f>
              <c:numCache>
                <c:formatCode>General</c:formatCode>
                <c:ptCount val="7"/>
                <c:pt idx="4">
                  <c:v>4.0</c:v>
                </c:pt>
                <c:pt idx="5">
                  <c:v>3.0</c:v>
                </c:pt>
                <c:pt idx="6">
                  <c:v>6.0</c:v>
                </c:pt>
              </c:numCache>
            </c:numRef>
          </c:val>
        </c:ser>
        <c:dLbls>
          <c:showLegendKey val="0"/>
          <c:showVal val="0"/>
          <c:showCatName val="0"/>
          <c:showSerName val="0"/>
          <c:showPercent val="0"/>
          <c:showBubbleSize val="0"/>
        </c:dLbls>
        <c:gapWidth val="150"/>
        <c:overlap val="100"/>
        <c:axId val="2145055048"/>
        <c:axId val="2145060856"/>
      </c:barChart>
      <c:catAx>
        <c:axId val="2145055048"/>
        <c:scaling>
          <c:orientation val="minMax"/>
        </c:scaling>
        <c:delete val="0"/>
        <c:axPos val="b"/>
        <c:title>
          <c:tx>
            <c:rich>
              <a:bodyPr/>
              <a:lstStyle/>
              <a:p>
                <a:pPr>
                  <a:defRPr>
                    <a:latin typeface="Arial" panose="020B0604020202020204" pitchFamily="34" charset="0"/>
                    <a:cs typeface="Arial" panose="020B0604020202020204" pitchFamily="34" charset="0"/>
                  </a:defRPr>
                </a:pPr>
                <a:r>
                  <a:rPr lang="en-US">
                    <a:latin typeface="Arial" panose="020B0604020202020204" pitchFamily="34" charset="0"/>
                    <a:cs typeface="Arial" panose="020B0604020202020204" pitchFamily="34" charset="0"/>
                  </a:rPr>
                  <a:t>EU		Japan</a:t>
                </a:r>
              </a:p>
            </c:rich>
          </c:tx>
          <c:layout/>
          <c:overlay val="0"/>
        </c:title>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2145060856"/>
        <c:crosses val="autoZero"/>
        <c:auto val="1"/>
        <c:lblAlgn val="ctr"/>
        <c:lblOffset val="100"/>
        <c:noMultiLvlLbl val="0"/>
      </c:catAx>
      <c:valAx>
        <c:axId val="2145060856"/>
        <c:scaling>
          <c:orientation val="minMax"/>
          <c:max val="12.0"/>
        </c:scaling>
        <c:delete val="0"/>
        <c:axPos val="l"/>
        <c:majorGridlines/>
        <c:title>
          <c:tx>
            <c:rich>
              <a:bodyPr rot="-5400000" vert="horz"/>
              <a:lstStyle/>
              <a:p>
                <a:pPr>
                  <a:defRPr/>
                </a:pPr>
                <a:r>
                  <a:rPr lang="en-US"/>
                  <a:t>Number of policy</a:t>
                </a:r>
                <a:r>
                  <a:rPr lang="en-US" baseline="0"/>
                  <a:t> areas</a:t>
                </a:r>
                <a:endParaRPr lang="en-US"/>
              </a:p>
            </c:rich>
          </c:tx>
          <c:layout/>
          <c:overlay val="0"/>
        </c:title>
        <c:numFmt formatCode="General" sourceLinked="1"/>
        <c:majorTickMark val="out"/>
        <c:minorTickMark val="none"/>
        <c:tickLblPos val="nextTo"/>
        <c:crossAx val="2145055048"/>
        <c:crosses val="autoZero"/>
        <c:crossBetween val="between"/>
        <c:majorUnit val="4.0"/>
      </c:valAx>
    </c:plotArea>
    <c:legend>
      <c:legendPos val="b"/>
      <c:legendEntry>
        <c:idx val="3"/>
        <c:delete val="1"/>
      </c:legendEntry>
      <c:legendEntry>
        <c:idx val="4"/>
        <c:delete val="1"/>
      </c:legendEntry>
      <c:legendEntry>
        <c:idx val="5"/>
        <c:delete val="1"/>
      </c:legendEntry>
      <c:layout/>
      <c:overlay val="0"/>
      <c:txPr>
        <a:bodyPr/>
        <a:lstStyle/>
        <a:p>
          <a:pPr>
            <a:defRPr>
              <a:latin typeface="Arial" panose="020B0604020202020204" pitchFamily="34" charset="0"/>
              <a:cs typeface="Arial" panose="020B0604020202020204" pitchFamily="34"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1113</Words>
  <Characters>6345</Characters>
  <Application>Microsoft Macintosh Word</Application>
  <DocSecurity>0</DocSecurity>
  <Lines>52</Lines>
  <Paragraphs>14</Paragraphs>
  <ScaleCrop>false</ScaleCrop>
  <Company>University of Essex</Company>
  <LinksUpToDate>false</LinksUpToDate>
  <CharactersWithSpaces>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Dorussen</dc:creator>
  <cp:keywords/>
  <dc:description/>
  <cp:lastModifiedBy>Han Dorussen</cp:lastModifiedBy>
  <cp:revision>2</cp:revision>
  <dcterms:created xsi:type="dcterms:W3CDTF">2019-02-03T20:21:00Z</dcterms:created>
  <dcterms:modified xsi:type="dcterms:W3CDTF">2019-02-03T20:21:00Z</dcterms:modified>
</cp:coreProperties>
</file>