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4FC40" w14:textId="093FF273" w:rsidR="00AF7578" w:rsidRPr="001A1327" w:rsidRDefault="00AF7578" w:rsidP="00767B4D">
      <w:pPr>
        <w:pStyle w:val="Heading1"/>
        <w:spacing w:before="0"/>
        <w:contextualSpacing/>
        <w:jc w:val="both"/>
        <w:rPr>
          <w:rFonts w:asciiTheme="minorHAnsi" w:hAnsiTheme="minorHAnsi" w:cstheme="minorHAnsi"/>
          <w:b w:val="0"/>
          <w:color w:val="000000" w:themeColor="text1"/>
          <w:sz w:val="28"/>
          <w:szCs w:val="28"/>
        </w:rPr>
      </w:pPr>
      <w:bookmarkStart w:id="0" w:name="_Hlk46241762"/>
      <w:bookmarkStart w:id="1" w:name="_Toc362088991"/>
      <w:bookmarkStart w:id="2" w:name="_Toc377131443"/>
      <w:r w:rsidRPr="001A1327">
        <w:rPr>
          <w:rFonts w:asciiTheme="minorHAnsi" w:hAnsiTheme="minorHAnsi" w:cstheme="minorHAnsi"/>
          <w:b w:val="0"/>
          <w:color w:val="000000" w:themeColor="text1"/>
          <w:sz w:val="28"/>
          <w:szCs w:val="28"/>
        </w:rPr>
        <w:t>*** Pre-publication version: not to be circulated without permission***</w:t>
      </w:r>
    </w:p>
    <w:p w14:paraId="7544D3A1" w14:textId="1A219A85" w:rsidR="00AF7578" w:rsidRPr="001A1327" w:rsidRDefault="001A1327" w:rsidP="001A1327">
      <w:pPr>
        <w:spacing w:before="100" w:beforeAutospacing="1" w:after="100" w:afterAutospacing="1"/>
        <w:rPr>
          <w:rFonts w:eastAsia="Times New Roman" w:cstheme="minorHAnsi"/>
          <w:color w:val="000000"/>
          <w:sz w:val="28"/>
          <w:szCs w:val="28"/>
          <w:lang w:eastAsia="en-GB"/>
        </w:rPr>
      </w:pPr>
      <w:r>
        <w:rPr>
          <w:rFonts w:eastAsia="Times New Roman" w:cstheme="minorHAnsi"/>
          <w:color w:val="000000"/>
          <w:sz w:val="28"/>
          <w:szCs w:val="28"/>
          <w:lang w:eastAsia="en-GB"/>
        </w:rPr>
        <w:t xml:space="preserve">Final book chapter for edited collection on </w:t>
      </w:r>
      <w:r w:rsidRPr="001A1327">
        <w:rPr>
          <w:rFonts w:eastAsia="Times New Roman" w:cstheme="minorHAnsi"/>
          <w:color w:val="000000"/>
          <w:sz w:val="28"/>
          <w:szCs w:val="28"/>
          <w:lang w:eastAsia="en-GB"/>
        </w:rPr>
        <w:t>Supporting Legal Capacity in Socio-Legal Context</w:t>
      </w:r>
      <w:r>
        <w:rPr>
          <w:rFonts w:eastAsia="Times New Roman" w:cstheme="minorHAnsi"/>
          <w:color w:val="000000"/>
          <w:sz w:val="28"/>
          <w:szCs w:val="28"/>
          <w:lang w:eastAsia="en-GB"/>
        </w:rPr>
        <w:t xml:space="preserve">. </w:t>
      </w:r>
      <w:r w:rsidRPr="001A1327">
        <w:rPr>
          <w:rFonts w:eastAsia="Times New Roman" w:cstheme="minorHAnsi"/>
          <w:color w:val="000000"/>
          <w:sz w:val="28"/>
          <w:szCs w:val="28"/>
          <w:lang w:eastAsia="en-GB"/>
        </w:rPr>
        <w:t xml:space="preserve">Editors: Mary Donnelly, Rosie Harding, </w:t>
      </w:r>
      <w:proofErr w:type="spellStart"/>
      <w:r w:rsidRPr="001A1327">
        <w:rPr>
          <w:rFonts w:eastAsia="Times New Roman" w:cstheme="minorHAnsi"/>
          <w:color w:val="000000"/>
          <w:sz w:val="28"/>
          <w:szCs w:val="28"/>
          <w:lang w:eastAsia="en-GB"/>
        </w:rPr>
        <w:t>Ezgi</w:t>
      </w:r>
      <w:proofErr w:type="spellEnd"/>
      <w:r w:rsidRPr="001A1327">
        <w:rPr>
          <w:rFonts w:eastAsia="Times New Roman" w:cstheme="minorHAnsi"/>
          <w:color w:val="000000"/>
          <w:sz w:val="28"/>
          <w:szCs w:val="28"/>
          <w:lang w:eastAsia="en-GB"/>
        </w:rPr>
        <w:t xml:space="preserve"> </w:t>
      </w:r>
      <w:proofErr w:type="spellStart"/>
      <w:r w:rsidRPr="001A1327">
        <w:rPr>
          <w:rFonts w:eastAsia="Times New Roman" w:cstheme="minorHAnsi"/>
          <w:color w:val="000000"/>
          <w:sz w:val="28"/>
          <w:szCs w:val="28"/>
          <w:lang w:eastAsia="en-GB"/>
        </w:rPr>
        <w:t>Taşcıoğlu</w:t>
      </w:r>
      <w:proofErr w:type="spellEnd"/>
    </w:p>
    <w:p w14:paraId="7F7E6AD1" w14:textId="77777777" w:rsidR="001A1327" w:rsidRPr="001A1327" w:rsidRDefault="001A1327" w:rsidP="00AF7578">
      <w:pPr>
        <w:rPr>
          <w:rFonts w:cstheme="minorHAnsi"/>
          <w:sz w:val="28"/>
          <w:szCs w:val="28"/>
        </w:rPr>
      </w:pPr>
    </w:p>
    <w:p w14:paraId="0CCCC635" w14:textId="7C2076A8" w:rsidR="000E0EC5" w:rsidRPr="001A1327" w:rsidRDefault="00F90CB9" w:rsidP="00767B4D">
      <w:pPr>
        <w:pStyle w:val="Heading1"/>
        <w:spacing w:before="0"/>
        <w:contextualSpacing/>
        <w:jc w:val="both"/>
        <w:rPr>
          <w:rFonts w:asciiTheme="minorHAnsi" w:hAnsiTheme="minorHAnsi" w:cstheme="minorHAnsi"/>
          <w:b w:val="0"/>
          <w:color w:val="000000" w:themeColor="text1"/>
          <w:sz w:val="28"/>
          <w:szCs w:val="28"/>
        </w:rPr>
      </w:pPr>
      <w:r w:rsidRPr="001A1327">
        <w:rPr>
          <w:rFonts w:asciiTheme="minorHAnsi" w:hAnsiTheme="minorHAnsi" w:cstheme="minorHAnsi"/>
          <w:b w:val="0"/>
          <w:color w:val="000000" w:themeColor="text1"/>
          <w:sz w:val="28"/>
          <w:szCs w:val="28"/>
        </w:rPr>
        <w:t xml:space="preserve">Law’s Legitimacy and </w:t>
      </w:r>
      <w:r w:rsidR="000E0EC5" w:rsidRPr="001A1327">
        <w:rPr>
          <w:rFonts w:asciiTheme="minorHAnsi" w:hAnsiTheme="minorHAnsi" w:cstheme="minorHAnsi"/>
          <w:b w:val="0"/>
          <w:color w:val="000000" w:themeColor="text1"/>
          <w:sz w:val="28"/>
          <w:szCs w:val="28"/>
        </w:rPr>
        <w:t>Social Work</w:t>
      </w:r>
      <w:r w:rsidR="000070A7" w:rsidRPr="001A1327">
        <w:rPr>
          <w:rFonts w:asciiTheme="minorHAnsi" w:hAnsiTheme="minorHAnsi" w:cstheme="minorHAnsi"/>
          <w:b w:val="0"/>
          <w:color w:val="000000" w:themeColor="text1"/>
          <w:sz w:val="28"/>
          <w:szCs w:val="28"/>
        </w:rPr>
        <w:t xml:space="preserve"> Support </w:t>
      </w:r>
      <w:r w:rsidRPr="001A1327">
        <w:rPr>
          <w:rFonts w:asciiTheme="minorHAnsi" w:hAnsiTheme="minorHAnsi" w:cstheme="minorHAnsi"/>
          <w:b w:val="0"/>
          <w:color w:val="000000" w:themeColor="text1"/>
          <w:sz w:val="28"/>
          <w:szCs w:val="28"/>
        </w:rPr>
        <w:t>in</w:t>
      </w:r>
      <w:r w:rsidR="000070A7" w:rsidRPr="001A1327">
        <w:rPr>
          <w:rFonts w:asciiTheme="minorHAnsi" w:hAnsiTheme="minorHAnsi" w:cstheme="minorHAnsi"/>
          <w:b w:val="0"/>
          <w:color w:val="000000" w:themeColor="text1"/>
          <w:sz w:val="28"/>
          <w:szCs w:val="28"/>
        </w:rPr>
        <w:t xml:space="preserve"> Safeguarding </w:t>
      </w:r>
      <w:r w:rsidR="000E0EC5" w:rsidRPr="001A1327">
        <w:rPr>
          <w:rFonts w:asciiTheme="minorHAnsi" w:hAnsiTheme="minorHAnsi" w:cstheme="minorHAnsi"/>
          <w:b w:val="0"/>
          <w:color w:val="000000" w:themeColor="text1"/>
          <w:sz w:val="28"/>
          <w:szCs w:val="28"/>
        </w:rPr>
        <w:t xml:space="preserve">Adults </w:t>
      </w:r>
      <w:r w:rsidR="00850111" w:rsidRPr="001A1327">
        <w:rPr>
          <w:rFonts w:asciiTheme="minorHAnsi" w:hAnsiTheme="minorHAnsi" w:cstheme="minorHAnsi"/>
          <w:b w:val="0"/>
          <w:color w:val="000000" w:themeColor="text1"/>
          <w:sz w:val="28"/>
          <w:szCs w:val="28"/>
        </w:rPr>
        <w:t>at Risk of</w:t>
      </w:r>
      <w:r w:rsidR="000E0EC5" w:rsidRPr="001A1327">
        <w:rPr>
          <w:rFonts w:asciiTheme="minorHAnsi" w:hAnsiTheme="minorHAnsi" w:cstheme="minorHAnsi"/>
          <w:b w:val="0"/>
          <w:color w:val="000000" w:themeColor="text1"/>
          <w:sz w:val="28"/>
          <w:szCs w:val="28"/>
        </w:rPr>
        <w:t xml:space="preserve"> Abuse</w:t>
      </w:r>
    </w:p>
    <w:p w14:paraId="141C4343" w14:textId="77777777" w:rsidR="00767B4D" w:rsidRPr="001A1327" w:rsidRDefault="00767B4D" w:rsidP="00767B4D">
      <w:pPr>
        <w:rPr>
          <w:rFonts w:cstheme="minorHAnsi"/>
          <w:sz w:val="28"/>
          <w:szCs w:val="28"/>
        </w:rPr>
      </w:pPr>
    </w:p>
    <w:bookmarkEnd w:id="0"/>
    <w:p w14:paraId="26DC8E50" w14:textId="061D7874" w:rsidR="000E0EC5" w:rsidRPr="001A1327" w:rsidRDefault="000E0EC5" w:rsidP="005E4DC1">
      <w:pPr>
        <w:spacing w:line="360" w:lineRule="auto"/>
        <w:contextualSpacing/>
        <w:jc w:val="both"/>
        <w:rPr>
          <w:rFonts w:cstheme="minorHAnsi"/>
          <w:color w:val="000000" w:themeColor="text1"/>
          <w:sz w:val="28"/>
          <w:szCs w:val="28"/>
        </w:rPr>
      </w:pPr>
      <w:r w:rsidRPr="001A1327">
        <w:rPr>
          <w:rFonts w:cstheme="minorHAnsi"/>
          <w:color w:val="000000" w:themeColor="text1"/>
          <w:sz w:val="28"/>
          <w:szCs w:val="28"/>
        </w:rPr>
        <w:t>Jaime Lindsey</w:t>
      </w:r>
    </w:p>
    <w:bookmarkEnd w:id="1"/>
    <w:bookmarkEnd w:id="2"/>
    <w:p w14:paraId="3666886E" w14:textId="77777777" w:rsidR="000E0EC5" w:rsidRPr="00EF1E3A" w:rsidRDefault="000E0EC5" w:rsidP="00D67846">
      <w:pPr>
        <w:widowControl w:val="0"/>
        <w:autoSpaceDE w:val="0"/>
        <w:autoSpaceDN w:val="0"/>
        <w:adjustRightInd w:val="0"/>
        <w:spacing w:line="360" w:lineRule="auto"/>
        <w:jc w:val="both"/>
        <w:rPr>
          <w:rFonts w:cstheme="minorHAnsi"/>
          <w:color w:val="000000" w:themeColor="text1"/>
          <w:sz w:val="22"/>
          <w:szCs w:val="22"/>
        </w:rPr>
      </w:pPr>
    </w:p>
    <w:p w14:paraId="168CA3CD" w14:textId="77777777" w:rsidR="000E0EC5" w:rsidRPr="00FC5D4C" w:rsidRDefault="000E0EC5" w:rsidP="00FC5D4C">
      <w:pPr>
        <w:widowControl w:val="0"/>
        <w:autoSpaceDE w:val="0"/>
        <w:autoSpaceDN w:val="0"/>
        <w:adjustRightInd w:val="0"/>
        <w:spacing w:line="360" w:lineRule="auto"/>
        <w:jc w:val="both"/>
        <w:rPr>
          <w:rFonts w:asciiTheme="majorHAnsi" w:hAnsiTheme="majorHAnsi" w:cstheme="majorHAnsi"/>
          <w:color w:val="000000" w:themeColor="text1"/>
          <w:sz w:val="32"/>
          <w:szCs w:val="32"/>
        </w:rPr>
      </w:pPr>
      <w:r w:rsidRPr="00FC5D4C">
        <w:rPr>
          <w:rFonts w:cstheme="minorHAnsi"/>
          <w:color w:val="000000" w:themeColor="text1"/>
          <w:sz w:val="32"/>
          <w:szCs w:val="32"/>
        </w:rPr>
        <w:t>Introduction</w:t>
      </w:r>
    </w:p>
    <w:p w14:paraId="15F763C6" w14:textId="3AAC33D7" w:rsidR="000E0EC5" w:rsidRPr="00EF1E3A" w:rsidRDefault="000E0EC5" w:rsidP="005E4DC1">
      <w:pPr>
        <w:widowControl w:val="0"/>
        <w:autoSpaceDE w:val="0"/>
        <w:autoSpaceDN w:val="0"/>
        <w:adjustRightInd w:val="0"/>
        <w:spacing w:line="360" w:lineRule="auto"/>
        <w:contextualSpacing/>
        <w:jc w:val="both"/>
        <w:rPr>
          <w:rFonts w:cstheme="minorHAnsi"/>
          <w:color w:val="000000" w:themeColor="text1"/>
          <w:sz w:val="22"/>
          <w:szCs w:val="22"/>
        </w:rPr>
      </w:pPr>
      <w:r w:rsidRPr="00EF1E3A">
        <w:rPr>
          <w:rFonts w:cstheme="minorHAnsi"/>
          <w:color w:val="000000" w:themeColor="text1"/>
          <w:sz w:val="22"/>
          <w:szCs w:val="22"/>
          <w:lang w:val="en-US"/>
        </w:rPr>
        <w:t xml:space="preserve">English law has a complex legal framework regarding how public bodies should respond when abuse of ‘vulnerable’ adults is suspected. This includes the </w:t>
      </w:r>
      <w:r w:rsidR="00573F98" w:rsidRPr="00EF1E3A">
        <w:rPr>
          <w:rFonts w:cstheme="minorHAnsi"/>
          <w:color w:val="000000" w:themeColor="text1"/>
          <w:sz w:val="22"/>
          <w:szCs w:val="22"/>
          <w:lang w:val="en-US"/>
        </w:rPr>
        <w:t xml:space="preserve">intersection between the </w:t>
      </w:r>
      <w:r w:rsidRPr="00EF1E3A">
        <w:rPr>
          <w:rFonts w:cstheme="minorHAnsi"/>
          <w:color w:val="000000" w:themeColor="text1"/>
          <w:sz w:val="22"/>
          <w:szCs w:val="22"/>
          <w:lang w:val="en-US"/>
        </w:rPr>
        <w:t>Mental Capacity Act 2005 (MCA)</w:t>
      </w:r>
      <w:r w:rsidR="00573F98" w:rsidRPr="00EF1E3A">
        <w:rPr>
          <w:rFonts w:cstheme="minorHAnsi"/>
          <w:color w:val="000000" w:themeColor="text1"/>
          <w:sz w:val="22"/>
          <w:szCs w:val="22"/>
          <w:lang w:val="en-US"/>
        </w:rPr>
        <w:t xml:space="preserve"> and</w:t>
      </w:r>
      <w:r w:rsidRPr="00EF1E3A">
        <w:rPr>
          <w:rFonts w:cstheme="minorHAnsi"/>
          <w:color w:val="000000" w:themeColor="text1"/>
          <w:sz w:val="22"/>
          <w:szCs w:val="22"/>
          <w:lang w:val="en-US"/>
        </w:rPr>
        <w:t xml:space="preserve"> the Care Act 2014, as well as </w:t>
      </w:r>
      <w:r w:rsidR="00573F98" w:rsidRPr="00EF1E3A">
        <w:rPr>
          <w:rFonts w:cstheme="minorHAnsi"/>
          <w:color w:val="000000" w:themeColor="text1"/>
          <w:sz w:val="22"/>
          <w:szCs w:val="22"/>
          <w:lang w:val="en-US"/>
        </w:rPr>
        <w:t xml:space="preserve">various other mechanisms and </w:t>
      </w:r>
      <w:r w:rsidRPr="00EF1E3A">
        <w:rPr>
          <w:rFonts w:cstheme="minorHAnsi"/>
          <w:color w:val="000000" w:themeColor="text1"/>
          <w:sz w:val="22"/>
          <w:szCs w:val="22"/>
          <w:lang w:val="en-US"/>
        </w:rPr>
        <w:t>relevant guidance.</w:t>
      </w:r>
      <w:r w:rsidRPr="00EF1E3A">
        <w:rPr>
          <w:rStyle w:val="FootnoteReference"/>
          <w:rFonts w:cstheme="minorHAnsi"/>
          <w:color w:val="000000" w:themeColor="text1"/>
          <w:sz w:val="22"/>
          <w:szCs w:val="22"/>
          <w:lang w:val="en-US"/>
        </w:rPr>
        <w:footnoteReference w:id="1"/>
      </w:r>
      <w:r w:rsidRPr="00EF1E3A">
        <w:rPr>
          <w:rFonts w:cstheme="minorHAnsi"/>
          <w:color w:val="000000" w:themeColor="text1"/>
          <w:sz w:val="22"/>
          <w:szCs w:val="22"/>
          <w:lang w:val="en-US"/>
        </w:rPr>
        <w:t xml:space="preserve"> </w:t>
      </w:r>
      <w:r w:rsidRPr="00EF1E3A">
        <w:rPr>
          <w:rFonts w:cstheme="minorHAnsi"/>
          <w:color w:val="000000" w:themeColor="text1"/>
          <w:sz w:val="22"/>
          <w:szCs w:val="22"/>
        </w:rPr>
        <w:t>Negotiating this framework of law is not an easy task for professionals who work with adults at risk of abuse, particularly in ways that prioritise</w:t>
      </w:r>
      <w:r w:rsidRPr="00EF1E3A">
        <w:rPr>
          <w:rFonts w:cstheme="minorHAnsi"/>
          <w:i/>
          <w:iCs/>
          <w:color w:val="000000" w:themeColor="text1"/>
          <w:sz w:val="22"/>
          <w:szCs w:val="22"/>
        </w:rPr>
        <w:t xml:space="preserve"> support</w:t>
      </w:r>
      <w:r w:rsidRPr="00EF1E3A">
        <w:rPr>
          <w:rFonts w:cstheme="minorHAnsi"/>
          <w:color w:val="000000" w:themeColor="text1"/>
          <w:sz w:val="22"/>
          <w:szCs w:val="22"/>
        </w:rPr>
        <w:t xml:space="preserve"> for decision-making rather than coercion. In this chapter, I argue that one way of achieving supported decision-making in practice in England is to develop the safeguarding adults legal framework with the aim of enhancing the role of social workers to better support, rather than resort to legal coercion of, adults </w:t>
      </w:r>
      <w:r w:rsidR="00850111" w:rsidRPr="00EF1E3A">
        <w:rPr>
          <w:rFonts w:cstheme="minorHAnsi"/>
          <w:color w:val="000000" w:themeColor="text1"/>
          <w:sz w:val="22"/>
          <w:szCs w:val="22"/>
        </w:rPr>
        <w:t>at risk of</w:t>
      </w:r>
      <w:r w:rsidRPr="00EF1E3A">
        <w:rPr>
          <w:rFonts w:cstheme="minorHAnsi"/>
          <w:color w:val="000000" w:themeColor="text1"/>
          <w:sz w:val="22"/>
          <w:szCs w:val="22"/>
        </w:rPr>
        <w:t xml:space="preserve"> abuse. That is not to say that legal coercion always or inevitably results from </w:t>
      </w:r>
      <w:r w:rsidR="001C4F72" w:rsidRPr="00EF1E3A">
        <w:rPr>
          <w:rFonts w:cstheme="minorHAnsi"/>
          <w:color w:val="000000" w:themeColor="text1"/>
          <w:sz w:val="22"/>
          <w:szCs w:val="22"/>
        </w:rPr>
        <w:t>application to court</w:t>
      </w:r>
      <w:r w:rsidRPr="00EF1E3A">
        <w:rPr>
          <w:rFonts w:cstheme="minorHAnsi"/>
          <w:color w:val="000000" w:themeColor="text1"/>
          <w:sz w:val="22"/>
          <w:szCs w:val="22"/>
        </w:rPr>
        <w:t xml:space="preserve">, but that law </w:t>
      </w:r>
      <w:r w:rsidRPr="00EF1E3A">
        <w:rPr>
          <w:rFonts w:cstheme="minorHAnsi"/>
          <w:i/>
          <w:iCs/>
          <w:color w:val="000000" w:themeColor="text1"/>
          <w:sz w:val="22"/>
          <w:szCs w:val="22"/>
        </w:rPr>
        <w:t>can coerce</w:t>
      </w:r>
      <w:r w:rsidRPr="00EF1E3A">
        <w:rPr>
          <w:rFonts w:cstheme="minorHAnsi"/>
          <w:color w:val="000000" w:themeColor="text1"/>
          <w:sz w:val="22"/>
          <w:szCs w:val="22"/>
        </w:rPr>
        <w:t>, and when it does so, this merely reinforces its legitimacy.</w:t>
      </w:r>
      <w:bookmarkStart w:id="3" w:name="_Ref58406840"/>
      <w:r w:rsidRPr="00EF1E3A">
        <w:rPr>
          <w:rStyle w:val="FootnoteReference"/>
          <w:rFonts w:cstheme="minorHAnsi"/>
          <w:color w:val="000000" w:themeColor="text1"/>
          <w:sz w:val="22"/>
          <w:szCs w:val="22"/>
        </w:rPr>
        <w:footnoteReference w:id="2"/>
      </w:r>
      <w:bookmarkEnd w:id="3"/>
      <w:r w:rsidRPr="00EF1E3A">
        <w:rPr>
          <w:rFonts w:cstheme="minorHAnsi"/>
          <w:color w:val="000000" w:themeColor="text1"/>
          <w:sz w:val="22"/>
          <w:szCs w:val="22"/>
        </w:rPr>
        <w:t xml:space="preserve"> In making this argument I contrast perceptions of law’s legitimacy with understandings of the legitimacy of social work. By resorting to legal interventions, law’s legitimacy is reinforced in ways that undermine social workers’ support-based interventions, which impedes social workers from providing the kind of support which they are best placed to provide. </w:t>
      </w:r>
    </w:p>
    <w:p w14:paraId="2EE558C0" w14:textId="77777777" w:rsidR="005370ED" w:rsidRDefault="005370ED" w:rsidP="005370ED">
      <w:pPr>
        <w:widowControl w:val="0"/>
        <w:autoSpaceDE w:val="0"/>
        <w:autoSpaceDN w:val="0"/>
        <w:adjustRightInd w:val="0"/>
        <w:spacing w:line="360" w:lineRule="auto"/>
        <w:contextualSpacing/>
        <w:jc w:val="both"/>
        <w:rPr>
          <w:rFonts w:cstheme="minorHAnsi"/>
          <w:color w:val="000000" w:themeColor="text1"/>
          <w:sz w:val="22"/>
          <w:szCs w:val="22"/>
          <w:lang w:val="en-US"/>
        </w:rPr>
      </w:pPr>
    </w:p>
    <w:p w14:paraId="4EBB623E" w14:textId="746A8895" w:rsidR="000E0EC5" w:rsidRPr="00EF1E3A" w:rsidRDefault="000E0EC5" w:rsidP="005370ED">
      <w:pPr>
        <w:widowControl w:val="0"/>
        <w:autoSpaceDE w:val="0"/>
        <w:autoSpaceDN w:val="0"/>
        <w:adjustRightInd w:val="0"/>
        <w:spacing w:line="360" w:lineRule="auto"/>
        <w:contextualSpacing/>
        <w:jc w:val="both"/>
        <w:rPr>
          <w:rFonts w:cstheme="minorHAnsi"/>
          <w:color w:val="000000" w:themeColor="text1"/>
          <w:sz w:val="22"/>
          <w:szCs w:val="22"/>
          <w:lang w:val="en-US"/>
        </w:rPr>
      </w:pPr>
      <w:r w:rsidRPr="00EF1E3A">
        <w:rPr>
          <w:rFonts w:cstheme="minorHAnsi"/>
          <w:color w:val="000000" w:themeColor="text1"/>
          <w:sz w:val="22"/>
          <w:szCs w:val="22"/>
          <w:lang w:val="en-US"/>
        </w:rPr>
        <w:t>The legal framework for adult safeguarding in England centres on the Care Act 2014.</w:t>
      </w:r>
      <w:r w:rsidRPr="00EF1E3A">
        <w:rPr>
          <w:rStyle w:val="FootnoteReference"/>
          <w:rFonts w:cstheme="minorHAnsi"/>
          <w:color w:val="000000" w:themeColor="text1"/>
          <w:sz w:val="22"/>
          <w:szCs w:val="22"/>
          <w:lang w:val="en-US"/>
        </w:rPr>
        <w:footnoteReference w:id="3"/>
      </w:r>
      <w:r w:rsidRPr="00EF1E3A">
        <w:rPr>
          <w:rFonts w:cstheme="minorHAnsi"/>
          <w:color w:val="000000" w:themeColor="text1"/>
          <w:sz w:val="22"/>
          <w:szCs w:val="22"/>
          <w:lang w:val="en-US"/>
        </w:rPr>
        <w:t xml:space="preserve"> </w:t>
      </w:r>
      <w:r w:rsidRPr="00EF1E3A">
        <w:rPr>
          <w:rFonts w:cstheme="minorHAnsi"/>
          <w:color w:val="000000" w:themeColor="text1"/>
          <w:sz w:val="22"/>
          <w:szCs w:val="22"/>
        </w:rPr>
        <w:t xml:space="preserve">The primary safeguarding duty is on local authorities who are required </w:t>
      </w:r>
      <w:r w:rsidRPr="00EF1E3A">
        <w:rPr>
          <w:rFonts w:cstheme="minorHAnsi"/>
          <w:color w:val="000000" w:themeColor="text1"/>
          <w:sz w:val="22"/>
          <w:szCs w:val="22"/>
          <w:lang w:val="en-US"/>
        </w:rPr>
        <w:t xml:space="preserve">to protect adults with care and support </w:t>
      </w:r>
      <w:r w:rsidRPr="00EF1E3A">
        <w:rPr>
          <w:rFonts w:cstheme="minorHAnsi"/>
          <w:color w:val="000000" w:themeColor="text1"/>
          <w:sz w:val="22"/>
          <w:szCs w:val="22"/>
          <w:lang w:val="en-US"/>
        </w:rPr>
        <w:lastRenderedPageBreak/>
        <w:t>needs who are experiencing, or are at risk of, abuse or neglect, and as a result are unable to protect themselves.</w:t>
      </w:r>
      <w:r w:rsidRPr="00EF1E3A">
        <w:rPr>
          <w:rFonts w:cstheme="minorHAnsi"/>
          <w:color w:val="000000" w:themeColor="text1"/>
          <w:sz w:val="22"/>
          <w:szCs w:val="22"/>
          <w:vertAlign w:val="superscript"/>
        </w:rPr>
        <w:footnoteReference w:id="4"/>
      </w:r>
      <w:r w:rsidRPr="00EF1E3A">
        <w:rPr>
          <w:rFonts w:cstheme="minorHAnsi"/>
          <w:color w:val="000000" w:themeColor="text1"/>
          <w:sz w:val="22"/>
          <w:szCs w:val="22"/>
          <w:lang w:val="en-US"/>
        </w:rPr>
        <w:t xml:space="preserve"> The Care Act safeguarding duties are, however, limited in scope. They require enquiries to be undertaken to investigate the presence of abuse. When abuse is identified following those enquires, the law is much less clear about how and in what ways to respond.</w:t>
      </w:r>
      <w:bookmarkStart w:id="4" w:name="_Ref58407313"/>
      <w:r w:rsidRPr="00EF1E3A">
        <w:rPr>
          <w:rStyle w:val="FootnoteReference"/>
          <w:rFonts w:cstheme="minorHAnsi"/>
          <w:color w:val="000000" w:themeColor="text1"/>
          <w:sz w:val="22"/>
          <w:szCs w:val="22"/>
          <w:lang w:val="en-US"/>
        </w:rPr>
        <w:footnoteReference w:id="5"/>
      </w:r>
      <w:bookmarkEnd w:id="4"/>
      <w:r w:rsidRPr="00EF1E3A">
        <w:rPr>
          <w:rFonts w:cstheme="minorHAnsi"/>
          <w:color w:val="000000" w:themeColor="text1"/>
          <w:sz w:val="22"/>
          <w:szCs w:val="22"/>
          <w:lang w:val="en-US"/>
        </w:rPr>
        <w:t xml:space="preserve"> However, the Care Act operates within a wider legislative framework, most importantly in relationship with the MCA. </w:t>
      </w:r>
    </w:p>
    <w:p w14:paraId="796B2244" w14:textId="77777777" w:rsidR="005370ED" w:rsidRDefault="005370ED" w:rsidP="005370ED">
      <w:pPr>
        <w:widowControl w:val="0"/>
        <w:autoSpaceDE w:val="0"/>
        <w:autoSpaceDN w:val="0"/>
        <w:adjustRightInd w:val="0"/>
        <w:spacing w:line="360" w:lineRule="auto"/>
        <w:contextualSpacing/>
        <w:jc w:val="both"/>
        <w:rPr>
          <w:rFonts w:cstheme="minorHAnsi"/>
          <w:color w:val="000000" w:themeColor="text1"/>
          <w:sz w:val="22"/>
          <w:szCs w:val="22"/>
          <w:lang w:val="en-US"/>
        </w:rPr>
      </w:pPr>
    </w:p>
    <w:p w14:paraId="05B4D106" w14:textId="507A285C" w:rsidR="000E0EC5" w:rsidRPr="00EF1E3A" w:rsidRDefault="000E0EC5" w:rsidP="005370ED">
      <w:pPr>
        <w:widowControl w:val="0"/>
        <w:autoSpaceDE w:val="0"/>
        <w:autoSpaceDN w:val="0"/>
        <w:adjustRightInd w:val="0"/>
        <w:spacing w:line="360" w:lineRule="auto"/>
        <w:contextualSpacing/>
        <w:jc w:val="both"/>
        <w:rPr>
          <w:rFonts w:cstheme="minorHAnsi"/>
          <w:color w:val="000000" w:themeColor="text1"/>
          <w:sz w:val="22"/>
          <w:szCs w:val="22"/>
          <w:lang w:val="en-US"/>
        </w:rPr>
      </w:pPr>
      <w:r w:rsidRPr="00EF1E3A">
        <w:rPr>
          <w:rFonts w:cstheme="minorHAnsi"/>
          <w:color w:val="000000" w:themeColor="text1"/>
          <w:sz w:val="22"/>
          <w:szCs w:val="22"/>
          <w:lang w:val="en-US"/>
        </w:rPr>
        <w:t>The MCA deals with issues that arise in relation to adults who may be unable to make a decision for themselves because of a disturbance of impairment of the functioning of their mind or brain.</w:t>
      </w:r>
      <w:r w:rsidRPr="00EF1E3A">
        <w:rPr>
          <w:rStyle w:val="FootnoteReference"/>
          <w:rFonts w:cstheme="minorHAnsi"/>
          <w:color w:val="000000" w:themeColor="text1"/>
          <w:sz w:val="22"/>
          <w:szCs w:val="22"/>
          <w:lang w:val="en-US"/>
        </w:rPr>
        <w:footnoteReference w:id="6"/>
      </w:r>
      <w:r w:rsidRPr="00EF1E3A">
        <w:rPr>
          <w:rFonts w:cstheme="minorHAnsi"/>
          <w:color w:val="000000" w:themeColor="text1"/>
          <w:sz w:val="22"/>
          <w:szCs w:val="22"/>
          <w:lang w:val="en-US"/>
        </w:rPr>
        <w:t xml:space="preserve"> What this means is that, where an adult subject to a safeguarding enquiry under the Care Act is also believed to lack the mental capacity to make a decision for themselves, the MCA can be used to respond to the abusive situation. This might include making a best </w:t>
      </w:r>
      <w:proofErr w:type="gramStart"/>
      <w:r w:rsidRPr="00EF1E3A">
        <w:rPr>
          <w:rFonts w:cstheme="minorHAnsi"/>
          <w:color w:val="000000" w:themeColor="text1"/>
          <w:sz w:val="22"/>
          <w:szCs w:val="22"/>
          <w:lang w:val="en-US"/>
        </w:rPr>
        <w:t>interests</w:t>
      </w:r>
      <w:proofErr w:type="gramEnd"/>
      <w:r w:rsidRPr="00EF1E3A">
        <w:rPr>
          <w:rFonts w:cstheme="minorHAnsi"/>
          <w:color w:val="000000" w:themeColor="text1"/>
          <w:sz w:val="22"/>
          <w:szCs w:val="22"/>
          <w:lang w:val="en-US"/>
        </w:rPr>
        <w:t xml:space="preserve"> decision that it is not in that person’s best interests to reside or have contact with their abuser. Conversely, where following a safeguarding enquiry a person is believed to have the mental capacity to make a particular decision, for example to have contact with their abuser, then the MCA cannot be invoked to protect that person. This stark dividing line between the two areas of law can often leave the adult vulnerable to abuse unprotected and these boundaries of mental capacity law have been subject to criticism.</w:t>
      </w:r>
      <w:r w:rsidRPr="00EF1E3A">
        <w:rPr>
          <w:rStyle w:val="FootnoteReference"/>
          <w:rFonts w:cstheme="minorHAnsi"/>
          <w:color w:val="000000" w:themeColor="text1"/>
          <w:sz w:val="22"/>
          <w:szCs w:val="22"/>
          <w:lang w:val="en-US"/>
        </w:rPr>
        <w:footnoteReference w:id="7"/>
      </w:r>
      <w:r w:rsidRPr="00EF1E3A">
        <w:rPr>
          <w:rFonts w:cstheme="minorHAnsi"/>
          <w:color w:val="000000" w:themeColor="text1"/>
          <w:sz w:val="22"/>
          <w:szCs w:val="22"/>
          <w:lang w:val="en-US"/>
        </w:rPr>
        <w:t xml:space="preserve"> </w:t>
      </w:r>
    </w:p>
    <w:p w14:paraId="724274E5" w14:textId="77777777" w:rsidR="005370ED" w:rsidRDefault="005370ED" w:rsidP="005370ED">
      <w:pPr>
        <w:widowControl w:val="0"/>
        <w:autoSpaceDE w:val="0"/>
        <w:autoSpaceDN w:val="0"/>
        <w:adjustRightInd w:val="0"/>
        <w:spacing w:line="360" w:lineRule="auto"/>
        <w:contextualSpacing/>
        <w:jc w:val="both"/>
        <w:rPr>
          <w:rFonts w:cstheme="minorHAnsi"/>
          <w:color w:val="000000" w:themeColor="text1"/>
          <w:sz w:val="22"/>
          <w:szCs w:val="22"/>
          <w:lang w:val="en-US"/>
        </w:rPr>
      </w:pPr>
    </w:p>
    <w:p w14:paraId="04C38742" w14:textId="2F8A9352" w:rsidR="000E0EC5" w:rsidRPr="00EF1E3A" w:rsidRDefault="000E0EC5" w:rsidP="005370ED">
      <w:pPr>
        <w:widowControl w:val="0"/>
        <w:autoSpaceDE w:val="0"/>
        <w:autoSpaceDN w:val="0"/>
        <w:adjustRightInd w:val="0"/>
        <w:spacing w:line="360" w:lineRule="auto"/>
        <w:contextualSpacing/>
        <w:jc w:val="both"/>
        <w:rPr>
          <w:rFonts w:cstheme="minorHAnsi"/>
          <w:color w:val="000000" w:themeColor="text1"/>
          <w:sz w:val="22"/>
          <w:szCs w:val="22"/>
          <w:lang w:val="en-US"/>
        </w:rPr>
      </w:pPr>
      <w:r w:rsidRPr="00EF1E3A">
        <w:rPr>
          <w:rFonts w:cstheme="minorHAnsi"/>
          <w:color w:val="000000" w:themeColor="text1"/>
          <w:sz w:val="22"/>
          <w:szCs w:val="22"/>
          <w:lang w:val="en-US"/>
        </w:rPr>
        <w:t xml:space="preserve">In this chapter, I explore the ways that social workers can support the </w:t>
      </w:r>
      <w:r w:rsidR="00E91EA8" w:rsidRPr="00EF1E3A">
        <w:rPr>
          <w:rFonts w:cstheme="minorHAnsi"/>
          <w:color w:val="000000" w:themeColor="text1"/>
          <w:sz w:val="22"/>
          <w:szCs w:val="22"/>
          <w:lang w:val="en-US"/>
        </w:rPr>
        <w:t>person</w:t>
      </w:r>
      <w:r w:rsidRPr="00EF1E3A">
        <w:rPr>
          <w:rFonts w:cstheme="minorHAnsi"/>
          <w:color w:val="000000" w:themeColor="text1"/>
          <w:sz w:val="22"/>
          <w:szCs w:val="22"/>
          <w:lang w:val="en-US"/>
        </w:rPr>
        <w:t xml:space="preserve"> to make her own decisions without resorting to the legal coercion permitted by the MCA. In developing my arguments about the supportive potential of social work, I draw on original qualitative research carried out into the use of mental capacity law in practice in England to provide an insight into the practice of how social workers understand and </w:t>
      </w:r>
      <w:proofErr w:type="spellStart"/>
      <w:r w:rsidRPr="00EF1E3A">
        <w:rPr>
          <w:rFonts w:cstheme="minorHAnsi"/>
          <w:color w:val="000000" w:themeColor="text1"/>
          <w:sz w:val="22"/>
          <w:szCs w:val="22"/>
          <w:lang w:val="en-US"/>
        </w:rPr>
        <w:t>operationalise</w:t>
      </w:r>
      <w:proofErr w:type="spellEnd"/>
      <w:r w:rsidRPr="00EF1E3A">
        <w:rPr>
          <w:rFonts w:cstheme="minorHAnsi"/>
          <w:color w:val="000000" w:themeColor="text1"/>
          <w:sz w:val="22"/>
          <w:szCs w:val="22"/>
          <w:lang w:val="en-US"/>
        </w:rPr>
        <w:t xml:space="preserve"> their role. I carried out eight in depth </w:t>
      </w:r>
      <w:r w:rsidR="00E91EA8" w:rsidRPr="00EF1E3A">
        <w:rPr>
          <w:rFonts w:cstheme="minorHAnsi"/>
          <w:color w:val="000000" w:themeColor="text1"/>
          <w:sz w:val="22"/>
          <w:szCs w:val="22"/>
          <w:lang w:val="en-US"/>
        </w:rPr>
        <w:t xml:space="preserve">semi-structured </w:t>
      </w:r>
      <w:r w:rsidRPr="00EF1E3A">
        <w:rPr>
          <w:rFonts w:cstheme="minorHAnsi"/>
          <w:color w:val="000000" w:themeColor="text1"/>
          <w:sz w:val="22"/>
          <w:szCs w:val="22"/>
          <w:lang w:val="en-US"/>
        </w:rPr>
        <w:t xml:space="preserve">interviews with social workers, each of whom had experience of working with the MCA. The interviews </w:t>
      </w:r>
      <w:r w:rsidR="00E91EA8" w:rsidRPr="00EF1E3A">
        <w:rPr>
          <w:rFonts w:cstheme="minorHAnsi"/>
          <w:color w:val="000000" w:themeColor="text1"/>
          <w:sz w:val="22"/>
          <w:szCs w:val="22"/>
          <w:lang w:val="en-US"/>
        </w:rPr>
        <w:t>explored</w:t>
      </w:r>
      <w:r w:rsidRPr="00EF1E3A">
        <w:rPr>
          <w:rFonts w:cstheme="minorHAnsi"/>
          <w:color w:val="000000" w:themeColor="text1"/>
          <w:sz w:val="22"/>
          <w:szCs w:val="22"/>
          <w:lang w:val="en-US"/>
        </w:rPr>
        <w:t xml:space="preserve"> key themes</w:t>
      </w:r>
      <w:r w:rsidR="001C4F72" w:rsidRPr="00EF1E3A">
        <w:rPr>
          <w:rFonts w:cstheme="minorHAnsi"/>
          <w:color w:val="000000" w:themeColor="text1"/>
          <w:sz w:val="22"/>
          <w:szCs w:val="22"/>
          <w:lang w:val="en-US"/>
        </w:rPr>
        <w:t xml:space="preserve"> and the focus of the interviews explored in this chapter is</w:t>
      </w:r>
      <w:r w:rsidRPr="00EF1E3A">
        <w:rPr>
          <w:rFonts w:cstheme="minorHAnsi"/>
          <w:color w:val="000000" w:themeColor="text1"/>
          <w:sz w:val="22"/>
          <w:szCs w:val="22"/>
          <w:lang w:val="en-US"/>
        </w:rPr>
        <w:t xml:space="preserve"> social workers’ experience of the Court of Protection (CoP) and questions around supported decision-making.</w:t>
      </w:r>
      <w:bookmarkStart w:id="5" w:name="_Ref58407175"/>
      <w:r w:rsidRPr="00EF1E3A">
        <w:rPr>
          <w:rStyle w:val="FootnoteReference"/>
          <w:rFonts w:cstheme="minorHAnsi"/>
          <w:color w:val="000000" w:themeColor="text1"/>
          <w:sz w:val="22"/>
          <w:szCs w:val="22"/>
          <w:lang w:val="en-US"/>
        </w:rPr>
        <w:footnoteReference w:id="8"/>
      </w:r>
      <w:bookmarkEnd w:id="5"/>
      <w:r w:rsidRPr="00EF1E3A">
        <w:rPr>
          <w:rFonts w:cstheme="minorHAnsi"/>
          <w:color w:val="000000" w:themeColor="text1"/>
          <w:sz w:val="22"/>
          <w:szCs w:val="22"/>
          <w:lang w:val="en-US"/>
        </w:rPr>
        <w:t xml:space="preserve"> </w:t>
      </w:r>
    </w:p>
    <w:p w14:paraId="5C28ABAB" w14:textId="535C9C1D" w:rsidR="000E0EC5" w:rsidRPr="00EF1E3A" w:rsidRDefault="000E0EC5" w:rsidP="005370ED">
      <w:pPr>
        <w:widowControl w:val="0"/>
        <w:autoSpaceDE w:val="0"/>
        <w:autoSpaceDN w:val="0"/>
        <w:adjustRightInd w:val="0"/>
        <w:spacing w:line="360" w:lineRule="auto"/>
        <w:contextualSpacing/>
        <w:jc w:val="both"/>
        <w:rPr>
          <w:rFonts w:cstheme="minorHAnsi"/>
          <w:color w:val="000000" w:themeColor="text1"/>
          <w:sz w:val="22"/>
          <w:szCs w:val="22"/>
          <w:lang w:val="en-US"/>
        </w:rPr>
      </w:pPr>
      <w:r w:rsidRPr="00EF1E3A">
        <w:rPr>
          <w:rFonts w:cstheme="minorHAnsi"/>
          <w:color w:val="000000" w:themeColor="text1"/>
          <w:sz w:val="22"/>
          <w:szCs w:val="22"/>
          <w:lang w:val="en-US"/>
        </w:rPr>
        <w:lastRenderedPageBreak/>
        <w:t>In the first half of th</w:t>
      </w:r>
      <w:r w:rsidR="00E91EA8" w:rsidRPr="00EF1E3A">
        <w:rPr>
          <w:rFonts w:cstheme="minorHAnsi"/>
          <w:color w:val="000000" w:themeColor="text1"/>
          <w:sz w:val="22"/>
          <w:szCs w:val="22"/>
          <w:lang w:val="en-US"/>
        </w:rPr>
        <w:t>is</w:t>
      </w:r>
      <w:r w:rsidRPr="00EF1E3A">
        <w:rPr>
          <w:rFonts w:cstheme="minorHAnsi"/>
          <w:color w:val="000000" w:themeColor="text1"/>
          <w:sz w:val="22"/>
          <w:szCs w:val="22"/>
          <w:lang w:val="en-US"/>
        </w:rPr>
        <w:t xml:space="preserve"> chapter I explore the role of legitimacy, contrasting the different claims to legitimacy made by social work and law, arguing that because social work interventions are perceived </w:t>
      </w:r>
      <w:r w:rsidR="00E91EA8" w:rsidRPr="00EF1E3A">
        <w:rPr>
          <w:rFonts w:cstheme="minorHAnsi"/>
          <w:color w:val="000000" w:themeColor="text1"/>
          <w:sz w:val="22"/>
          <w:szCs w:val="22"/>
          <w:lang w:val="en-US"/>
        </w:rPr>
        <w:t>as less authoritative</w:t>
      </w:r>
      <w:r w:rsidRPr="00EF1E3A">
        <w:rPr>
          <w:rFonts w:cstheme="minorHAnsi"/>
          <w:color w:val="000000" w:themeColor="text1"/>
          <w:sz w:val="22"/>
          <w:szCs w:val="22"/>
          <w:lang w:val="en-US"/>
        </w:rPr>
        <w:t xml:space="preserve"> than legal interventions, social workers resort to the coercive potential of law in the most challenging, high-risk cases. Whilst social workers may benefit from the use of law, I raise concerns about law’s </w:t>
      </w:r>
      <w:r w:rsidR="006D7B63" w:rsidRPr="00EF1E3A">
        <w:rPr>
          <w:rFonts w:cstheme="minorHAnsi"/>
          <w:color w:val="000000" w:themeColor="text1"/>
          <w:sz w:val="22"/>
          <w:szCs w:val="22"/>
          <w:lang w:val="en-US"/>
        </w:rPr>
        <w:t xml:space="preserve">potential for </w:t>
      </w:r>
      <w:r w:rsidRPr="00EF1E3A">
        <w:rPr>
          <w:rFonts w:cstheme="minorHAnsi"/>
          <w:color w:val="000000" w:themeColor="text1"/>
          <w:sz w:val="22"/>
          <w:szCs w:val="22"/>
          <w:lang w:val="en-US"/>
        </w:rPr>
        <w:t xml:space="preserve">coercion and argue that social workers need greater authority to intervene through support-based interventions. In the second half I focus on how the English legal framework on adult safeguarding should be amended to enable social workers to provide support-based interventions </w:t>
      </w:r>
      <w:r w:rsidR="00E91EA8" w:rsidRPr="00EF1E3A">
        <w:rPr>
          <w:rFonts w:cstheme="minorHAnsi"/>
          <w:color w:val="000000" w:themeColor="text1"/>
          <w:sz w:val="22"/>
          <w:szCs w:val="22"/>
          <w:lang w:val="en-US"/>
        </w:rPr>
        <w:t xml:space="preserve">rather than resorting to legal coercion. </w:t>
      </w:r>
    </w:p>
    <w:p w14:paraId="1F4E9DE8" w14:textId="77777777" w:rsidR="000E0EC5" w:rsidRPr="00EF1E3A" w:rsidRDefault="000E0EC5" w:rsidP="005E4DC1">
      <w:pPr>
        <w:widowControl w:val="0"/>
        <w:autoSpaceDE w:val="0"/>
        <w:autoSpaceDN w:val="0"/>
        <w:adjustRightInd w:val="0"/>
        <w:spacing w:line="360" w:lineRule="auto"/>
        <w:contextualSpacing/>
        <w:jc w:val="both"/>
        <w:rPr>
          <w:rFonts w:cstheme="minorHAnsi"/>
          <w:color w:val="000000" w:themeColor="text1"/>
          <w:sz w:val="22"/>
          <w:szCs w:val="22"/>
          <w:lang w:val="en-US"/>
        </w:rPr>
      </w:pPr>
    </w:p>
    <w:p w14:paraId="260C9E81" w14:textId="21C2570C" w:rsidR="000E0EC5" w:rsidRPr="005370ED" w:rsidRDefault="000E0EC5" w:rsidP="005370ED">
      <w:pPr>
        <w:pStyle w:val="Heading1"/>
        <w:spacing w:before="0"/>
        <w:contextualSpacing/>
        <w:jc w:val="both"/>
        <w:rPr>
          <w:rFonts w:cstheme="majorHAnsi"/>
          <w:b w:val="0"/>
          <w:color w:val="000000" w:themeColor="text1"/>
        </w:rPr>
      </w:pPr>
      <w:bookmarkStart w:id="6" w:name="_Toc377131444"/>
      <w:r w:rsidRPr="005370ED">
        <w:rPr>
          <w:rFonts w:cstheme="majorHAnsi"/>
          <w:b w:val="0"/>
          <w:color w:val="000000" w:themeColor="text1"/>
        </w:rPr>
        <w:t>Legitimacy</w:t>
      </w:r>
      <w:r w:rsidR="002816D3" w:rsidRPr="005370ED">
        <w:rPr>
          <w:rFonts w:cstheme="majorHAnsi"/>
          <w:b w:val="0"/>
          <w:color w:val="000000" w:themeColor="text1"/>
        </w:rPr>
        <w:t>, Authority and Coercion:</w:t>
      </w:r>
      <w:r w:rsidRPr="005370ED">
        <w:rPr>
          <w:rFonts w:cstheme="majorHAnsi"/>
          <w:b w:val="0"/>
          <w:color w:val="000000" w:themeColor="text1"/>
        </w:rPr>
        <w:t xml:space="preserve"> </w:t>
      </w:r>
      <w:r w:rsidR="002816D3" w:rsidRPr="005370ED">
        <w:rPr>
          <w:rFonts w:cstheme="majorHAnsi"/>
          <w:b w:val="0"/>
          <w:color w:val="000000" w:themeColor="text1"/>
        </w:rPr>
        <w:t>T</w:t>
      </w:r>
      <w:r w:rsidRPr="005370ED">
        <w:rPr>
          <w:rFonts w:cstheme="majorHAnsi"/>
          <w:b w:val="0"/>
          <w:color w:val="000000" w:themeColor="text1"/>
        </w:rPr>
        <w:t>he Resort to Law in High-Risk Cases</w:t>
      </w:r>
      <w:bookmarkEnd w:id="6"/>
    </w:p>
    <w:p w14:paraId="2E41AFE4" w14:textId="77777777" w:rsidR="000E0EC5" w:rsidRPr="00EF1E3A" w:rsidRDefault="000E0EC5" w:rsidP="005E4DC1">
      <w:pPr>
        <w:widowControl w:val="0"/>
        <w:autoSpaceDE w:val="0"/>
        <w:autoSpaceDN w:val="0"/>
        <w:adjustRightInd w:val="0"/>
        <w:spacing w:line="360" w:lineRule="auto"/>
        <w:contextualSpacing/>
        <w:jc w:val="both"/>
        <w:rPr>
          <w:rFonts w:cstheme="minorHAnsi"/>
          <w:color w:val="000000" w:themeColor="text1"/>
          <w:sz w:val="22"/>
          <w:szCs w:val="22"/>
          <w:lang w:val="en-US"/>
        </w:rPr>
      </w:pPr>
    </w:p>
    <w:p w14:paraId="29057893" w14:textId="77777777" w:rsidR="000E0EC5" w:rsidRPr="005370ED" w:rsidRDefault="000E0EC5" w:rsidP="005370ED">
      <w:pPr>
        <w:pStyle w:val="Heading1"/>
        <w:spacing w:before="0" w:line="360" w:lineRule="auto"/>
        <w:contextualSpacing/>
        <w:jc w:val="both"/>
        <w:rPr>
          <w:rFonts w:cstheme="majorHAnsi"/>
          <w:b w:val="0"/>
          <w:color w:val="000000" w:themeColor="text1"/>
          <w:sz w:val="28"/>
          <w:szCs w:val="28"/>
        </w:rPr>
      </w:pPr>
      <w:bookmarkStart w:id="7" w:name="_Toc377131445"/>
      <w:r w:rsidRPr="005370ED">
        <w:rPr>
          <w:rFonts w:cstheme="majorHAnsi"/>
          <w:b w:val="0"/>
          <w:color w:val="000000" w:themeColor="text1"/>
          <w:sz w:val="28"/>
          <w:szCs w:val="28"/>
        </w:rPr>
        <w:t>The contrasting legitimacy of law and social work</w:t>
      </w:r>
      <w:bookmarkEnd w:id="7"/>
    </w:p>
    <w:p w14:paraId="0AE9925B" w14:textId="00BBA7B6" w:rsidR="006D7B63" w:rsidRPr="00EF1E3A" w:rsidRDefault="006D7B63" w:rsidP="009515DE">
      <w:pPr>
        <w:widowControl w:val="0"/>
        <w:autoSpaceDE w:val="0"/>
        <w:autoSpaceDN w:val="0"/>
        <w:adjustRightInd w:val="0"/>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In contrasting the differing legitimacy and authority of law and social work, I highlight the very different characterisations of the two disciplines. Law as enforceable and objective, contrasted with social work as support-based and subjective.</w:t>
      </w:r>
      <w:r w:rsidRPr="00EF1E3A">
        <w:rPr>
          <w:rFonts w:cstheme="minorHAnsi"/>
          <w:color w:val="000000" w:themeColor="text1"/>
          <w:sz w:val="22"/>
          <w:szCs w:val="22"/>
          <w:lang w:val="en-US"/>
        </w:rPr>
        <w:t xml:space="preserve"> Yet these differing legitimacy claims give law and social work quite different, and potentially conflicting, bases for their authority, which are merely reinforced when social workers</w:t>
      </w:r>
      <w:r w:rsidRPr="00EF1E3A">
        <w:rPr>
          <w:rFonts w:cstheme="minorHAnsi"/>
          <w:color w:val="000000" w:themeColor="text1"/>
          <w:sz w:val="22"/>
          <w:szCs w:val="22"/>
        </w:rPr>
        <w:t xml:space="preserve"> resort to law in high-risk adult safeguarding cases.</w:t>
      </w:r>
    </w:p>
    <w:p w14:paraId="1EB38FF5" w14:textId="77777777" w:rsidR="00BD0D45" w:rsidRDefault="00BD0D45" w:rsidP="00BD0D45">
      <w:pPr>
        <w:widowControl w:val="0"/>
        <w:autoSpaceDE w:val="0"/>
        <w:autoSpaceDN w:val="0"/>
        <w:adjustRightInd w:val="0"/>
        <w:spacing w:line="360" w:lineRule="auto"/>
        <w:contextualSpacing/>
        <w:jc w:val="both"/>
        <w:rPr>
          <w:rFonts w:cstheme="minorHAnsi"/>
          <w:color w:val="000000" w:themeColor="text1"/>
          <w:sz w:val="22"/>
          <w:szCs w:val="22"/>
        </w:rPr>
      </w:pPr>
    </w:p>
    <w:p w14:paraId="1810616B" w14:textId="208BE23A" w:rsidR="009515DE" w:rsidRPr="00EF1E3A" w:rsidRDefault="006D7B63" w:rsidP="00BD0D45">
      <w:pPr>
        <w:widowControl w:val="0"/>
        <w:autoSpaceDE w:val="0"/>
        <w:autoSpaceDN w:val="0"/>
        <w:adjustRightInd w:val="0"/>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L</w:t>
      </w:r>
      <w:r w:rsidR="000E0EC5" w:rsidRPr="00EF1E3A">
        <w:rPr>
          <w:rFonts w:cstheme="minorHAnsi"/>
          <w:color w:val="000000" w:themeColor="text1"/>
          <w:sz w:val="22"/>
          <w:szCs w:val="22"/>
        </w:rPr>
        <w:t xml:space="preserve">egitimacy </w:t>
      </w:r>
      <w:r w:rsidR="00B07B49" w:rsidRPr="00EF1E3A">
        <w:rPr>
          <w:rFonts w:cstheme="minorHAnsi"/>
          <w:color w:val="000000" w:themeColor="text1"/>
          <w:sz w:val="22"/>
          <w:szCs w:val="22"/>
        </w:rPr>
        <w:t>is</w:t>
      </w:r>
      <w:r w:rsidR="000E0EC5" w:rsidRPr="00EF1E3A">
        <w:rPr>
          <w:rFonts w:cstheme="minorHAnsi"/>
          <w:color w:val="000000" w:themeColor="text1"/>
          <w:sz w:val="22"/>
          <w:szCs w:val="22"/>
        </w:rPr>
        <w:t xml:space="preserve"> a form of</w:t>
      </w:r>
      <w:r w:rsidR="00B07B49" w:rsidRPr="00EF1E3A">
        <w:rPr>
          <w:rFonts w:cstheme="minorHAnsi"/>
          <w:color w:val="000000" w:themeColor="text1"/>
          <w:sz w:val="22"/>
          <w:szCs w:val="22"/>
        </w:rPr>
        <w:t xml:space="preserve"> social</w:t>
      </w:r>
      <w:r w:rsidR="000E0EC5" w:rsidRPr="00EF1E3A">
        <w:rPr>
          <w:rFonts w:cstheme="minorHAnsi"/>
          <w:color w:val="000000" w:themeColor="text1"/>
          <w:sz w:val="22"/>
          <w:szCs w:val="22"/>
        </w:rPr>
        <w:t xml:space="preserve"> influence or power. If an institution is seen as legitimate then it is more likely to have authority as people feel that they </w:t>
      </w:r>
      <w:r w:rsidR="00A167AD" w:rsidRPr="00EF1E3A">
        <w:rPr>
          <w:rFonts w:cstheme="minorHAnsi"/>
          <w:color w:val="000000" w:themeColor="text1"/>
          <w:sz w:val="22"/>
          <w:szCs w:val="22"/>
        </w:rPr>
        <w:t>‘</w:t>
      </w:r>
      <w:r w:rsidR="000E0EC5" w:rsidRPr="00EF1E3A">
        <w:rPr>
          <w:rFonts w:cstheme="minorHAnsi"/>
          <w:color w:val="000000" w:themeColor="text1"/>
          <w:sz w:val="22"/>
          <w:szCs w:val="22"/>
        </w:rPr>
        <w:t>ought to obey</w:t>
      </w:r>
      <w:r w:rsidR="00A167AD" w:rsidRPr="00EF1E3A">
        <w:rPr>
          <w:rFonts w:cstheme="minorHAnsi"/>
          <w:color w:val="000000" w:themeColor="text1"/>
          <w:sz w:val="22"/>
          <w:szCs w:val="22"/>
        </w:rPr>
        <w:t>’</w:t>
      </w:r>
      <w:r w:rsidR="000E0EC5" w:rsidRPr="00EF1E3A">
        <w:rPr>
          <w:rFonts w:cstheme="minorHAnsi"/>
          <w:color w:val="000000" w:themeColor="text1"/>
          <w:sz w:val="22"/>
          <w:szCs w:val="22"/>
        </w:rPr>
        <w:t>.</w:t>
      </w:r>
      <w:bookmarkStart w:id="8" w:name="_Ref37855314"/>
      <w:r w:rsidR="000E0EC5" w:rsidRPr="00EF1E3A">
        <w:rPr>
          <w:rStyle w:val="FootnoteReference"/>
          <w:rFonts w:cstheme="minorHAnsi"/>
          <w:color w:val="000000" w:themeColor="text1"/>
          <w:sz w:val="22"/>
          <w:szCs w:val="22"/>
        </w:rPr>
        <w:footnoteReference w:id="9"/>
      </w:r>
      <w:bookmarkEnd w:id="8"/>
      <w:r w:rsidR="000E0EC5" w:rsidRPr="00EF1E3A">
        <w:rPr>
          <w:rFonts w:cstheme="minorHAnsi"/>
          <w:color w:val="000000" w:themeColor="text1"/>
          <w:sz w:val="22"/>
          <w:szCs w:val="22"/>
        </w:rPr>
        <w:t xml:space="preserve"> In other words, it provides a </w:t>
      </w:r>
      <w:r w:rsidR="00A167AD" w:rsidRPr="00EF1E3A">
        <w:rPr>
          <w:rFonts w:cstheme="minorHAnsi"/>
          <w:color w:val="000000" w:themeColor="text1"/>
          <w:sz w:val="22"/>
          <w:szCs w:val="22"/>
        </w:rPr>
        <w:t>‘</w:t>
      </w:r>
      <w:r w:rsidR="000E0EC5" w:rsidRPr="00EF1E3A">
        <w:rPr>
          <w:rFonts w:cstheme="minorHAnsi"/>
          <w:color w:val="000000" w:themeColor="text1"/>
          <w:sz w:val="22"/>
          <w:szCs w:val="22"/>
        </w:rPr>
        <w:t>right to rule and the recognition by the ruled of that right</w:t>
      </w:r>
      <w:r w:rsidR="00A167AD" w:rsidRPr="00EF1E3A">
        <w:rPr>
          <w:rFonts w:cstheme="minorHAnsi"/>
          <w:color w:val="000000" w:themeColor="text1"/>
          <w:sz w:val="22"/>
          <w:szCs w:val="22"/>
        </w:rPr>
        <w:t>’</w:t>
      </w:r>
      <w:r w:rsidR="000E0EC5" w:rsidRPr="00EF1E3A">
        <w:rPr>
          <w:rFonts w:cstheme="minorHAnsi"/>
          <w:color w:val="000000" w:themeColor="text1"/>
          <w:sz w:val="22"/>
          <w:szCs w:val="22"/>
        </w:rPr>
        <w:t>.</w:t>
      </w:r>
      <w:r w:rsidR="000E0EC5" w:rsidRPr="00EF1E3A">
        <w:rPr>
          <w:rStyle w:val="FootnoteReference"/>
          <w:rFonts w:cstheme="minorHAnsi"/>
          <w:color w:val="000000" w:themeColor="text1"/>
          <w:sz w:val="22"/>
          <w:szCs w:val="22"/>
        </w:rPr>
        <w:footnoteReference w:id="10"/>
      </w:r>
      <w:r w:rsidR="000E0EC5" w:rsidRPr="00EF1E3A">
        <w:rPr>
          <w:rFonts w:cstheme="minorHAnsi"/>
          <w:color w:val="000000" w:themeColor="text1"/>
          <w:sz w:val="22"/>
          <w:szCs w:val="22"/>
        </w:rPr>
        <w:t xml:space="preserve"> That is why legitimacy is so central to law – without it, people may not obey, which would undermine the effectiveness and authority of the law</w:t>
      </w:r>
      <w:r w:rsidRPr="00EF1E3A">
        <w:rPr>
          <w:rFonts w:cstheme="minorHAnsi"/>
          <w:color w:val="000000" w:themeColor="text1"/>
          <w:sz w:val="22"/>
          <w:szCs w:val="22"/>
        </w:rPr>
        <w:t xml:space="preserve"> and lead to civil disobedience</w:t>
      </w:r>
      <w:r w:rsidR="000E0EC5" w:rsidRPr="00EF1E3A">
        <w:rPr>
          <w:rFonts w:cstheme="minorHAnsi"/>
          <w:color w:val="000000" w:themeColor="text1"/>
          <w:sz w:val="22"/>
          <w:szCs w:val="22"/>
        </w:rPr>
        <w:t>. Law has long been theorised as a source of legitimate power,</w:t>
      </w:r>
      <w:r w:rsidR="000E0EC5" w:rsidRPr="00EF1E3A">
        <w:rPr>
          <w:rStyle w:val="FootnoteReference"/>
          <w:rFonts w:cstheme="minorHAnsi"/>
          <w:color w:val="000000" w:themeColor="text1"/>
          <w:sz w:val="22"/>
          <w:szCs w:val="22"/>
        </w:rPr>
        <w:footnoteReference w:id="11"/>
      </w:r>
      <w:r w:rsidR="000E0EC5" w:rsidRPr="00EF1E3A">
        <w:rPr>
          <w:rFonts w:cstheme="minorHAnsi"/>
          <w:color w:val="000000" w:themeColor="text1"/>
          <w:sz w:val="22"/>
          <w:szCs w:val="22"/>
        </w:rPr>
        <w:t xml:space="preserve"> with the court being a key manifestation of that power, albeit the justification for law’s power varies between positivists</w:t>
      </w:r>
      <w:r w:rsidR="005210E3" w:rsidRPr="00EF1E3A">
        <w:rPr>
          <w:rFonts w:cstheme="minorHAnsi"/>
          <w:color w:val="000000" w:themeColor="text1"/>
          <w:sz w:val="22"/>
          <w:szCs w:val="22"/>
        </w:rPr>
        <w:t>,</w:t>
      </w:r>
      <w:r w:rsidR="000E0EC5" w:rsidRPr="00EF1E3A">
        <w:rPr>
          <w:rFonts w:cstheme="minorHAnsi"/>
          <w:color w:val="000000" w:themeColor="text1"/>
          <w:sz w:val="22"/>
          <w:szCs w:val="22"/>
        </w:rPr>
        <w:t xml:space="preserve"> those who look more to the moral content of the law</w:t>
      </w:r>
      <w:r w:rsidR="005210E3" w:rsidRPr="00EF1E3A">
        <w:rPr>
          <w:rFonts w:cstheme="minorHAnsi"/>
          <w:color w:val="000000" w:themeColor="text1"/>
          <w:sz w:val="22"/>
          <w:szCs w:val="22"/>
        </w:rPr>
        <w:t xml:space="preserve"> and various schools of thought in between</w:t>
      </w:r>
      <w:r w:rsidR="000E0EC5" w:rsidRPr="00EF1E3A">
        <w:rPr>
          <w:rFonts w:cstheme="minorHAnsi"/>
          <w:color w:val="000000" w:themeColor="text1"/>
          <w:sz w:val="22"/>
          <w:szCs w:val="22"/>
        </w:rPr>
        <w:t>.</w:t>
      </w:r>
      <w:bookmarkStart w:id="9" w:name="_Ref58407145"/>
      <w:r w:rsidR="000E0EC5" w:rsidRPr="00EF1E3A">
        <w:rPr>
          <w:rStyle w:val="FootnoteReference"/>
          <w:rFonts w:cstheme="minorHAnsi"/>
          <w:color w:val="000000" w:themeColor="text1"/>
          <w:sz w:val="22"/>
          <w:szCs w:val="22"/>
        </w:rPr>
        <w:footnoteReference w:id="12"/>
      </w:r>
      <w:bookmarkEnd w:id="9"/>
      <w:r w:rsidR="000E0EC5" w:rsidRPr="00EF1E3A">
        <w:rPr>
          <w:rFonts w:cstheme="minorHAnsi"/>
          <w:color w:val="000000" w:themeColor="text1"/>
          <w:sz w:val="22"/>
          <w:szCs w:val="22"/>
        </w:rPr>
        <w:t xml:space="preserve"> </w:t>
      </w:r>
      <w:r w:rsidR="005210E3" w:rsidRPr="00EF1E3A">
        <w:rPr>
          <w:rFonts w:cstheme="minorHAnsi"/>
          <w:color w:val="000000" w:themeColor="text1"/>
          <w:sz w:val="22"/>
          <w:szCs w:val="22"/>
          <w:lang w:val="en-US"/>
        </w:rPr>
        <w:t xml:space="preserve">Irrespective of whether law </w:t>
      </w:r>
      <w:r w:rsidR="005210E3" w:rsidRPr="00EF1E3A">
        <w:rPr>
          <w:rFonts w:cstheme="minorHAnsi"/>
          <w:i/>
          <w:iCs/>
          <w:color w:val="000000" w:themeColor="text1"/>
          <w:sz w:val="22"/>
          <w:szCs w:val="22"/>
          <w:lang w:val="en-US"/>
        </w:rPr>
        <w:t>ought</w:t>
      </w:r>
      <w:r w:rsidR="005210E3" w:rsidRPr="00EF1E3A">
        <w:rPr>
          <w:rFonts w:cstheme="minorHAnsi"/>
          <w:color w:val="000000" w:themeColor="text1"/>
          <w:sz w:val="22"/>
          <w:szCs w:val="22"/>
          <w:lang w:val="en-US"/>
        </w:rPr>
        <w:t xml:space="preserve"> to be viewed as legitimate for these reasons, </w:t>
      </w:r>
      <w:r w:rsidR="000E0EC5" w:rsidRPr="00EF1E3A">
        <w:rPr>
          <w:rFonts w:cstheme="minorHAnsi"/>
          <w:color w:val="000000" w:themeColor="text1"/>
          <w:sz w:val="22"/>
          <w:szCs w:val="22"/>
        </w:rPr>
        <w:t xml:space="preserve">so far as </w:t>
      </w:r>
      <w:r w:rsidR="000E0EC5" w:rsidRPr="00EF1E3A">
        <w:rPr>
          <w:rFonts w:cstheme="minorHAnsi"/>
          <w:color w:val="000000" w:themeColor="text1"/>
          <w:sz w:val="22"/>
          <w:szCs w:val="22"/>
        </w:rPr>
        <w:lastRenderedPageBreak/>
        <w:t xml:space="preserve">law is commonly depicted, its legitimacy </w:t>
      </w:r>
      <w:r w:rsidRPr="00EF1E3A">
        <w:rPr>
          <w:rFonts w:cstheme="minorHAnsi"/>
          <w:color w:val="000000" w:themeColor="text1"/>
          <w:sz w:val="22"/>
          <w:szCs w:val="22"/>
        </w:rPr>
        <w:t xml:space="preserve"> </w:t>
      </w:r>
      <w:r w:rsidR="000E0EC5" w:rsidRPr="00EF1E3A">
        <w:rPr>
          <w:rFonts w:cstheme="minorHAnsi"/>
          <w:color w:val="000000" w:themeColor="text1"/>
          <w:sz w:val="22"/>
          <w:szCs w:val="22"/>
        </w:rPr>
        <w:t>stem</w:t>
      </w:r>
      <w:r w:rsidR="00295308">
        <w:rPr>
          <w:rFonts w:cstheme="minorHAnsi"/>
          <w:color w:val="000000" w:themeColor="text1"/>
          <w:sz w:val="22"/>
          <w:szCs w:val="22"/>
        </w:rPr>
        <w:t>s</w:t>
      </w:r>
      <w:r w:rsidR="000E0EC5" w:rsidRPr="00EF1E3A">
        <w:rPr>
          <w:rFonts w:cstheme="minorHAnsi"/>
          <w:color w:val="000000" w:themeColor="text1"/>
          <w:sz w:val="22"/>
          <w:szCs w:val="22"/>
        </w:rPr>
        <w:t xml:space="preserve"> from two key features – its perceived enforceability and objectivity of application</w:t>
      </w:r>
      <w:r w:rsidR="005210E3" w:rsidRPr="00EF1E3A">
        <w:rPr>
          <w:rFonts w:cstheme="minorHAnsi"/>
          <w:color w:val="000000" w:themeColor="text1"/>
          <w:sz w:val="22"/>
          <w:szCs w:val="22"/>
        </w:rPr>
        <w:t xml:space="preserve">. </w:t>
      </w:r>
      <w:r w:rsidR="000E0EC5" w:rsidRPr="00EF1E3A">
        <w:rPr>
          <w:rFonts w:cstheme="minorHAnsi"/>
          <w:color w:val="000000" w:themeColor="text1"/>
          <w:sz w:val="22"/>
          <w:szCs w:val="22"/>
          <w:lang w:val="en-US"/>
        </w:rPr>
        <w:t>Th</w:t>
      </w:r>
      <w:r w:rsidR="00A43A36">
        <w:rPr>
          <w:rFonts w:cstheme="minorHAnsi"/>
          <w:color w:val="000000" w:themeColor="text1"/>
          <w:sz w:val="22"/>
          <w:szCs w:val="22"/>
          <w:lang w:val="en-US"/>
        </w:rPr>
        <w:t>is</w:t>
      </w:r>
      <w:r w:rsidR="000E0EC5" w:rsidRPr="00EF1E3A">
        <w:rPr>
          <w:rFonts w:cstheme="minorHAnsi"/>
          <w:color w:val="000000" w:themeColor="text1"/>
          <w:sz w:val="22"/>
          <w:szCs w:val="22"/>
          <w:lang w:val="en-US"/>
        </w:rPr>
        <w:t xml:space="preserve"> is an analytical, rather than normative, jurisprudential claim based on an understanding of the historical development of the English common law;</w:t>
      </w:r>
      <w:r w:rsidR="000E0EC5" w:rsidRPr="00EF1E3A">
        <w:rPr>
          <w:rStyle w:val="FootnoteReference"/>
          <w:rFonts w:cstheme="minorHAnsi"/>
          <w:color w:val="000000" w:themeColor="text1"/>
          <w:sz w:val="22"/>
          <w:szCs w:val="22"/>
          <w:lang w:val="en-US"/>
        </w:rPr>
        <w:footnoteReference w:id="13"/>
      </w:r>
      <w:r w:rsidR="000E0EC5" w:rsidRPr="00EF1E3A">
        <w:rPr>
          <w:rFonts w:cstheme="minorHAnsi"/>
          <w:color w:val="000000" w:themeColor="text1"/>
          <w:sz w:val="22"/>
          <w:szCs w:val="22"/>
        </w:rPr>
        <w:t xml:space="preserve"> that is, that law is perceived as </w:t>
      </w:r>
      <w:r w:rsidR="009515DE" w:rsidRPr="00EF1E3A">
        <w:rPr>
          <w:rFonts w:cstheme="minorHAnsi"/>
          <w:color w:val="000000" w:themeColor="text1"/>
          <w:sz w:val="22"/>
          <w:szCs w:val="22"/>
        </w:rPr>
        <w:t xml:space="preserve">having </w:t>
      </w:r>
      <w:r w:rsidR="000E0EC5" w:rsidRPr="00EF1E3A">
        <w:rPr>
          <w:rFonts w:cstheme="minorHAnsi"/>
          <w:color w:val="000000" w:themeColor="text1"/>
          <w:sz w:val="22"/>
          <w:szCs w:val="22"/>
        </w:rPr>
        <w:t>legitima</w:t>
      </w:r>
      <w:r w:rsidR="009515DE" w:rsidRPr="00EF1E3A">
        <w:rPr>
          <w:rFonts w:cstheme="minorHAnsi"/>
          <w:color w:val="000000" w:themeColor="text1"/>
          <w:sz w:val="22"/>
          <w:szCs w:val="22"/>
        </w:rPr>
        <w:t>cy</w:t>
      </w:r>
      <w:r w:rsidR="000E0EC5" w:rsidRPr="00EF1E3A">
        <w:rPr>
          <w:rFonts w:cstheme="minorHAnsi"/>
          <w:color w:val="000000" w:themeColor="text1"/>
          <w:sz w:val="22"/>
          <w:szCs w:val="22"/>
        </w:rPr>
        <w:t xml:space="preserve"> where it is enforceable and objectively applied in like for like cases.</w:t>
      </w:r>
      <w:r w:rsidR="000E0EC5" w:rsidRPr="00EF1E3A">
        <w:rPr>
          <w:rStyle w:val="FootnoteReference"/>
          <w:rFonts w:cstheme="minorHAnsi"/>
          <w:color w:val="000000" w:themeColor="text1"/>
          <w:sz w:val="22"/>
          <w:szCs w:val="22"/>
        </w:rPr>
        <w:footnoteReference w:id="14"/>
      </w:r>
      <w:r w:rsidR="009515DE" w:rsidRPr="00EF1E3A">
        <w:rPr>
          <w:rFonts w:cstheme="minorHAnsi"/>
          <w:color w:val="000000" w:themeColor="text1"/>
          <w:sz w:val="22"/>
          <w:szCs w:val="22"/>
          <w:lang w:val="en-US"/>
        </w:rPr>
        <w:t xml:space="preserve"> </w:t>
      </w:r>
      <w:r w:rsidRPr="00EF1E3A">
        <w:rPr>
          <w:rFonts w:cstheme="minorHAnsi"/>
          <w:color w:val="000000" w:themeColor="text1"/>
          <w:sz w:val="22"/>
          <w:szCs w:val="22"/>
        </w:rPr>
        <w:t>Whilst enforceability and objectivity are key facets underpinning law’s authority to act legitimately, people do of course comply with law for other reasons. For example, many comply for normative or moral reasons, including that they perceive the law, and those who make and enforce it, to be legitimate, that it is created and applied through fair processes and that they agree with the substantive content of the law.</w:t>
      </w:r>
      <w:r w:rsidRPr="00EF1E3A">
        <w:rPr>
          <w:rStyle w:val="FootnoteReference"/>
          <w:rFonts w:cstheme="minorHAnsi"/>
          <w:color w:val="000000" w:themeColor="text1"/>
          <w:sz w:val="22"/>
          <w:szCs w:val="22"/>
        </w:rPr>
        <w:footnoteReference w:id="15"/>
      </w:r>
      <w:r w:rsidRPr="00EF1E3A">
        <w:rPr>
          <w:rFonts w:cstheme="minorHAnsi"/>
          <w:color w:val="000000" w:themeColor="text1"/>
          <w:sz w:val="22"/>
          <w:szCs w:val="22"/>
        </w:rPr>
        <w:t xml:space="preserve"> However, when the enforceable, and therefore coercive, power of law is evident, that merely serves to reinforce, rather than undermine, its authority.</w:t>
      </w:r>
      <w:r w:rsidR="00946377" w:rsidRPr="00EF1E3A">
        <w:rPr>
          <w:rFonts w:cstheme="minorHAnsi"/>
          <w:color w:val="000000" w:themeColor="text1"/>
          <w:sz w:val="22"/>
          <w:szCs w:val="22"/>
        </w:rPr>
        <w:t xml:space="preserve"> L</w:t>
      </w:r>
      <w:r w:rsidR="009515DE" w:rsidRPr="00EF1E3A">
        <w:rPr>
          <w:rFonts w:cstheme="minorHAnsi"/>
          <w:color w:val="000000" w:themeColor="text1"/>
          <w:sz w:val="22"/>
          <w:szCs w:val="22"/>
        </w:rPr>
        <w:t xml:space="preserve">aw can be enforced through the courts, being the organs of the state with the authority to punish backed up by force. </w:t>
      </w:r>
      <w:r w:rsidR="00946377" w:rsidRPr="00EF1E3A">
        <w:rPr>
          <w:rFonts w:cstheme="minorHAnsi"/>
          <w:color w:val="000000" w:themeColor="text1"/>
          <w:sz w:val="22"/>
          <w:szCs w:val="22"/>
        </w:rPr>
        <w:t xml:space="preserve">This power gives law a legitimate claim to authority, even where citizens perhaps disagree with the substantive moral content of the law. </w:t>
      </w:r>
    </w:p>
    <w:p w14:paraId="0A90FBCC" w14:textId="77777777" w:rsidR="00BD0D45" w:rsidRDefault="00BD0D45" w:rsidP="00BD0D45">
      <w:pPr>
        <w:widowControl w:val="0"/>
        <w:autoSpaceDE w:val="0"/>
        <w:autoSpaceDN w:val="0"/>
        <w:adjustRightInd w:val="0"/>
        <w:spacing w:line="360" w:lineRule="auto"/>
        <w:contextualSpacing/>
        <w:jc w:val="both"/>
        <w:rPr>
          <w:rFonts w:cstheme="minorHAnsi"/>
          <w:color w:val="000000" w:themeColor="text1"/>
          <w:sz w:val="22"/>
          <w:szCs w:val="22"/>
        </w:rPr>
      </w:pPr>
    </w:p>
    <w:p w14:paraId="2F01C5CB" w14:textId="2BDE4F32" w:rsidR="000E0EC5" w:rsidRPr="00EF1E3A" w:rsidRDefault="00B07B49" w:rsidP="00BD0D45">
      <w:pPr>
        <w:widowControl w:val="0"/>
        <w:autoSpaceDE w:val="0"/>
        <w:autoSpaceDN w:val="0"/>
        <w:adjustRightInd w:val="0"/>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 xml:space="preserve">In contrast, adult </w:t>
      </w:r>
      <w:r w:rsidRPr="00EF1E3A">
        <w:rPr>
          <w:rFonts w:cstheme="minorHAnsi"/>
          <w:color w:val="000000" w:themeColor="text1"/>
          <w:sz w:val="22"/>
          <w:szCs w:val="22"/>
          <w:lang w:val="en-US"/>
        </w:rPr>
        <w:t xml:space="preserve">social work’s legitimacy is </w:t>
      </w:r>
      <w:proofErr w:type="spellStart"/>
      <w:r w:rsidRPr="00EF1E3A">
        <w:rPr>
          <w:rFonts w:cstheme="minorHAnsi"/>
          <w:color w:val="000000" w:themeColor="text1"/>
          <w:sz w:val="22"/>
          <w:szCs w:val="22"/>
          <w:lang w:val="en-US"/>
        </w:rPr>
        <w:t>characterised</w:t>
      </w:r>
      <w:proofErr w:type="spellEnd"/>
      <w:r w:rsidRPr="00EF1E3A">
        <w:rPr>
          <w:rFonts w:cstheme="minorHAnsi"/>
          <w:color w:val="000000" w:themeColor="text1"/>
          <w:sz w:val="22"/>
          <w:szCs w:val="22"/>
          <w:lang w:val="en-US"/>
        </w:rPr>
        <w:t xml:space="preserve"> as entirely support-based and</w:t>
      </w:r>
      <w:r w:rsidR="00717A86" w:rsidRPr="00EF1E3A">
        <w:rPr>
          <w:rFonts w:cstheme="minorHAnsi"/>
          <w:color w:val="000000" w:themeColor="text1"/>
          <w:sz w:val="22"/>
          <w:szCs w:val="22"/>
          <w:lang w:val="en-US"/>
        </w:rPr>
        <w:t xml:space="preserve"> as being</w:t>
      </w:r>
      <w:r w:rsidRPr="00EF1E3A">
        <w:rPr>
          <w:rFonts w:cstheme="minorHAnsi"/>
          <w:color w:val="000000" w:themeColor="text1"/>
          <w:sz w:val="22"/>
          <w:szCs w:val="22"/>
          <w:lang w:val="en-US"/>
        </w:rPr>
        <w:t xml:space="preserve"> more subjective in nature</w:t>
      </w:r>
      <w:r w:rsidRPr="00EF1E3A">
        <w:rPr>
          <w:rFonts w:cstheme="minorHAnsi"/>
          <w:color w:val="000000" w:themeColor="text1"/>
          <w:sz w:val="22"/>
          <w:szCs w:val="22"/>
        </w:rPr>
        <w:t>.</w:t>
      </w:r>
      <w:r w:rsidRPr="00EF1E3A">
        <w:rPr>
          <w:rStyle w:val="FootnoteReference"/>
          <w:rFonts w:cstheme="minorHAnsi"/>
          <w:color w:val="000000" w:themeColor="text1"/>
          <w:sz w:val="22"/>
          <w:szCs w:val="22"/>
        </w:rPr>
        <w:footnoteReference w:id="16"/>
      </w:r>
      <w:r w:rsidRPr="00EF1E3A">
        <w:rPr>
          <w:rFonts w:cstheme="minorHAnsi"/>
          <w:color w:val="000000" w:themeColor="text1"/>
          <w:sz w:val="22"/>
          <w:szCs w:val="22"/>
        </w:rPr>
        <w:t xml:space="preserve"> </w:t>
      </w:r>
      <w:r w:rsidR="009515DE" w:rsidRPr="00EF1E3A">
        <w:rPr>
          <w:rFonts w:cstheme="minorHAnsi"/>
          <w:color w:val="000000" w:themeColor="text1"/>
          <w:sz w:val="22"/>
          <w:szCs w:val="22"/>
        </w:rPr>
        <w:t>Law</w:t>
      </w:r>
      <w:r w:rsidR="000E0EC5" w:rsidRPr="00EF1E3A">
        <w:rPr>
          <w:rFonts w:cstheme="minorHAnsi"/>
          <w:color w:val="000000" w:themeColor="text1"/>
          <w:sz w:val="22"/>
          <w:szCs w:val="22"/>
        </w:rPr>
        <w:t xml:space="preserve"> </w:t>
      </w:r>
      <w:r w:rsidR="009515DE" w:rsidRPr="00EF1E3A">
        <w:rPr>
          <w:rFonts w:cstheme="minorHAnsi"/>
          <w:color w:val="000000" w:themeColor="text1"/>
          <w:sz w:val="22"/>
          <w:szCs w:val="22"/>
        </w:rPr>
        <w:t xml:space="preserve">is </w:t>
      </w:r>
      <w:r w:rsidR="00717A86" w:rsidRPr="00EF1E3A">
        <w:rPr>
          <w:rFonts w:cstheme="minorHAnsi"/>
          <w:color w:val="000000" w:themeColor="text1"/>
          <w:sz w:val="22"/>
          <w:szCs w:val="22"/>
        </w:rPr>
        <w:t xml:space="preserve">therefore </w:t>
      </w:r>
      <w:r w:rsidR="009515DE" w:rsidRPr="00EF1E3A">
        <w:rPr>
          <w:rFonts w:cstheme="minorHAnsi"/>
          <w:color w:val="000000" w:themeColor="text1"/>
          <w:sz w:val="22"/>
          <w:szCs w:val="22"/>
        </w:rPr>
        <w:t xml:space="preserve">set </w:t>
      </w:r>
      <w:r w:rsidR="000E0EC5" w:rsidRPr="00EF1E3A">
        <w:rPr>
          <w:rFonts w:cstheme="minorHAnsi"/>
          <w:color w:val="000000" w:themeColor="text1"/>
          <w:sz w:val="22"/>
          <w:szCs w:val="22"/>
        </w:rPr>
        <w:t xml:space="preserve">up in stark contrast to </w:t>
      </w:r>
      <w:r w:rsidR="00717A86" w:rsidRPr="00EF1E3A">
        <w:rPr>
          <w:rFonts w:cstheme="minorHAnsi"/>
          <w:color w:val="000000" w:themeColor="text1"/>
          <w:sz w:val="22"/>
          <w:szCs w:val="22"/>
        </w:rPr>
        <w:t>adult social work, which does</w:t>
      </w:r>
      <w:r w:rsidR="000E0EC5" w:rsidRPr="00EF1E3A">
        <w:rPr>
          <w:rFonts w:cstheme="minorHAnsi"/>
          <w:color w:val="000000" w:themeColor="text1"/>
          <w:sz w:val="22"/>
          <w:szCs w:val="22"/>
        </w:rPr>
        <w:t xml:space="preserve"> not possess these same core </w:t>
      </w:r>
      <w:r w:rsidR="00717A86" w:rsidRPr="00EF1E3A">
        <w:rPr>
          <w:rFonts w:cstheme="minorHAnsi"/>
          <w:color w:val="000000" w:themeColor="text1"/>
          <w:sz w:val="22"/>
          <w:szCs w:val="22"/>
        </w:rPr>
        <w:t xml:space="preserve">disciplinary </w:t>
      </w:r>
      <w:r w:rsidR="000E0EC5" w:rsidRPr="00EF1E3A">
        <w:rPr>
          <w:rFonts w:cstheme="minorHAnsi"/>
          <w:color w:val="000000" w:themeColor="text1"/>
          <w:sz w:val="22"/>
          <w:szCs w:val="22"/>
        </w:rPr>
        <w:t>claims. H</w:t>
      </w:r>
      <w:proofErr w:type="spellStart"/>
      <w:r w:rsidR="000E0EC5" w:rsidRPr="00EF1E3A">
        <w:rPr>
          <w:rFonts w:cstheme="minorHAnsi"/>
          <w:color w:val="000000" w:themeColor="text1"/>
          <w:sz w:val="22"/>
          <w:szCs w:val="22"/>
          <w:lang w:val="en-US"/>
        </w:rPr>
        <w:t>istorically</w:t>
      </w:r>
      <w:proofErr w:type="spellEnd"/>
      <w:r w:rsidR="000E0EC5" w:rsidRPr="00EF1E3A">
        <w:rPr>
          <w:rFonts w:cstheme="minorHAnsi"/>
          <w:color w:val="000000" w:themeColor="text1"/>
          <w:sz w:val="22"/>
          <w:szCs w:val="22"/>
          <w:lang w:val="en-US"/>
        </w:rPr>
        <w:t xml:space="preserve">, legitimacy developed as a result of jurisdictional claims of authority and </w:t>
      </w:r>
      <w:r w:rsidR="00A167AD" w:rsidRPr="00EF1E3A">
        <w:rPr>
          <w:rFonts w:cstheme="minorHAnsi"/>
          <w:color w:val="000000" w:themeColor="text1"/>
          <w:sz w:val="22"/>
          <w:szCs w:val="22"/>
          <w:lang w:val="en-US"/>
        </w:rPr>
        <w:t>‘</w:t>
      </w:r>
      <w:r w:rsidR="000E0EC5" w:rsidRPr="00EF1E3A">
        <w:rPr>
          <w:rFonts w:cstheme="minorHAnsi"/>
          <w:color w:val="000000" w:themeColor="text1"/>
          <w:sz w:val="22"/>
          <w:szCs w:val="22"/>
          <w:lang w:val="en-US"/>
        </w:rPr>
        <w:t>scientific and ethical superiority</w:t>
      </w:r>
      <w:r w:rsidR="00A167AD" w:rsidRPr="00EF1E3A">
        <w:rPr>
          <w:rFonts w:cstheme="minorHAnsi"/>
          <w:color w:val="000000" w:themeColor="text1"/>
          <w:sz w:val="22"/>
          <w:szCs w:val="22"/>
          <w:lang w:val="en-US"/>
        </w:rPr>
        <w:t>’</w:t>
      </w:r>
      <w:r w:rsidR="000E0EC5" w:rsidRPr="00EF1E3A">
        <w:rPr>
          <w:rFonts w:cstheme="minorHAnsi"/>
          <w:color w:val="000000" w:themeColor="text1"/>
          <w:sz w:val="22"/>
          <w:szCs w:val="22"/>
          <w:lang w:val="en-US"/>
        </w:rPr>
        <w:t>.</w:t>
      </w:r>
      <w:r w:rsidR="000E0EC5" w:rsidRPr="00EF1E3A">
        <w:rPr>
          <w:rStyle w:val="FootnoteReference"/>
          <w:rFonts w:cstheme="minorHAnsi"/>
          <w:color w:val="000000" w:themeColor="text1"/>
          <w:sz w:val="22"/>
          <w:szCs w:val="22"/>
          <w:lang w:val="en-US"/>
        </w:rPr>
        <w:footnoteReference w:id="17"/>
      </w:r>
      <w:r w:rsidR="000E0EC5" w:rsidRPr="00EF1E3A">
        <w:rPr>
          <w:rFonts w:cstheme="minorHAnsi"/>
          <w:color w:val="000000" w:themeColor="text1"/>
          <w:sz w:val="22"/>
          <w:szCs w:val="22"/>
          <w:lang w:val="en-US"/>
        </w:rPr>
        <w:t xml:space="preserve"> Other professions, such as medicine, have a similarly strong claim to possessing authority and legitimacy as law. Medical professionals no longer have absolute power to enforce their decisions on patients (notwithstanding some residual power in respect of those who lack capacity). In contrast, support</w:t>
      </w:r>
      <w:r w:rsidR="007B60EE" w:rsidRPr="00EF1E3A">
        <w:rPr>
          <w:rFonts w:cstheme="minorHAnsi"/>
          <w:color w:val="000000" w:themeColor="text1"/>
          <w:sz w:val="22"/>
          <w:szCs w:val="22"/>
          <w:lang w:val="en-US"/>
        </w:rPr>
        <w:t>-</w:t>
      </w:r>
      <w:r w:rsidR="000E0EC5" w:rsidRPr="00EF1E3A">
        <w:rPr>
          <w:rFonts w:cstheme="minorHAnsi"/>
          <w:color w:val="000000" w:themeColor="text1"/>
          <w:sz w:val="22"/>
          <w:szCs w:val="22"/>
          <w:lang w:val="en-US"/>
        </w:rPr>
        <w:t xml:space="preserve">based professions such as social work, lack that same claim to objectivity and impartiality that law and medicine have long </w:t>
      </w:r>
      <w:r w:rsidR="00021611" w:rsidRPr="00EF1E3A">
        <w:rPr>
          <w:rFonts w:cstheme="minorHAnsi"/>
          <w:color w:val="000000" w:themeColor="text1"/>
          <w:sz w:val="22"/>
          <w:szCs w:val="22"/>
          <w:lang w:val="en-US"/>
        </w:rPr>
        <w:t>professed they possess</w:t>
      </w:r>
      <w:r w:rsidR="000E0EC5" w:rsidRPr="00EF1E3A">
        <w:rPr>
          <w:rFonts w:cstheme="minorHAnsi"/>
          <w:color w:val="000000" w:themeColor="text1"/>
          <w:sz w:val="22"/>
          <w:szCs w:val="22"/>
          <w:lang w:val="en-US"/>
        </w:rPr>
        <w:t>.</w:t>
      </w:r>
      <w:r w:rsidR="000E0EC5" w:rsidRPr="00EF1E3A">
        <w:rPr>
          <w:rStyle w:val="FootnoteReference"/>
          <w:rFonts w:cstheme="minorHAnsi"/>
          <w:color w:val="000000" w:themeColor="text1"/>
          <w:sz w:val="22"/>
          <w:szCs w:val="22"/>
          <w:lang w:val="en-US"/>
        </w:rPr>
        <w:footnoteReference w:id="18"/>
      </w:r>
      <w:r w:rsidR="000E0EC5" w:rsidRPr="00EF1E3A">
        <w:rPr>
          <w:rFonts w:cstheme="minorHAnsi"/>
          <w:color w:val="000000" w:themeColor="text1"/>
          <w:sz w:val="22"/>
          <w:szCs w:val="22"/>
          <w:lang w:val="en-US"/>
        </w:rPr>
        <w:t xml:space="preserve"> This can be seen in the </w:t>
      </w:r>
      <w:proofErr w:type="spellStart"/>
      <w:r w:rsidR="000E0EC5" w:rsidRPr="00EF1E3A">
        <w:rPr>
          <w:rFonts w:cstheme="minorHAnsi"/>
          <w:color w:val="000000" w:themeColor="text1"/>
          <w:sz w:val="22"/>
          <w:szCs w:val="22"/>
          <w:lang w:val="en-US"/>
        </w:rPr>
        <w:t>characterisation</w:t>
      </w:r>
      <w:proofErr w:type="spellEnd"/>
      <w:r w:rsidR="000E0EC5" w:rsidRPr="00EF1E3A">
        <w:rPr>
          <w:rFonts w:cstheme="minorHAnsi"/>
          <w:color w:val="000000" w:themeColor="text1"/>
          <w:sz w:val="22"/>
          <w:szCs w:val="22"/>
          <w:lang w:val="en-US"/>
        </w:rPr>
        <w:t xml:space="preserve"> of the social work profession, defined as:</w:t>
      </w:r>
      <w:r w:rsidR="000E0EC5" w:rsidRPr="00EF1E3A">
        <w:rPr>
          <w:rStyle w:val="FootnoteReference"/>
          <w:rFonts w:cstheme="minorHAnsi"/>
          <w:color w:val="000000" w:themeColor="text1"/>
          <w:sz w:val="22"/>
          <w:szCs w:val="22"/>
          <w:lang w:val="en-US"/>
        </w:rPr>
        <w:footnoteReference w:id="19"/>
      </w:r>
    </w:p>
    <w:p w14:paraId="165E7C25" w14:textId="77777777" w:rsidR="000E0EC5" w:rsidRPr="00EF1E3A" w:rsidRDefault="000E0EC5" w:rsidP="005E4DC1">
      <w:pPr>
        <w:widowControl w:val="0"/>
        <w:autoSpaceDE w:val="0"/>
        <w:autoSpaceDN w:val="0"/>
        <w:adjustRightInd w:val="0"/>
        <w:spacing w:line="360" w:lineRule="auto"/>
        <w:ind w:left="720" w:right="720"/>
        <w:contextualSpacing/>
        <w:jc w:val="both"/>
        <w:rPr>
          <w:rFonts w:cstheme="minorHAnsi"/>
          <w:color w:val="000000" w:themeColor="text1"/>
          <w:sz w:val="22"/>
          <w:szCs w:val="22"/>
          <w:lang w:val="en-US"/>
        </w:rPr>
      </w:pPr>
      <w:r w:rsidRPr="00EF1E3A">
        <w:rPr>
          <w:rFonts w:cstheme="minorHAnsi"/>
          <w:color w:val="000000" w:themeColor="text1"/>
          <w:sz w:val="22"/>
          <w:szCs w:val="22"/>
          <w:lang w:val="en-US"/>
        </w:rPr>
        <w:t>…a practice-based profession and an academic discipline that promotes social change and development, social cohesion, and the empowerment and liberation of people… social work</w:t>
      </w:r>
      <w:r w:rsidRPr="00EF1E3A">
        <w:rPr>
          <w:rFonts w:cstheme="minorHAnsi"/>
          <w:i/>
          <w:iCs/>
          <w:color w:val="000000" w:themeColor="text1"/>
          <w:sz w:val="22"/>
          <w:szCs w:val="22"/>
          <w:lang w:val="en-US"/>
        </w:rPr>
        <w:t xml:space="preserve"> </w:t>
      </w:r>
      <w:r w:rsidRPr="00EF1E3A">
        <w:rPr>
          <w:rFonts w:cstheme="minorHAnsi"/>
          <w:color w:val="000000" w:themeColor="text1"/>
          <w:sz w:val="22"/>
          <w:szCs w:val="22"/>
          <w:lang w:val="en-US"/>
        </w:rPr>
        <w:t xml:space="preserve">engages people and structures to address life challenges and enhance </w:t>
      </w:r>
      <w:r w:rsidRPr="00EF1E3A">
        <w:rPr>
          <w:rFonts w:cstheme="minorHAnsi"/>
          <w:color w:val="000000" w:themeColor="text1"/>
          <w:sz w:val="22"/>
          <w:szCs w:val="22"/>
          <w:lang w:val="en-US"/>
        </w:rPr>
        <w:lastRenderedPageBreak/>
        <w:t>wellbeing.</w:t>
      </w:r>
    </w:p>
    <w:p w14:paraId="41CD47EC" w14:textId="77777777" w:rsidR="000E0EC5" w:rsidRPr="00EF1E3A" w:rsidRDefault="000E0EC5" w:rsidP="005E4DC1">
      <w:pPr>
        <w:widowControl w:val="0"/>
        <w:autoSpaceDE w:val="0"/>
        <w:autoSpaceDN w:val="0"/>
        <w:adjustRightInd w:val="0"/>
        <w:spacing w:line="360" w:lineRule="auto"/>
        <w:ind w:firstLine="720"/>
        <w:contextualSpacing/>
        <w:jc w:val="both"/>
        <w:rPr>
          <w:rFonts w:cstheme="minorHAnsi"/>
          <w:color w:val="000000" w:themeColor="text1"/>
          <w:sz w:val="22"/>
          <w:szCs w:val="22"/>
          <w:lang w:val="en-US"/>
        </w:rPr>
      </w:pPr>
    </w:p>
    <w:p w14:paraId="419D1086" w14:textId="4DA857EB" w:rsidR="005754DD" w:rsidRDefault="000E0EC5" w:rsidP="001F6112">
      <w:pPr>
        <w:spacing w:line="360" w:lineRule="auto"/>
        <w:contextualSpacing/>
        <w:jc w:val="both"/>
        <w:rPr>
          <w:rFonts w:cstheme="minorHAnsi"/>
          <w:color w:val="000000" w:themeColor="text1"/>
          <w:sz w:val="22"/>
          <w:szCs w:val="22"/>
          <w:lang w:val="en-US"/>
        </w:rPr>
      </w:pPr>
      <w:r w:rsidRPr="00EF1E3A">
        <w:rPr>
          <w:rFonts w:cstheme="minorHAnsi"/>
          <w:color w:val="000000" w:themeColor="text1"/>
          <w:sz w:val="22"/>
          <w:szCs w:val="22"/>
          <w:lang w:val="en-US"/>
        </w:rPr>
        <w:t xml:space="preserve">The core elements of social work are that it: is </w:t>
      </w:r>
      <w:r w:rsidR="00A167AD" w:rsidRPr="00EF1E3A">
        <w:rPr>
          <w:rFonts w:cstheme="minorHAnsi"/>
          <w:color w:val="000000" w:themeColor="text1"/>
          <w:sz w:val="22"/>
          <w:szCs w:val="22"/>
          <w:lang w:val="en-US"/>
        </w:rPr>
        <w:t>‘</w:t>
      </w:r>
      <w:r w:rsidRPr="00EF1E3A">
        <w:rPr>
          <w:rFonts w:cstheme="minorHAnsi"/>
          <w:color w:val="000000" w:themeColor="text1"/>
          <w:sz w:val="22"/>
          <w:szCs w:val="22"/>
          <w:lang w:val="en-US"/>
        </w:rPr>
        <w:t>person-centred</w:t>
      </w:r>
      <w:r w:rsidR="00A167AD" w:rsidRPr="00EF1E3A">
        <w:rPr>
          <w:rFonts w:cstheme="minorHAnsi"/>
          <w:color w:val="000000" w:themeColor="text1"/>
          <w:sz w:val="22"/>
          <w:szCs w:val="22"/>
          <w:lang w:val="en-US"/>
        </w:rPr>
        <w:t>’</w:t>
      </w:r>
      <w:r w:rsidRPr="00EF1E3A">
        <w:rPr>
          <w:rFonts w:cstheme="minorHAnsi"/>
          <w:color w:val="000000" w:themeColor="text1"/>
          <w:sz w:val="22"/>
          <w:szCs w:val="22"/>
          <w:lang w:val="en-US"/>
        </w:rPr>
        <w:t xml:space="preserve">, is </w:t>
      </w:r>
      <w:r w:rsidR="00A167AD" w:rsidRPr="00EF1E3A">
        <w:rPr>
          <w:rFonts w:cstheme="minorHAnsi"/>
          <w:color w:val="000000" w:themeColor="text1"/>
          <w:sz w:val="22"/>
          <w:szCs w:val="22"/>
          <w:lang w:val="en-US"/>
        </w:rPr>
        <w:t>‘</w:t>
      </w:r>
      <w:r w:rsidRPr="00EF1E3A">
        <w:rPr>
          <w:rFonts w:cstheme="minorHAnsi"/>
          <w:color w:val="000000" w:themeColor="text1"/>
          <w:sz w:val="22"/>
          <w:szCs w:val="22"/>
          <w:lang w:val="en-US"/>
        </w:rPr>
        <w:t xml:space="preserve">personally and socially </w:t>
      </w:r>
      <w:proofErr w:type="spellStart"/>
      <w:r w:rsidRPr="00EF1E3A">
        <w:rPr>
          <w:rFonts w:cstheme="minorHAnsi"/>
          <w:color w:val="000000" w:themeColor="text1"/>
          <w:sz w:val="22"/>
          <w:szCs w:val="22"/>
          <w:lang w:val="en-US"/>
        </w:rPr>
        <w:t>contexted</w:t>
      </w:r>
      <w:proofErr w:type="spellEnd"/>
      <w:r w:rsidR="00A167AD" w:rsidRPr="00EF1E3A">
        <w:rPr>
          <w:rFonts w:cstheme="minorHAnsi"/>
          <w:color w:val="000000" w:themeColor="text1"/>
          <w:sz w:val="22"/>
          <w:szCs w:val="22"/>
          <w:lang w:val="en-US"/>
        </w:rPr>
        <w:t>’</w:t>
      </w:r>
      <w:r w:rsidRPr="00EF1E3A">
        <w:rPr>
          <w:rFonts w:cstheme="minorHAnsi"/>
          <w:color w:val="000000" w:themeColor="text1"/>
          <w:sz w:val="22"/>
          <w:szCs w:val="22"/>
          <w:lang w:val="en-US"/>
        </w:rPr>
        <w:t xml:space="preserve">, is </w:t>
      </w:r>
      <w:r w:rsidR="00A167AD" w:rsidRPr="00EF1E3A">
        <w:rPr>
          <w:rFonts w:cstheme="minorHAnsi"/>
          <w:color w:val="000000" w:themeColor="text1"/>
          <w:sz w:val="22"/>
          <w:szCs w:val="22"/>
          <w:lang w:val="en-US"/>
        </w:rPr>
        <w:t>‘</w:t>
      </w:r>
      <w:r w:rsidRPr="00EF1E3A">
        <w:rPr>
          <w:rFonts w:cstheme="minorHAnsi"/>
          <w:color w:val="000000" w:themeColor="text1"/>
          <w:sz w:val="22"/>
          <w:szCs w:val="22"/>
          <w:lang w:val="en-US"/>
        </w:rPr>
        <w:t>relationship-oriented</w:t>
      </w:r>
      <w:r w:rsidR="00A167AD" w:rsidRPr="00EF1E3A">
        <w:rPr>
          <w:rFonts w:cstheme="minorHAnsi"/>
          <w:color w:val="000000" w:themeColor="text1"/>
          <w:sz w:val="22"/>
          <w:szCs w:val="22"/>
          <w:lang w:val="en-US"/>
        </w:rPr>
        <w:t>’</w:t>
      </w:r>
      <w:r w:rsidRPr="00EF1E3A">
        <w:rPr>
          <w:rFonts w:cstheme="minorHAnsi"/>
          <w:color w:val="000000" w:themeColor="text1"/>
          <w:sz w:val="22"/>
          <w:szCs w:val="22"/>
          <w:lang w:val="en-US"/>
        </w:rPr>
        <w:t xml:space="preserve">, </w:t>
      </w:r>
      <w:r w:rsidR="00A167AD" w:rsidRPr="00EF1E3A">
        <w:rPr>
          <w:rFonts w:cstheme="minorHAnsi"/>
          <w:color w:val="000000" w:themeColor="text1"/>
          <w:sz w:val="22"/>
          <w:szCs w:val="22"/>
          <w:lang w:val="en-US"/>
        </w:rPr>
        <w:t>‘</w:t>
      </w:r>
      <w:r w:rsidRPr="00EF1E3A">
        <w:rPr>
          <w:rFonts w:cstheme="minorHAnsi"/>
          <w:color w:val="000000" w:themeColor="text1"/>
          <w:sz w:val="22"/>
          <w:szCs w:val="22"/>
          <w:lang w:val="en-US"/>
        </w:rPr>
        <w:t>follows an integrated process</w:t>
      </w:r>
      <w:r w:rsidR="00A167AD" w:rsidRPr="00EF1E3A">
        <w:rPr>
          <w:rFonts w:cstheme="minorHAnsi"/>
          <w:color w:val="000000" w:themeColor="text1"/>
          <w:sz w:val="22"/>
          <w:szCs w:val="22"/>
          <w:lang w:val="en-US"/>
        </w:rPr>
        <w:t>’</w:t>
      </w:r>
      <w:r w:rsidRPr="00EF1E3A">
        <w:rPr>
          <w:rFonts w:cstheme="minorHAnsi"/>
          <w:color w:val="000000" w:themeColor="text1"/>
          <w:sz w:val="22"/>
          <w:szCs w:val="22"/>
          <w:lang w:val="en-US"/>
        </w:rPr>
        <w:t xml:space="preserve"> and is </w:t>
      </w:r>
      <w:r w:rsidR="00A167AD" w:rsidRPr="00EF1E3A">
        <w:rPr>
          <w:rFonts w:cstheme="minorHAnsi"/>
          <w:color w:val="000000" w:themeColor="text1"/>
          <w:sz w:val="22"/>
          <w:szCs w:val="22"/>
          <w:lang w:val="en-US"/>
        </w:rPr>
        <w:t>‘</w:t>
      </w:r>
      <w:r w:rsidRPr="00EF1E3A">
        <w:rPr>
          <w:rFonts w:cstheme="minorHAnsi"/>
          <w:color w:val="000000" w:themeColor="text1"/>
          <w:sz w:val="22"/>
          <w:szCs w:val="22"/>
          <w:lang w:val="en-US"/>
        </w:rPr>
        <w:t>values based</w:t>
      </w:r>
      <w:r w:rsidR="00A167AD" w:rsidRPr="00EF1E3A">
        <w:rPr>
          <w:rFonts w:cstheme="minorHAnsi"/>
          <w:color w:val="000000" w:themeColor="text1"/>
          <w:sz w:val="22"/>
          <w:szCs w:val="22"/>
          <w:lang w:val="en-US"/>
        </w:rPr>
        <w:t>’</w:t>
      </w:r>
      <w:r w:rsidRPr="00EF1E3A">
        <w:rPr>
          <w:rFonts w:cstheme="minorHAnsi"/>
          <w:noProof/>
          <w:color w:val="000000" w:themeColor="text1"/>
          <w:sz w:val="22"/>
          <w:szCs w:val="22"/>
          <w:lang w:val="en-US"/>
        </w:rPr>
        <w:t>.</w:t>
      </w:r>
      <w:r w:rsidRPr="00EF1E3A">
        <w:rPr>
          <w:rStyle w:val="FootnoteReference"/>
          <w:rFonts w:cstheme="minorHAnsi"/>
          <w:noProof/>
          <w:color w:val="000000" w:themeColor="text1"/>
          <w:sz w:val="22"/>
          <w:szCs w:val="22"/>
          <w:lang w:val="en-US"/>
        </w:rPr>
        <w:footnoteReference w:id="20"/>
      </w:r>
      <w:r w:rsidRPr="00EF1E3A">
        <w:rPr>
          <w:rFonts w:cstheme="minorHAnsi"/>
          <w:noProof/>
          <w:color w:val="000000" w:themeColor="text1"/>
          <w:sz w:val="22"/>
          <w:szCs w:val="22"/>
          <w:lang w:val="en-US"/>
        </w:rPr>
        <w:t xml:space="preserve"> </w:t>
      </w:r>
      <w:r w:rsidRPr="00EF1E3A">
        <w:rPr>
          <w:rFonts w:cstheme="minorHAnsi"/>
          <w:color w:val="000000" w:themeColor="text1"/>
          <w:sz w:val="22"/>
          <w:szCs w:val="22"/>
          <w:lang w:val="en-US"/>
        </w:rPr>
        <w:t xml:space="preserve">Being person-centred and focusing on empowerment suggests social workers do not have the power of enforcement. They cannot compel service users to act; in fact, attempts to do so would contradict the appropriate role of adult social workers. </w:t>
      </w:r>
      <w:r w:rsidR="00C402BF" w:rsidRPr="00EF1E3A">
        <w:rPr>
          <w:rFonts w:cstheme="minorHAnsi"/>
          <w:color w:val="000000" w:themeColor="text1"/>
          <w:sz w:val="22"/>
          <w:szCs w:val="22"/>
        </w:rPr>
        <w:t>Adult social workers’ actions are most legitimate when they are carried out through support and their</w:t>
      </w:r>
      <w:r w:rsidRPr="00EF1E3A">
        <w:rPr>
          <w:rFonts w:cstheme="minorHAnsi"/>
          <w:color w:val="000000" w:themeColor="text1"/>
          <w:sz w:val="22"/>
          <w:szCs w:val="22"/>
          <w:lang w:val="en-US"/>
        </w:rPr>
        <w:t xml:space="preserve"> legitimacy </w:t>
      </w:r>
      <w:r w:rsidR="00C402BF" w:rsidRPr="00EF1E3A">
        <w:rPr>
          <w:rFonts w:cstheme="minorHAnsi"/>
          <w:color w:val="000000" w:themeColor="text1"/>
          <w:sz w:val="22"/>
          <w:szCs w:val="22"/>
          <w:lang w:val="en-US"/>
        </w:rPr>
        <w:t xml:space="preserve">therefore </w:t>
      </w:r>
      <w:r w:rsidRPr="00EF1E3A">
        <w:rPr>
          <w:rFonts w:cstheme="minorHAnsi"/>
          <w:color w:val="000000" w:themeColor="text1"/>
          <w:sz w:val="22"/>
          <w:szCs w:val="22"/>
          <w:lang w:val="en-US"/>
        </w:rPr>
        <w:t>stems from a fact in stark contrast to this - that their decisions can be challenged. By this I mean that social workers’ legitimacy is based on their ability to develop a relationship of trust with their service user, to support them and to only intervene within clear statutory boundaries. Where a social worker is perceived to overstep that role, service users can challenge their decisions and this is central to the legitimacy of social work as a profession. To achieve change, then, social workers engage in an art of discursive persuasion and negotiation, as well as using material pressures to encourage the service user to act in a particular way.</w:t>
      </w:r>
      <w:bookmarkStart w:id="10" w:name="_Ref58407576"/>
      <w:r w:rsidRPr="00EF1E3A">
        <w:rPr>
          <w:rStyle w:val="FootnoteReference"/>
          <w:rFonts w:cstheme="minorHAnsi"/>
          <w:color w:val="000000" w:themeColor="text1"/>
          <w:sz w:val="22"/>
          <w:szCs w:val="22"/>
          <w:lang w:val="en-US"/>
        </w:rPr>
        <w:footnoteReference w:id="21"/>
      </w:r>
      <w:bookmarkEnd w:id="10"/>
      <w:r w:rsidRPr="00EF1E3A">
        <w:rPr>
          <w:rFonts w:cstheme="minorHAnsi"/>
          <w:color w:val="000000" w:themeColor="text1"/>
          <w:sz w:val="22"/>
          <w:szCs w:val="22"/>
          <w:lang w:val="en-US"/>
        </w:rPr>
        <w:t xml:space="preserve"> Yet </w:t>
      </w:r>
      <w:r w:rsidR="00A167AD" w:rsidRPr="00EF1E3A">
        <w:rPr>
          <w:rFonts w:cstheme="minorHAnsi"/>
          <w:color w:val="000000" w:themeColor="text1"/>
          <w:sz w:val="22"/>
          <w:szCs w:val="22"/>
          <w:lang w:val="en-US"/>
        </w:rPr>
        <w:t>‘</w:t>
      </w:r>
      <w:r w:rsidRPr="00EF1E3A">
        <w:rPr>
          <w:rFonts w:cstheme="minorHAnsi"/>
          <w:color w:val="000000" w:themeColor="text1"/>
          <w:sz w:val="22"/>
          <w:szCs w:val="22"/>
        </w:rPr>
        <w:t>social work evidence is viewed in more subjective, experiential terms</w:t>
      </w:r>
      <w:r w:rsidR="00A167AD" w:rsidRPr="00EF1E3A">
        <w:rPr>
          <w:rFonts w:cstheme="minorHAnsi"/>
          <w:color w:val="000000" w:themeColor="text1"/>
          <w:sz w:val="22"/>
          <w:szCs w:val="22"/>
        </w:rPr>
        <w:t>’</w:t>
      </w:r>
      <w:r w:rsidRPr="00EF1E3A">
        <w:rPr>
          <w:rStyle w:val="FootnoteReference"/>
          <w:rFonts w:cstheme="minorHAnsi"/>
          <w:color w:val="000000" w:themeColor="text1"/>
          <w:sz w:val="22"/>
          <w:szCs w:val="22"/>
        </w:rPr>
        <w:footnoteReference w:id="22"/>
      </w:r>
      <w:r w:rsidRPr="00EF1E3A">
        <w:rPr>
          <w:rFonts w:cstheme="minorHAnsi"/>
          <w:color w:val="000000" w:themeColor="text1"/>
          <w:sz w:val="22"/>
          <w:szCs w:val="22"/>
        </w:rPr>
        <w:t xml:space="preserve"> and </w:t>
      </w:r>
      <w:r w:rsidRPr="00EF1E3A">
        <w:rPr>
          <w:rFonts w:cstheme="minorHAnsi"/>
          <w:color w:val="000000" w:themeColor="text1"/>
          <w:sz w:val="22"/>
          <w:szCs w:val="22"/>
          <w:lang w:val="en-US"/>
        </w:rPr>
        <w:t>social workers’ interventions are not based on technical claims of expertise but instead on experiential knowledge and their ability to support a service user in multifaceted ways. It is, I suggest, precisely because social work as a discipline does not easily fit into the same parameters as law</w:t>
      </w:r>
      <w:r w:rsidR="00717A86" w:rsidRPr="00EF1E3A">
        <w:rPr>
          <w:rFonts w:cstheme="minorHAnsi"/>
          <w:color w:val="000000" w:themeColor="text1"/>
          <w:sz w:val="22"/>
          <w:szCs w:val="22"/>
          <w:lang w:val="en-US"/>
        </w:rPr>
        <w:t xml:space="preserve">’s </w:t>
      </w:r>
      <w:r w:rsidRPr="00EF1E3A">
        <w:rPr>
          <w:rFonts w:cstheme="minorHAnsi"/>
          <w:color w:val="000000" w:themeColor="text1"/>
          <w:sz w:val="22"/>
          <w:szCs w:val="22"/>
          <w:lang w:val="en-US"/>
        </w:rPr>
        <w:t xml:space="preserve">legitimacy, that results in the difficulty for social workers when operating in this area. </w:t>
      </w:r>
      <w:r w:rsidRPr="00EF1E3A">
        <w:rPr>
          <w:rFonts w:cstheme="minorHAnsi"/>
          <w:color w:val="000000" w:themeColor="text1"/>
          <w:sz w:val="22"/>
          <w:szCs w:val="22"/>
        </w:rPr>
        <w:t xml:space="preserve">This was evident in my empirical research. One social worker I spoke to was sensitive to the </w:t>
      </w:r>
      <w:r w:rsidRPr="00EF1E3A">
        <w:rPr>
          <w:rFonts w:cstheme="minorHAnsi"/>
          <w:color w:val="000000" w:themeColor="text1"/>
          <w:sz w:val="22"/>
          <w:szCs w:val="22"/>
          <w:lang w:val="en-US"/>
        </w:rPr>
        <w:t xml:space="preserve">difficulties that can be caused by this process of ‘going to law’. For example, </w:t>
      </w:r>
      <w:r w:rsidRPr="00EF1E3A">
        <w:rPr>
          <w:rFonts w:cstheme="minorHAnsi"/>
          <w:color w:val="000000" w:themeColor="text1"/>
          <w:sz w:val="22"/>
          <w:szCs w:val="22"/>
        </w:rPr>
        <w:t xml:space="preserve">I </w:t>
      </w:r>
      <w:r w:rsidRPr="00EF1E3A">
        <w:rPr>
          <w:rFonts w:cstheme="minorHAnsi"/>
          <w:color w:val="000000" w:themeColor="text1"/>
          <w:sz w:val="22"/>
          <w:szCs w:val="22"/>
          <w:lang w:val="en-US"/>
        </w:rPr>
        <w:t>asked Sarah</w:t>
      </w:r>
      <w:r w:rsidRPr="00EF1E3A">
        <w:rPr>
          <w:rStyle w:val="FootnoteReference"/>
          <w:rFonts w:cstheme="minorHAnsi"/>
          <w:color w:val="000000" w:themeColor="text1"/>
          <w:sz w:val="22"/>
          <w:szCs w:val="22"/>
          <w:lang w:val="en-US"/>
        </w:rPr>
        <w:footnoteReference w:id="23"/>
      </w:r>
      <w:r w:rsidRPr="00EF1E3A">
        <w:rPr>
          <w:rFonts w:cstheme="minorHAnsi"/>
          <w:color w:val="000000" w:themeColor="text1"/>
          <w:sz w:val="22"/>
          <w:szCs w:val="22"/>
          <w:lang w:val="en-US"/>
        </w:rPr>
        <w:t xml:space="preserve"> whether she thought applying to the CoP would give her decisions more authority and she said:</w:t>
      </w:r>
    </w:p>
    <w:p w14:paraId="417BC228" w14:textId="0C9EC29F" w:rsidR="000E0EC5" w:rsidRPr="005754DD" w:rsidRDefault="000E0EC5" w:rsidP="005754DD">
      <w:pPr>
        <w:widowControl w:val="0"/>
        <w:autoSpaceDE w:val="0"/>
        <w:autoSpaceDN w:val="0"/>
        <w:adjustRightInd w:val="0"/>
        <w:spacing w:line="360" w:lineRule="auto"/>
        <w:ind w:left="720" w:right="720"/>
        <w:contextualSpacing/>
        <w:jc w:val="both"/>
        <w:rPr>
          <w:rFonts w:cstheme="minorHAnsi"/>
          <w:color w:val="000000" w:themeColor="text1"/>
          <w:sz w:val="22"/>
          <w:szCs w:val="22"/>
          <w:lang w:val="en-US"/>
        </w:rPr>
      </w:pPr>
      <w:r w:rsidRPr="005754DD">
        <w:rPr>
          <w:rFonts w:cstheme="minorHAnsi"/>
          <w:color w:val="000000" w:themeColor="text1"/>
          <w:sz w:val="22"/>
          <w:szCs w:val="22"/>
          <w:lang w:val="en-US"/>
        </w:rPr>
        <w:t>I think it would help us, in a way and feel more confident that we were backed up by something that was authoritative, and definite and coming from that place. In another way I would worry that we would then have to… we’re committed to it and we’ve got to go with it… there’s no way back once we’ve gone down that road, that’s my worry…</w:t>
      </w:r>
    </w:p>
    <w:p w14:paraId="43D43EAA" w14:textId="77777777" w:rsidR="000E0EC5" w:rsidRPr="00EF1E3A" w:rsidRDefault="000E0EC5" w:rsidP="005E4DC1">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lang w:val="en-US"/>
        </w:rPr>
      </w:pPr>
    </w:p>
    <w:p w14:paraId="05CA2335" w14:textId="2AA04FA0" w:rsidR="009515DE" w:rsidRPr="00EF1E3A" w:rsidRDefault="000E0EC5" w:rsidP="005E4DC1">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lang w:val="en-US"/>
        </w:rPr>
      </w:pPr>
      <w:r w:rsidRPr="00EF1E3A">
        <w:rPr>
          <w:rFonts w:asciiTheme="minorHAnsi" w:hAnsiTheme="minorHAnsi" w:cstheme="minorHAnsi"/>
          <w:color w:val="000000" w:themeColor="text1"/>
          <w:sz w:val="22"/>
          <w:szCs w:val="22"/>
          <w:lang w:val="en-US"/>
        </w:rPr>
        <w:lastRenderedPageBreak/>
        <w:t>This finality of a court decision reinforces its authority. However, a court decision commits the social worker to a particular course of, often coercive, action. In contrast the interventions of a social worker might be more fluid and changeable, seemingly making them less authoritative and less objective, which in turn is perceived to undermine their legitimacy.  This highlights that framing law as the objective enforcer of legal rules also impacts on those professions, such as social work, which lack a similar rhetorical claim to legitimacy.</w:t>
      </w:r>
    </w:p>
    <w:p w14:paraId="12EF5AA4" w14:textId="77777777" w:rsidR="008C72B8" w:rsidRDefault="008C72B8" w:rsidP="008C72B8">
      <w:pPr>
        <w:widowControl w:val="0"/>
        <w:autoSpaceDE w:val="0"/>
        <w:autoSpaceDN w:val="0"/>
        <w:adjustRightInd w:val="0"/>
        <w:spacing w:line="360" w:lineRule="auto"/>
        <w:contextualSpacing/>
        <w:jc w:val="both"/>
        <w:rPr>
          <w:rFonts w:cstheme="minorHAnsi"/>
          <w:color w:val="000000" w:themeColor="text1"/>
          <w:sz w:val="22"/>
          <w:szCs w:val="22"/>
          <w:lang w:val="en-US"/>
        </w:rPr>
      </w:pPr>
    </w:p>
    <w:p w14:paraId="7E93AA20" w14:textId="2E9BB941" w:rsidR="000E0EC5" w:rsidRPr="00EF1E3A" w:rsidRDefault="000E0EC5" w:rsidP="005E4DC1">
      <w:pPr>
        <w:widowControl w:val="0"/>
        <w:autoSpaceDE w:val="0"/>
        <w:autoSpaceDN w:val="0"/>
        <w:adjustRightInd w:val="0"/>
        <w:spacing w:line="360" w:lineRule="auto"/>
        <w:contextualSpacing/>
        <w:jc w:val="both"/>
        <w:rPr>
          <w:rFonts w:cstheme="minorHAnsi"/>
          <w:color w:val="000000" w:themeColor="text1"/>
          <w:sz w:val="22"/>
          <w:szCs w:val="22"/>
          <w:lang w:val="en-US"/>
        </w:rPr>
      </w:pPr>
      <w:r w:rsidRPr="00EF1E3A">
        <w:rPr>
          <w:rFonts w:cstheme="minorHAnsi"/>
          <w:color w:val="000000" w:themeColor="text1"/>
          <w:sz w:val="22"/>
          <w:szCs w:val="22"/>
          <w:lang w:val="en-US"/>
        </w:rPr>
        <w:t xml:space="preserve">Given the possible tension between social worker and service user, and the lack of enforceability of social work interventions, </w:t>
      </w:r>
      <w:r w:rsidR="00717A86" w:rsidRPr="00EF1E3A">
        <w:rPr>
          <w:rFonts w:cstheme="minorHAnsi"/>
          <w:color w:val="000000" w:themeColor="text1"/>
          <w:sz w:val="22"/>
          <w:szCs w:val="22"/>
          <w:lang w:val="en-US"/>
        </w:rPr>
        <w:t>it is</w:t>
      </w:r>
      <w:r w:rsidRPr="00EF1E3A">
        <w:rPr>
          <w:rFonts w:cstheme="minorHAnsi"/>
          <w:color w:val="000000" w:themeColor="text1"/>
          <w:sz w:val="22"/>
          <w:szCs w:val="22"/>
          <w:lang w:val="en-US"/>
        </w:rPr>
        <w:t xml:space="preserve"> </w:t>
      </w:r>
      <w:r w:rsidR="00717A86" w:rsidRPr="00EF1E3A">
        <w:rPr>
          <w:rFonts w:cstheme="minorHAnsi"/>
          <w:color w:val="000000" w:themeColor="text1"/>
          <w:sz w:val="22"/>
          <w:szCs w:val="22"/>
          <w:lang w:val="en-US"/>
        </w:rPr>
        <w:t>un</w:t>
      </w:r>
      <w:r w:rsidRPr="00EF1E3A">
        <w:rPr>
          <w:rFonts w:cstheme="minorHAnsi"/>
          <w:color w:val="000000" w:themeColor="text1"/>
          <w:sz w:val="22"/>
          <w:szCs w:val="22"/>
          <w:lang w:val="en-US"/>
        </w:rPr>
        <w:t xml:space="preserve">surprising that social workers turn to law to legitimate their proposed interventions. Whilst this resort to law might be disempowering in certain ways, social workers do not always view it that way. In fact, resort to law can be seen as a useful tool </w:t>
      </w:r>
      <w:r w:rsidR="00717A86" w:rsidRPr="00EF1E3A">
        <w:rPr>
          <w:rFonts w:cstheme="minorHAnsi"/>
          <w:color w:val="000000" w:themeColor="text1"/>
          <w:sz w:val="22"/>
          <w:szCs w:val="22"/>
          <w:lang w:val="en-US"/>
        </w:rPr>
        <w:t>where they</w:t>
      </w:r>
      <w:r w:rsidRPr="00EF1E3A">
        <w:rPr>
          <w:rFonts w:cstheme="minorHAnsi"/>
          <w:color w:val="000000" w:themeColor="text1"/>
          <w:sz w:val="22"/>
          <w:szCs w:val="22"/>
          <w:lang w:val="en-US"/>
        </w:rPr>
        <w:t xml:space="preserve"> believe that law can help them to achieve a particular result. This perception was clear from my interviews. For example, David</w:t>
      </w:r>
      <w:r w:rsidRPr="00EF1E3A">
        <w:rPr>
          <w:rStyle w:val="FootnoteReference"/>
          <w:rFonts w:cstheme="minorHAnsi"/>
          <w:color w:val="000000" w:themeColor="text1"/>
          <w:sz w:val="22"/>
          <w:szCs w:val="22"/>
          <w:lang w:val="en-US"/>
        </w:rPr>
        <w:footnoteReference w:id="24"/>
      </w:r>
      <w:r w:rsidRPr="00EF1E3A">
        <w:rPr>
          <w:rFonts w:cstheme="minorHAnsi"/>
          <w:color w:val="000000" w:themeColor="text1"/>
          <w:sz w:val="22"/>
          <w:szCs w:val="22"/>
          <w:lang w:val="en-US"/>
        </w:rPr>
        <w:t xml:space="preserve"> told me:</w:t>
      </w:r>
    </w:p>
    <w:p w14:paraId="01F28537" w14:textId="77777777" w:rsidR="000E0EC5" w:rsidRPr="00EF1E3A" w:rsidRDefault="000E0EC5" w:rsidP="005E4DC1">
      <w:pPr>
        <w:spacing w:line="360" w:lineRule="auto"/>
        <w:ind w:left="720" w:right="720"/>
        <w:contextualSpacing/>
        <w:jc w:val="both"/>
        <w:rPr>
          <w:rFonts w:cstheme="minorHAnsi"/>
          <w:color w:val="000000" w:themeColor="text1"/>
          <w:sz w:val="22"/>
          <w:szCs w:val="22"/>
        </w:rPr>
      </w:pPr>
      <w:r w:rsidRPr="00EF1E3A">
        <w:rPr>
          <w:rFonts w:cstheme="minorHAnsi"/>
          <w:color w:val="000000" w:themeColor="text1"/>
          <w:sz w:val="22"/>
          <w:szCs w:val="22"/>
        </w:rPr>
        <w:t xml:space="preserve">There’s something to be said about decisions made in court, that people will, you know, </w:t>
      </w:r>
      <w:proofErr w:type="gramStart"/>
      <w:r w:rsidRPr="00EF1E3A">
        <w:rPr>
          <w:rFonts w:cstheme="minorHAnsi"/>
          <w:color w:val="000000" w:themeColor="text1"/>
          <w:sz w:val="22"/>
          <w:szCs w:val="22"/>
        </w:rPr>
        <w:t>respect</w:t>
      </w:r>
      <w:proofErr w:type="gramEnd"/>
      <w:r w:rsidRPr="00EF1E3A">
        <w:rPr>
          <w:rFonts w:cstheme="minorHAnsi"/>
          <w:color w:val="000000" w:themeColor="text1"/>
          <w:sz w:val="22"/>
          <w:szCs w:val="22"/>
        </w:rPr>
        <w:t xml:space="preserve"> and maintain it…</w:t>
      </w:r>
    </w:p>
    <w:p w14:paraId="4FED3E8F" w14:textId="77777777" w:rsidR="000E0EC5" w:rsidRPr="00EF1E3A" w:rsidRDefault="000E0EC5" w:rsidP="005E4DC1">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lang w:val="en-US"/>
        </w:rPr>
      </w:pPr>
    </w:p>
    <w:p w14:paraId="392BB06D" w14:textId="167AB6C9" w:rsidR="000E0EC5" w:rsidRPr="008C72B8" w:rsidRDefault="000E0EC5" w:rsidP="008C72B8">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lang w:val="en-US"/>
        </w:rPr>
      </w:pPr>
      <w:r w:rsidRPr="00EF1E3A">
        <w:rPr>
          <w:rFonts w:asciiTheme="minorHAnsi" w:hAnsiTheme="minorHAnsi" w:cstheme="minorHAnsi"/>
          <w:color w:val="000000" w:themeColor="text1"/>
          <w:sz w:val="22"/>
          <w:szCs w:val="22"/>
          <w:lang w:val="en-US"/>
        </w:rPr>
        <w:t>Similarly, Robert</w:t>
      </w:r>
      <w:r w:rsidRPr="00EF1E3A">
        <w:rPr>
          <w:rStyle w:val="FootnoteReference"/>
          <w:rFonts w:asciiTheme="minorHAnsi" w:hAnsiTheme="minorHAnsi" w:cstheme="minorHAnsi"/>
          <w:color w:val="000000" w:themeColor="text1"/>
          <w:sz w:val="22"/>
          <w:szCs w:val="22"/>
          <w:lang w:val="en-US"/>
        </w:rPr>
        <w:footnoteReference w:id="25"/>
      </w:r>
      <w:r w:rsidRPr="00EF1E3A">
        <w:rPr>
          <w:rFonts w:asciiTheme="minorHAnsi" w:hAnsiTheme="minorHAnsi" w:cstheme="minorHAnsi"/>
          <w:color w:val="000000" w:themeColor="text1"/>
          <w:sz w:val="22"/>
          <w:szCs w:val="22"/>
          <w:lang w:val="en-US"/>
        </w:rPr>
        <w:t xml:space="preserve"> explained when asked about how he found the court process:</w:t>
      </w:r>
    </w:p>
    <w:p w14:paraId="5C1C1DA3" w14:textId="77777777" w:rsidR="000E0EC5" w:rsidRPr="00EF1E3A" w:rsidRDefault="000E0EC5" w:rsidP="005E4DC1">
      <w:pPr>
        <w:pStyle w:val="NormalWeb"/>
        <w:spacing w:before="0" w:beforeAutospacing="0" w:after="0" w:afterAutospacing="0" w:line="360" w:lineRule="auto"/>
        <w:ind w:left="720" w:right="720"/>
        <w:contextualSpacing/>
        <w:jc w:val="both"/>
        <w:rPr>
          <w:rFonts w:asciiTheme="minorHAnsi" w:hAnsiTheme="minorHAnsi" w:cstheme="minorHAnsi"/>
          <w:color w:val="000000" w:themeColor="text1"/>
          <w:sz w:val="22"/>
          <w:szCs w:val="22"/>
        </w:rPr>
      </w:pPr>
      <w:r w:rsidRPr="00EF1E3A">
        <w:rPr>
          <w:rFonts w:asciiTheme="minorHAnsi" w:hAnsiTheme="minorHAnsi" w:cstheme="minorHAnsi"/>
          <w:color w:val="000000" w:themeColor="text1"/>
          <w:sz w:val="22"/>
          <w:szCs w:val="22"/>
        </w:rPr>
        <w:t>I think good that the full majesty of the law would be exerted on behalf of vulnerable people…</w:t>
      </w:r>
    </w:p>
    <w:p w14:paraId="3DA9E077" w14:textId="77777777" w:rsidR="000E0EC5" w:rsidRPr="00EF1E3A" w:rsidRDefault="000E0EC5" w:rsidP="005E4DC1">
      <w:pPr>
        <w:pStyle w:val="NormalWeb"/>
        <w:spacing w:before="0" w:beforeAutospacing="0" w:after="0" w:afterAutospacing="0" w:line="360" w:lineRule="auto"/>
        <w:ind w:left="720" w:right="720"/>
        <w:contextualSpacing/>
        <w:jc w:val="both"/>
        <w:rPr>
          <w:rFonts w:asciiTheme="minorHAnsi" w:hAnsiTheme="minorHAnsi" w:cstheme="minorHAnsi"/>
          <w:color w:val="000000" w:themeColor="text1"/>
          <w:sz w:val="22"/>
          <w:szCs w:val="22"/>
          <w:lang w:val="en-US"/>
        </w:rPr>
      </w:pPr>
    </w:p>
    <w:p w14:paraId="3914FE70" w14:textId="4D5918FC" w:rsidR="000E0EC5" w:rsidRPr="00EF1E3A" w:rsidRDefault="00717A86" w:rsidP="005E4DC1">
      <w:pPr>
        <w:spacing w:line="360" w:lineRule="auto"/>
        <w:contextualSpacing/>
        <w:jc w:val="both"/>
        <w:rPr>
          <w:rFonts w:cstheme="minorHAnsi"/>
          <w:color w:val="000000" w:themeColor="text1"/>
          <w:sz w:val="22"/>
          <w:szCs w:val="22"/>
        </w:rPr>
      </w:pPr>
      <w:r w:rsidRPr="00EF1E3A">
        <w:rPr>
          <w:rFonts w:cstheme="minorHAnsi"/>
          <w:color w:val="000000" w:themeColor="text1"/>
          <w:sz w:val="22"/>
          <w:szCs w:val="22"/>
          <w:lang w:val="en-US"/>
        </w:rPr>
        <w:t>Even</w:t>
      </w:r>
      <w:r w:rsidR="000E0EC5" w:rsidRPr="00EF1E3A">
        <w:rPr>
          <w:rFonts w:cstheme="minorHAnsi"/>
          <w:color w:val="000000" w:themeColor="text1"/>
          <w:sz w:val="22"/>
          <w:szCs w:val="22"/>
          <w:lang w:val="en-US"/>
        </w:rPr>
        <w:t xml:space="preserve"> though social workers are seen to have limited legitimacy to intervene, they do not resort to law reluctantly. </w:t>
      </w:r>
      <w:r w:rsidR="000E0EC5" w:rsidRPr="00EF1E3A">
        <w:rPr>
          <w:rFonts w:cstheme="minorHAnsi"/>
          <w:color w:val="000000" w:themeColor="text1"/>
          <w:sz w:val="22"/>
          <w:szCs w:val="22"/>
        </w:rPr>
        <w:t xml:space="preserve">The social workers I spoke to were aware of the usefulness of law to legitimate their decisions, deflecting difficult matters away from social work judgement into the jurisdiction of law. </w:t>
      </w:r>
      <w:r w:rsidR="000E0EC5" w:rsidRPr="00EF1E3A">
        <w:rPr>
          <w:rFonts w:cstheme="minorHAnsi"/>
          <w:color w:val="000000" w:themeColor="text1"/>
          <w:sz w:val="22"/>
          <w:szCs w:val="22"/>
          <w:lang w:val="en-US"/>
        </w:rPr>
        <w:t>For example, talking about his views on the MCA Robert told me that:</w:t>
      </w:r>
    </w:p>
    <w:p w14:paraId="2ADBD848" w14:textId="77777777" w:rsidR="000E0EC5" w:rsidRPr="00EF1E3A" w:rsidRDefault="000E0EC5" w:rsidP="005E4DC1">
      <w:pPr>
        <w:pStyle w:val="NormalWeb"/>
        <w:spacing w:before="0" w:beforeAutospacing="0" w:after="0" w:afterAutospacing="0" w:line="360" w:lineRule="auto"/>
        <w:ind w:left="720" w:right="720"/>
        <w:contextualSpacing/>
        <w:jc w:val="both"/>
        <w:rPr>
          <w:rFonts w:asciiTheme="minorHAnsi" w:hAnsiTheme="minorHAnsi" w:cstheme="minorHAnsi"/>
          <w:color w:val="000000" w:themeColor="text1"/>
          <w:sz w:val="22"/>
          <w:szCs w:val="22"/>
        </w:rPr>
      </w:pPr>
      <w:r w:rsidRPr="00EF1E3A">
        <w:rPr>
          <w:rFonts w:asciiTheme="minorHAnsi" w:hAnsiTheme="minorHAnsi" w:cstheme="minorHAnsi"/>
          <w:color w:val="000000" w:themeColor="text1"/>
          <w:sz w:val="22"/>
          <w:szCs w:val="22"/>
        </w:rPr>
        <w:t xml:space="preserve">…from a personal view it was just terribly useful to have that framework so that if you did have a discussion… with a parent of a person with a learning disability… and they were saying are you telling me that I don’t get to make decisions for my son and it was very nice to have a freshly minted law to say no actually you don’t… </w:t>
      </w:r>
    </w:p>
    <w:p w14:paraId="4F050A03" w14:textId="77777777" w:rsidR="000E0EC5" w:rsidRPr="00EF1E3A" w:rsidRDefault="000E0EC5" w:rsidP="005E4DC1">
      <w:pPr>
        <w:spacing w:line="360" w:lineRule="auto"/>
        <w:contextualSpacing/>
        <w:jc w:val="both"/>
        <w:rPr>
          <w:rFonts w:cstheme="minorHAnsi"/>
          <w:color w:val="000000" w:themeColor="text1"/>
          <w:sz w:val="22"/>
          <w:szCs w:val="22"/>
        </w:rPr>
      </w:pPr>
    </w:p>
    <w:p w14:paraId="0F5DF65A" w14:textId="031CA223" w:rsidR="000E0EC5" w:rsidRPr="00EF1E3A" w:rsidRDefault="000E0EC5" w:rsidP="009515DE">
      <w:pPr>
        <w:widowControl w:val="0"/>
        <w:autoSpaceDE w:val="0"/>
        <w:autoSpaceDN w:val="0"/>
        <w:adjustRightInd w:val="0"/>
        <w:spacing w:line="360" w:lineRule="auto"/>
        <w:contextualSpacing/>
        <w:jc w:val="both"/>
        <w:rPr>
          <w:rFonts w:cstheme="minorHAnsi"/>
          <w:color w:val="000000" w:themeColor="text1"/>
          <w:sz w:val="22"/>
          <w:szCs w:val="22"/>
          <w:lang w:val="en-US"/>
        </w:rPr>
      </w:pPr>
      <w:r w:rsidRPr="00EF1E3A">
        <w:rPr>
          <w:rFonts w:cstheme="minorHAnsi"/>
          <w:color w:val="000000" w:themeColor="text1"/>
          <w:sz w:val="22"/>
          <w:szCs w:val="22"/>
          <w:lang w:val="en-US"/>
        </w:rPr>
        <w:t xml:space="preserve">Furthermore, in many cases the local authority benefits from referring a case to the </w:t>
      </w:r>
      <w:proofErr w:type="spellStart"/>
      <w:r w:rsidRPr="00EF1E3A">
        <w:rPr>
          <w:rFonts w:cstheme="minorHAnsi"/>
          <w:color w:val="000000" w:themeColor="text1"/>
          <w:sz w:val="22"/>
          <w:szCs w:val="22"/>
          <w:lang w:val="en-US"/>
        </w:rPr>
        <w:t>CoP.</w:t>
      </w:r>
      <w:proofErr w:type="spellEnd"/>
      <w:r w:rsidRPr="00EF1E3A">
        <w:rPr>
          <w:rFonts w:cstheme="minorHAnsi"/>
          <w:color w:val="000000" w:themeColor="text1"/>
          <w:sz w:val="22"/>
          <w:szCs w:val="22"/>
          <w:lang w:val="en-US"/>
        </w:rPr>
        <w:t xml:space="preserve"> For example, </w:t>
      </w:r>
      <w:r w:rsidRPr="00EF1E3A">
        <w:rPr>
          <w:rFonts w:cstheme="minorHAnsi"/>
          <w:color w:val="000000" w:themeColor="text1"/>
          <w:sz w:val="22"/>
          <w:szCs w:val="22"/>
          <w:lang w:val="en-US"/>
        </w:rPr>
        <w:lastRenderedPageBreak/>
        <w:t xml:space="preserve">if an individual was making a perceived ‘risky’ choice to stay within an abusive relationship, the local authority would be better served by having a court </w:t>
      </w:r>
      <w:proofErr w:type="spellStart"/>
      <w:r w:rsidRPr="00EF1E3A">
        <w:rPr>
          <w:rFonts w:cstheme="minorHAnsi"/>
          <w:color w:val="000000" w:themeColor="text1"/>
          <w:sz w:val="22"/>
          <w:szCs w:val="22"/>
          <w:lang w:val="en-US"/>
        </w:rPr>
        <w:t>authorise</w:t>
      </w:r>
      <w:proofErr w:type="spellEnd"/>
      <w:r w:rsidRPr="00EF1E3A">
        <w:rPr>
          <w:rFonts w:cstheme="minorHAnsi"/>
          <w:color w:val="000000" w:themeColor="text1"/>
          <w:sz w:val="22"/>
          <w:szCs w:val="22"/>
          <w:lang w:val="en-US"/>
        </w:rPr>
        <w:t xml:space="preserve"> their decision not to intervene because of the risk of harm.</w:t>
      </w:r>
      <w:r w:rsidRPr="00EF1E3A">
        <w:rPr>
          <w:rFonts w:cstheme="minorHAnsi"/>
          <w:color w:val="000000" w:themeColor="text1"/>
          <w:sz w:val="22"/>
          <w:szCs w:val="22"/>
        </w:rPr>
        <w:t xml:space="preserve"> However, it means that, in doing so, social workers are </w:t>
      </w:r>
      <w:r w:rsidR="009515DE" w:rsidRPr="00EF1E3A">
        <w:rPr>
          <w:rFonts w:cstheme="minorHAnsi"/>
          <w:color w:val="000000" w:themeColor="text1"/>
          <w:sz w:val="22"/>
          <w:szCs w:val="22"/>
        </w:rPr>
        <w:t>reinforcing</w:t>
      </w:r>
      <w:r w:rsidRPr="00EF1E3A">
        <w:rPr>
          <w:rFonts w:cstheme="minorHAnsi"/>
          <w:color w:val="000000" w:themeColor="text1"/>
          <w:sz w:val="22"/>
          <w:szCs w:val="22"/>
        </w:rPr>
        <w:t xml:space="preserve"> law’s </w:t>
      </w:r>
      <w:r w:rsidR="009515DE" w:rsidRPr="00EF1E3A">
        <w:rPr>
          <w:rFonts w:cstheme="minorHAnsi"/>
          <w:color w:val="000000" w:themeColor="text1"/>
          <w:sz w:val="22"/>
          <w:szCs w:val="22"/>
        </w:rPr>
        <w:t xml:space="preserve">coercive </w:t>
      </w:r>
      <w:r w:rsidRPr="00EF1E3A">
        <w:rPr>
          <w:rFonts w:cstheme="minorHAnsi"/>
          <w:color w:val="000000" w:themeColor="text1"/>
          <w:sz w:val="22"/>
          <w:szCs w:val="22"/>
        </w:rPr>
        <w:t>legitimacy and potentially undermining the benefits of support-based, non-coercive interventions.</w:t>
      </w:r>
      <w:r w:rsidR="009515DE" w:rsidRPr="00EF1E3A">
        <w:rPr>
          <w:rFonts w:cstheme="minorHAnsi"/>
          <w:color w:val="000000" w:themeColor="text1"/>
          <w:sz w:val="22"/>
          <w:szCs w:val="22"/>
          <w:lang w:val="en-US"/>
        </w:rPr>
        <w:t xml:space="preserve"> </w:t>
      </w:r>
    </w:p>
    <w:p w14:paraId="22C08555" w14:textId="77777777" w:rsidR="000E0EC5" w:rsidRPr="00EF1E3A" w:rsidRDefault="000E0EC5" w:rsidP="005E4DC1">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lang w:val="en-US"/>
        </w:rPr>
      </w:pPr>
    </w:p>
    <w:p w14:paraId="4EC7CEEB" w14:textId="77777777" w:rsidR="000E0EC5" w:rsidRPr="009B0316" w:rsidRDefault="000E0EC5" w:rsidP="009B0316">
      <w:pPr>
        <w:pStyle w:val="Heading1"/>
        <w:spacing w:before="0" w:line="360" w:lineRule="auto"/>
        <w:contextualSpacing/>
        <w:jc w:val="both"/>
        <w:rPr>
          <w:rFonts w:cstheme="majorHAnsi"/>
          <w:b w:val="0"/>
          <w:color w:val="000000" w:themeColor="text1"/>
          <w:sz w:val="28"/>
          <w:szCs w:val="28"/>
        </w:rPr>
      </w:pPr>
      <w:bookmarkStart w:id="11" w:name="_Toc362088994"/>
      <w:bookmarkStart w:id="12" w:name="_Toc377131446"/>
      <w:r w:rsidRPr="009B0316">
        <w:rPr>
          <w:rFonts w:cstheme="majorHAnsi"/>
          <w:b w:val="0"/>
          <w:color w:val="000000" w:themeColor="text1"/>
          <w:sz w:val="28"/>
          <w:szCs w:val="28"/>
        </w:rPr>
        <w:t xml:space="preserve">Duty of care and vulnerability in high-risk cases </w:t>
      </w:r>
      <w:bookmarkEnd w:id="11"/>
      <w:bookmarkEnd w:id="12"/>
    </w:p>
    <w:p w14:paraId="2C196A89" w14:textId="372270AC" w:rsidR="000E0EC5" w:rsidRPr="00EF1E3A" w:rsidRDefault="000E0EC5" w:rsidP="005E4DC1">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rPr>
      </w:pPr>
      <w:r w:rsidRPr="00EF1E3A">
        <w:rPr>
          <w:rFonts w:asciiTheme="minorHAnsi" w:hAnsiTheme="minorHAnsi" w:cstheme="minorHAnsi"/>
          <w:color w:val="000000" w:themeColor="text1"/>
          <w:sz w:val="22"/>
          <w:szCs w:val="22"/>
        </w:rPr>
        <w:t xml:space="preserve">Given the contrast between the perceived legitimacy of </w:t>
      </w:r>
      <w:r w:rsidR="009E476C" w:rsidRPr="00EF1E3A">
        <w:rPr>
          <w:rFonts w:asciiTheme="minorHAnsi" w:hAnsiTheme="minorHAnsi" w:cstheme="minorHAnsi"/>
          <w:color w:val="000000" w:themeColor="text1"/>
          <w:sz w:val="22"/>
          <w:szCs w:val="22"/>
        </w:rPr>
        <w:t>law</w:t>
      </w:r>
      <w:r w:rsidRPr="00EF1E3A">
        <w:rPr>
          <w:rFonts w:asciiTheme="minorHAnsi" w:hAnsiTheme="minorHAnsi" w:cstheme="minorHAnsi"/>
          <w:color w:val="000000" w:themeColor="text1"/>
          <w:sz w:val="22"/>
          <w:szCs w:val="22"/>
        </w:rPr>
        <w:t xml:space="preserve"> and social work, it </w:t>
      </w:r>
      <w:r w:rsidRPr="00EF1E3A">
        <w:rPr>
          <w:rFonts w:asciiTheme="minorHAnsi" w:hAnsiTheme="minorHAnsi" w:cstheme="minorHAnsi"/>
          <w:color w:val="000000" w:themeColor="text1"/>
          <w:sz w:val="22"/>
          <w:szCs w:val="22"/>
          <w:lang w:val="en-US"/>
        </w:rPr>
        <w:t xml:space="preserve">is in cases of abuse where </w:t>
      </w:r>
      <w:r w:rsidR="009E476C" w:rsidRPr="00EF1E3A">
        <w:rPr>
          <w:rFonts w:asciiTheme="minorHAnsi" w:hAnsiTheme="minorHAnsi" w:cstheme="minorHAnsi"/>
          <w:color w:val="000000" w:themeColor="text1"/>
          <w:sz w:val="22"/>
          <w:szCs w:val="22"/>
          <w:lang w:val="en-US"/>
        </w:rPr>
        <w:t>seeking legal approval through</w:t>
      </w:r>
      <w:r w:rsidRPr="00EF1E3A">
        <w:rPr>
          <w:rFonts w:asciiTheme="minorHAnsi" w:hAnsiTheme="minorHAnsi" w:cstheme="minorHAnsi"/>
          <w:color w:val="000000" w:themeColor="text1"/>
          <w:sz w:val="22"/>
          <w:szCs w:val="22"/>
          <w:lang w:val="en-US"/>
        </w:rPr>
        <w:t xml:space="preserve"> the CoP was most valuable to social workers. </w:t>
      </w:r>
      <w:r w:rsidRPr="00EF1E3A">
        <w:rPr>
          <w:rFonts w:asciiTheme="minorHAnsi" w:hAnsiTheme="minorHAnsi" w:cstheme="minorHAnsi"/>
          <w:color w:val="000000" w:themeColor="text1"/>
          <w:sz w:val="22"/>
          <w:szCs w:val="22"/>
        </w:rPr>
        <w:t xml:space="preserve">This is because </w:t>
      </w:r>
      <w:r w:rsidRPr="00EF1E3A">
        <w:rPr>
          <w:rFonts w:asciiTheme="minorHAnsi" w:hAnsiTheme="minorHAnsi" w:cstheme="minorHAnsi"/>
          <w:color w:val="000000" w:themeColor="text1"/>
          <w:sz w:val="22"/>
          <w:szCs w:val="22"/>
          <w:lang w:val="en-US"/>
        </w:rPr>
        <w:t xml:space="preserve">they were concerned that they had a ‘duty of care’ towards the service user and needed to manage the high risks.  Yet they felt constrained by the notion of empowerment underpinning the MCA; </w:t>
      </w:r>
      <w:r w:rsidRPr="00EF1E3A">
        <w:rPr>
          <w:rFonts w:asciiTheme="minorHAnsi" w:hAnsiTheme="minorHAnsi" w:cstheme="minorHAnsi"/>
          <w:color w:val="000000" w:themeColor="text1"/>
          <w:sz w:val="22"/>
          <w:szCs w:val="22"/>
        </w:rPr>
        <w:t xml:space="preserve">that is, that the MCA was passed to provide protection for those (inherently) vulnerable adults who were </w:t>
      </w:r>
      <w:r w:rsidRPr="00EF1E3A">
        <w:rPr>
          <w:rFonts w:asciiTheme="minorHAnsi" w:hAnsiTheme="minorHAnsi" w:cstheme="minorHAnsi"/>
          <w:i/>
          <w:color w:val="000000" w:themeColor="text1"/>
          <w:sz w:val="22"/>
          <w:szCs w:val="22"/>
        </w:rPr>
        <w:t>unable</w:t>
      </w:r>
      <w:r w:rsidRPr="00EF1E3A">
        <w:rPr>
          <w:rFonts w:asciiTheme="minorHAnsi" w:hAnsiTheme="minorHAnsi" w:cstheme="minorHAnsi"/>
          <w:color w:val="000000" w:themeColor="text1"/>
          <w:sz w:val="22"/>
          <w:szCs w:val="22"/>
        </w:rPr>
        <w:t xml:space="preserve"> to make decisions, rather than to allow interventions in relation to </w:t>
      </w:r>
      <w:r w:rsidRPr="00EF1E3A">
        <w:rPr>
          <w:rFonts w:asciiTheme="minorHAnsi" w:hAnsiTheme="minorHAnsi" w:cstheme="minorHAnsi"/>
          <w:i/>
          <w:color w:val="000000" w:themeColor="text1"/>
          <w:sz w:val="22"/>
          <w:szCs w:val="22"/>
        </w:rPr>
        <w:t>unwise</w:t>
      </w:r>
      <w:r w:rsidRPr="00EF1E3A">
        <w:rPr>
          <w:rFonts w:asciiTheme="minorHAnsi" w:hAnsiTheme="minorHAnsi" w:cstheme="minorHAnsi"/>
          <w:color w:val="000000" w:themeColor="text1"/>
          <w:sz w:val="22"/>
          <w:szCs w:val="22"/>
        </w:rPr>
        <w:t xml:space="preserve"> decisions.</w:t>
      </w:r>
      <w:r w:rsidRPr="00EF1E3A">
        <w:rPr>
          <w:rStyle w:val="FootnoteReference"/>
          <w:rFonts w:asciiTheme="minorHAnsi" w:hAnsiTheme="minorHAnsi" w:cstheme="minorHAnsi"/>
          <w:color w:val="000000" w:themeColor="text1"/>
          <w:sz w:val="22"/>
          <w:szCs w:val="22"/>
        </w:rPr>
        <w:footnoteReference w:id="26"/>
      </w:r>
      <w:r w:rsidRPr="00EF1E3A">
        <w:rPr>
          <w:rFonts w:asciiTheme="minorHAnsi" w:hAnsiTheme="minorHAnsi" w:cstheme="minorHAnsi"/>
          <w:color w:val="000000" w:themeColor="text1"/>
          <w:sz w:val="22"/>
          <w:szCs w:val="22"/>
        </w:rPr>
        <w:t xml:space="preserve"> This is despite the MCA not specifically encompassing ‘vulnerable adults’. The social workers I spoke to said they found this balance challenging and </w:t>
      </w:r>
      <w:r w:rsidRPr="00EF1E3A">
        <w:rPr>
          <w:rFonts w:asciiTheme="minorHAnsi" w:hAnsiTheme="minorHAnsi" w:cstheme="minorHAnsi"/>
          <w:color w:val="000000" w:themeColor="text1"/>
          <w:sz w:val="22"/>
          <w:szCs w:val="22"/>
          <w:lang w:val="en-US"/>
        </w:rPr>
        <w:t xml:space="preserve">this conflict is too often resolved through prioritising protection through application to the </w:t>
      </w:r>
      <w:proofErr w:type="spellStart"/>
      <w:r w:rsidRPr="00EF1E3A">
        <w:rPr>
          <w:rFonts w:asciiTheme="minorHAnsi" w:hAnsiTheme="minorHAnsi" w:cstheme="minorHAnsi"/>
          <w:color w:val="000000" w:themeColor="text1"/>
          <w:sz w:val="22"/>
          <w:szCs w:val="22"/>
          <w:lang w:val="en-US"/>
        </w:rPr>
        <w:t>CoP.</w:t>
      </w:r>
      <w:proofErr w:type="spellEnd"/>
      <w:r w:rsidRPr="00EF1E3A">
        <w:rPr>
          <w:rStyle w:val="FootnoteReference"/>
          <w:rFonts w:asciiTheme="minorHAnsi" w:hAnsiTheme="minorHAnsi" w:cstheme="minorHAnsi"/>
          <w:color w:val="000000" w:themeColor="text1"/>
          <w:sz w:val="22"/>
          <w:szCs w:val="22"/>
          <w:lang w:val="en-US"/>
        </w:rPr>
        <w:footnoteReference w:id="27"/>
      </w:r>
    </w:p>
    <w:p w14:paraId="7575297F" w14:textId="77777777" w:rsidR="009B0316" w:rsidRDefault="009B0316" w:rsidP="009B0316">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lang w:val="en-US"/>
        </w:rPr>
      </w:pPr>
    </w:p>
    <w:p w14:paraId="6618CF14" w14:textId="7AA05F4E" w:rsidR="000E0EC5" w:rsidRPr="00EF1E3A" w:rsidRDefault="000E0EC5" w:rsidP="009B0316">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rPr>
      </w:pPr>
      <w:r w:rsidRPr="00EF1E3A">
        <w:rPr>
          <w:rFonts w:asciiTheme="minorHAnsi" w:hAnsiTheme="minorHAnsi" w:cstheme="minorHAnsi"/>
          <w:color w:val="000000" w:themeColor="text1"/>
          <w:sz w:val="22"/>
          <w:szCs w:val="22"/>
          <w:lang w:val="en-US"/>
        </w:rPr>
        <w:t>The cases where controlling and coercive interventions through the CoP were used in the welfare context</w:t>
      </w:r>
      <w:r w:rsidRPr="00EF1E3A">
        <w:rPr>
          <w:rStyle w:val="FootnoteReference"/>
          <w:rFonts w:asciiTheme="minorHAnsi" w:hAnsiTheme="minorHAnsi" w:cstheme="minorHAnsi"/>
          <w:color w:val="000000" w:themeColor="text1"/>
          <w:sz w:val="22"/>
          <w:szCs w:val="22"/>
          <w:lang w:val="en-US"/>
        </w:rPr>
        <w:footnoteReference w:id="28"/>
      </w:r>
      <w:r w:rsidRPr="00EF1E3A">
        <w:rPr>
          <w:rFonts w:asciiTheme="minorHAnsi" w:hAnsiTheme="minorHAnsi" w:cstheme="minorHAnsi"/>
          <w:color w:val="000000" w:themeColor="text1"/>
          <w:sz w:val="22"/>
          <w:szCs w:val="22"/>
          <w:lang w:val="en-US"/>
        </w:rPr>
        <w:t xml:space="preserve"> were those viewed as ‘risky’. This means that the social workers I spoke to were </w:t>
      </w:r>
      <w:r w:rsidR="009E476C" w:rsidRPr="00EF1E3A">
        <w:rPr>
          <w:rFonts w:asciiTheme="minorHAnsi" w:hAnsiTheme="minorHAnsi" w:cstheme="minorHAnsi"/>
          <w:color w:val="000000" w:themeColor="text1"/>
          <w:sz w:val="22"/>
          <w:szCs w:val="22"/>
          <w:lang w:val="en-US"/>
        </w:rPr>
        <w:t xml:space="preserve">either </w:t>
      </w:r>
      <w:r w:rsidRPr="00EF1E3A">
        <w:rPr>
          <w:rFonts w:asciiTheme="minorHAnsi" w:hAnsiTheme="minorHAnsi" w:cstheme="minorHAnsi"/>
          <w:color w:val="000000" w:themeColor="text1"/>
          <w:sz w:val="22"/>
          <w:szCs w:val="22"/>
          <w:lang w:val="en-US"/>
        </w:rPr>
        <w:t xml:space="preserve">seeking authorisation for coercive practices from the CoP, or, seeking CoP approval for ‘doing nothing’. </w:t>
      </w:r>
      <w:r w:rsidRPr="00EF1E3A">
        <w:rPr>
          <w:rFonts w:asciiTheme="minorHAnsi" w:hAnsiTheme="minorHAnsi" w:cstheme="minorHAnsi"/>
          <w:color w:val="000000" w:themeColor="text1"/>
          <w:sz w:val="22"/>
          <w:szCs w:val="22"/>
        </w:rPr>
        <w:t xml:space="preserve">For example, Sarah, an investigating worker on a safeguarding </w:t>
      </w:r>
      <w:r w:rsidRPr="00EF1E3A">
        <w:rPr>
          <w:rFonts w:asciiTheme="minorHAnsi" w:eastAsiaTheme="minorHAnsi" w:hAnsiTheme="minorHAnsi" w:cstheme="minorHAnsi"/>
          <w:color w:val="000000" w:themeColor="text1"/>
          <w:sz w:val="22"/>
          <w:szCs w:val="22"/>
          <w:lang w:val="en-US"/>
        </w:rPr>
        <w:t xml:space="preserve">team, told </w:t>
      </w:r>
      <w:r w:rsidRPr="00EF1E3A">
        <w:rPr>
          <w:rFonts w:asciiTheme="minorHAnsi" w:hAnsiTheme="minorHAnsi" w:cstheme="minorHAnsi"/>
          <w:color w:val="000000" w:themeColor="text1"/>
          <w:sz w:val="22"/>
          <w:szCs w:val="22"/>
          <w:lang w:val="en-US"/>
        </w:rPr>
        <w:t xml:space="preserve">me </w:t>
      </w:r>
      <w:r w:rsidRPr="00EF1E3A">
        <w:rPr>
          <w:rFonts w:asciiTheme="minorHAnsi" w:hAnsiTheme="minorHAnsi" w:cstheme="minorHAnsi"/>
          <w:color w:val="000000" w:themeColor="text1"/>
          <w:sz w:val="22"/>
          <w:szCs w:val="22"/>
        </w:rPr>
        <w:t xml:space="preserve">about a case she was working on that was her first experience of the </w:t>
      </w:r>
      <w:proofErr w:type="spellStart"/>
      <w:r w:rsidRPr="00EF1E3A">
        <w:rPr>
          <w:rFonts w:asciiTheme="minorHAnsi" w:hAnsiTheme="minorHAnsi" w:cstheme="minorHAnsi"/>
          <w:color w:val="000000" w:themeColor="text1"/>
          <w:sz w:val="22"/>
          <w:szCs w:val="22"/>
        </w:rPr>
        <w:t>CoP.</w:t>
      </w:r>
      <w:proofErr w:type="spellEnd"/>
      <w:r w:rsidRPr="00EF1E3A">
        <w:rPr>
          <w:rFonts w:asciiTheme="minorHAnsi" w:hAnsiTheme="minorHAnsi" w:cstheme="minorHAnsi"/>
          <w:color w:val="000000" w:themeColor="text1"/>
          <w:sz w:val="22"/>
          <w:szCs w:val="22"/>
        </w:rPr>
        <w:t xml:space="preserve"> I asked her what it was about this case that made her consider taking it to court, she said:</w:t>
      </w:r>
    </w:p>
    <w:p w14:paraId="35701851" w14:textId="77777777" w:rsidR="000E0EC5" w:rsidRPr="00EF1E3A" w:rsidRDefault="000E0EC5" w:rsidP="005E4DC1">
      <w:pPr>
        <w:spacing w:line="360" w:lineRule="auto"/>
        <w:ind w:left="720" w:right="720"/>
        <w:contextualSpacing/>
        <w:jc w:val="both"/>
        <w:rPr>
          <w:rFonts w:cstheme="minorHAnsi"/>
          <w:color w:val="000000" w:themeColor="text1"/>
          <w:sz w:val="22"/>
          <w:szCs w:val="22"/>
        </w:rPr>
      </w:pPr>
      <w:r w:rsidRPr="00EF1E3A">
        <w:rPr>
          <w:rFonts w:cstheme="minorHAnsi"/>
          <w:color w:val="000000" w:themeColor="text1"/>
          <w:sz w:val="22"/>
          <w:szCs w:val="22"/>
        </w:rPr>
        <w:t xml:space="preserve">I think it was because we just felt that the risks were so </w:t>
      </w:r>
      <w:proofErr w:type="gramStart"/>
      <w:r w:rsidRPr="00EF1E3A">
        <w:rPr>
          <w:rFonts w:cstheme="minorHAnsi"/>
          <w:color w:val="000000" w:themeColor="text1"/>
          <w:sz w:val="22"/>
          <w:szCs w:val="22"/>
        </w:rPr>
        <w:t>high</w:t>
      </w:r>
      <w:proofErr w:type="gramEnd"/>
      <w:r w:rsidRPr="00EF1E3A">
        <w:rPr>
          <w:rFonts w:cstheme="minorHAnsi"/>
          <w:color w:val="000000" w:themeColor="text1"/>
          <w:sz w:val="22"/>
          <w:szCs w:val="22"/>
        </w:rPr>
        <w:t xml:space="preserve"> and we were just so worried about her… We just </w:t>
      </w:r>
      <w:proofErr w:type="spellStart"/>
      <w:r w:rsidRPr="00EF1E3A">
        <w:rPr>
          <w:rFonts w:cstheme="minorHAnsi"/>
          <w:color w:val="000000" w:themeColor="text1"/>
          <w:sz w:val="22"/>
          <w:szCs w:val="22"/>
        </w:rPr>
        <w:t>kinda</w:t>
      </w:r>
      <w:proofErr w:type="spellEnd"/>
      <w:r w:rsidRPr="00EF1E3A">
        <w:rPr>
          <w:rFonts w:cstheme="minorHAnsi"/>
          <w:color w:val="000000" w:themeColor="text1"/>
          <w:sz w:val="22"/>
          <w:szCs w:val="22"/>
        </w:rPr>
        <w:t xml:space="preserve"> kept coming back to thinking this is just so, risky, and that we just wouldn’t be happy just leaving it, we just couldn’t think of a plan that we would be happy with and thinking right we’ve put that place, ok, we can leave this now and just think, no. It just needed to go somewhere higher that was above us…</w:t>
      </w:r>
    </w:p>
    <w:p w14:paraId="2861B617" w14:textId="77777777" w:rsidR="000E0EC5" w:rsidRPr="00EF1E3A" w:rsidRDefault="000E0EC5" w:rsidP="005E4DC1">
      <w:pPr>
        <w:spacing w:line="360" w:lineRule="auto"/>
        <w:ind w:left="720" w:right="720"/>
        <w:contextualSpacing/>
        <w:jc w:val="both"/>
        <w:rPr>
          <w:rFonts w:cstheme="minorHAnsi"/>
          <w:color w:val="000000" w:themeColor="text1"/>
          <w:sz w:val="22"/>
          <w:szCs w:val="22"/>
        </w:rPr>
      </w:pPr>
    </w:p>
    <w:p w14:paraId="479361F4" w14:textId="46BD747D" w:rsidR="000E0EC5" w:rsidRPr="00EF1E3A" w:rsidRDefault="000E0EC5" w:rsidP="005E4DC1">
      <w:pPr>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lastRenderedPageBreak/>
        <w:t xml:space="preserve">Not only does she reinforce the perceived legitimacy of the </w:t>
      </w:r>
      <w:proofErr w:type="gramStart"/>
      <w:r w:rsidRPr="00EF1E3A">
        <w:rPr>
          <w:rFonts w:cstheme="minorHAnsi"/>
          <w:color w:val="000000" w:themeColor="text1"/>
          <w:sz w:val="22"/>
          <w:szCs w:val="22"/>
        </w:rPr>
        <w:t>CoP</w:t>
      </w:r>
      <w:proofErr w:type="gramEnd"/>
      <w:r w:rsidRPr="00EF1E3A">
        <w:rPr>
          <w:rFonts w:cstheme="minorHAnsi"/>
          <w:color w:val="000000" w:themeColor="text1"/>
          <w:sz w:val="22"/>
          <w:szCs w:val="22"/>
        </w:rPr>
        <w:t xml:space="preserve"> but her comments highlight that concerns about risk were the reason for bringing the case to court. This risk </w:t>
      </w:r>
      <w:r w:rsidR="00021611" w:rsidRPr="00EF1E3A">
        <w:rPr>
          <w:rFonts w:cstheme="minorHAnsi"/>
          <w:color w:val="000000" w:themeColor="text1"/>
          <w:sz w:val="22"/>
          <w:szCs w:val="22"/>
        </w:rPr>
        <w:t xml:space="preserve">discourse </w:t>
      </w:r>
      <w:r w:rsidRPr="00EF1E3A">
        <w:rPr>
          <w:rFonts w:cstheme="minorHAnsi"/>
          <w:color w:val="000000" w:themeColor="text1"/>
          <w:sz w:val="22"/>
          <w:szCs w:val="22"/>
        </w:rPr>
        <w:t>reinforces my finding that welfare interventions in mental capacity law are more likely to be used in cases of abuse.</w:t>
      </w:r>
      <w:r w:rsidRPr="00EF1E3A">
        <w:rPr>
          <w:rStyle w:val="FootnoteReference"/>
          <w:rFonts w:cstheme="minorHAnsi"/>
          <w:color w:val="000000" w:themeColor="text1"/>
          <w:sz w:val="22"/>
          <w:szCs w:val="22"/>
        </w:rPr>
        <w:footnoteReference w:id="29"/>
      </w:r>
      <w:r w:rsidRPr="00EF1E3A">
        <w:rPr>
          <w:rFonts w:cstheme="minorHAnsi"/>
          <w:color w:val="000000" w:themeColor="text1"/>
          <w:sz w:val="22"/>
          <w:szCs w:val="22"/>
        </w:rPr>
        <w:t xml:space="preserve"> My interviews reinforced the pervasiveness of concerns about ‘duty of care’ and ‘risk’ that have been identified elsewhere.</w:t>
      </w:r>
      <w:r w:rsidRPr="00EF1E3A">
        <w:rPr>
          <w:rStyle w:val="FootnoteReference"/>
          <w:rFonts w:cstheme="minorHAnsi"/>
          <w:color w:val="000000" w:themeColor="text1"/>
          <w:sz w:val="22"/>
          <w:szCs w:val="22"/>
        </w:rPr>
        <w:footnoteReference w:id="30"/>
      </w:r>
      <w:r w:rsidRPr="00EF1E3A">
        <w:rPr>
          <w:rFonts w:cstheme="minorHAnsi"/>
          <w:color w:val="000000" w:themeColor="text1"/>
          <w:sz w:val="22"/>
          <w:szCs w:val="22"/>
        </w:rPr>
        <w:t xml:space="preserve"> For example, Julia</w:t>
      </w:r>
      <w:r w:rsidRPr="00EF1E3A">
        <w:rPr>
          <w:rStyle w:val="FootnoteReference"/>
          <w:rFonts w:cstheme="minorHAnsi"/>
          <w:color w:val="000000" w:themeColor="text1"/>
          <w:sz w:val="22"/>
          <w:szCs w:val="22"/>
        </w:rPr>
        <w:footnoteReference w:id="31"/>
      </w:r>
      <w:r w:rsidRPr="00EF1E3A">
        <w:rPr>
          <w:rFonts w:cstheme="minorHAnsi"/>
          <w:color w:val="000000" w:themeColor="text1"/>
          <w:sz w:val="22"/>
          <w:szCs w:val="22"/>
        </w:rPr>
        <w:t xml:space="preserve"> repeatedly explained that she had a duty of care towards her service users, Julia said:</w:t>
      </w:r>
    </w:p>
    <w:p w14:paraId="31065829" w14:textId="77777777" w:rsidR="000E0EC5" w:rsidRPr="00EF1E3A" w:rsidRDefault="000E0EC5" w:rsidP="005E4DC1">
      <w:pPr>
        <w:spacing w:line="360" w:lineRule="auto"/>
        <w:ind w:left="720" w:right="720"/>
        <w:contextualSpacing/>
        <w:jc w:val="both"/>
        <w:rPr>
          <w:rFonts w:cstheme="minorHAnsi"/>
          <w:color w:val="000000" w:themeColor="text1"/>
          <w:sz w:val="22"/>
          <w:szCs w:val="22"/>
        </w:rPr>
      </w:pPr>
      <w:r w:rsidRPr="00EF1E3A">
        <w:rPr>
          <w:rFonts w:cstheme="minorHAnsi"/>
          <w:color w:val="000000" w:themeColor="text1"/>
          <w:sz w:val="22"/>
          <w:szCs w:val="22"/>
        </w:rPr>
        <w:t>we have had situations where people will come in and get the service user to try and sign something but I think the nursing staff are now alerted to the fact they should never let anyone sign anything they, that people coming in without having some- given some thought to whether that person’s got capacity, we have got a duty of care…</w:t>
      </w:r>
    </w:p>
    <w:p w14:paraId="5B70E859" w14:textId="77777777" w:rsidR="000E0EC5" w:rsidRPr="00EF1E3A" w:rsidRDefault="000E0EC5" w:rsidP="005E4DC1">
      <w:pPr>
        <w:spacing w:line="360" w:lineRule="auto"/>
        <w:contextualSpacing/>
        <w:jc w:val="both"/>
        <w:rPr>
          <w:rFonts w:cstheme="minorHAnsi"/>
          <w:color w:val="000000" w:themeColor="text1"/>
          <w:sz w:val="22"/>
          <w:szCs w:val="22"/>
        </w:rPr>
      </w:pPr>
    </w:p>
    <w:p w14:paraId="158E74CD" w14:textId="77777777" w:rsidR="000E0EC5" w:rsidRPr="00EF1E3A" w:rsidRDefault="000E0EC5" w:rsidP="005E4DC1">
      <w:pPr>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Similarly, I asked Andrea</w:t>
      </w:r>
      <w:r w:rsidRPr="00EF1E3A">
        <w:rPr>
          <w:rStyle w:val="FootnoteReference"/>
          <w:rFonts w:cstheme="minorHAnsi"/>
          <w:color w:val="000000" w:themeColor="text1"/>
          <w:sz w:val="22"/>
          <w:szCs w:val="22"/>
        </w:rPr>
        <w:footnoteReference w:id="32"/>
      </w:r>
      <w:r w:rsidRPr="00EF1E3A">
        <w:rPr>
          <w:rFonts w:cstheme="minorHAnsi"/>
          <w:color w:val="000000" w:themeColor="text1"/>
          <w:sz w:val="22"/>
          <w:szCs w:val="22"/>
        </w:rPr>
        <w:t xml:space="preserve"> for her views on supported decision-making. As she had not come across the </w:t>
      </w:r>
      <w:proofErr w:type="gramStart"/>
      <w:r w:rsidRPr="00EF1E3A">
        <w:rPr>
          <w:rFonts w:cstheme="minorHAnsi"/>
          <w:color w:val="000000" w:themeColor="text1"/>
          <w:sz w:val="22"/>
          <w:szCs w:val="22"/>
        </w:rPr>
        <w:t>term</w:t>
      </w:r>
      <w:proofErr w:type="gramEnd"/>
      <w:r w:rsidRPr="00EF1E3A">
        <w:rPr>
          <w:rFonts w:cstheme="minorHAnsi"/>
          <w:color w:val="000000" w:themeColor="text1"/>
          <w:sz w:val="22"/>
          <w:szCs w:val="22"/>
        </w:rPr>
        <w:t xml:space="preserve"> I explained it to her and our dialogue is set out below:</w:t>
      </w:r>
    </w:p>
    <w:p w14:paraId="13DCC658" w14:textId="77777777" w:rsidR="000E0EC5" w:rsidRPr="00EF1E3A" w:rsidRDefault="000E0EC5" w:rsidP="005E4DC1">
      <w:pPr>
        <w:spacing w:line="360" w:lineRule="auto"/>
        <w:ind w:left="720" w:right="720"/>
        <w:contextualSpacing/>
        <w:jc w:val="both"/>
        <w:rPr>
          <w:rFonts w:cstheme="minorHAnsi"/>
          <w:color w:val="000000" w:themeColor="text1"/>
          <w:sz w:val="22"/>
          <w:szCs w:val="22"/>
        </w:rPr>
      </w:pPr>
      <w:r w:rsidRPr="00EF1E3A">
        <w:rPr>
          <w:rFonts w:cstheme="minorHAnsi"/>
          <w:color w:val="000000" w:themeColor="text1"/>
          <w:sz w:val="22"/>
          <w:szCs w:val="22"/>
        </w:rPr>
        <w:t>Interviewer: So supported decision making under the MCA is just providing all practicable steps to allow the person to make the decision themselves before substituting a decision, but it can also have an interpretation as meaning only allowing that person to make the decision with support, so never substituting their decision with yours. So there’s two different interpretations, so I don’t know if you’ve come across either or neither?</w:t>
      </w:r>
    </w:p>
    <w:p w14:paraId="17B1DB56" w14:textId="77777777" w:rsidR="000E0EC5" w:rsidRPr="00EF1E3A" w:rsidRDefault="000E0EC5" w:rsidP="005E4DC1">
      <w:pPr>
        <w:spacing w:line="360" w:lineRule="auto"/>
        <w:ind w:left="720" w:right="720"/>
        <w:contextualSpacing/>
        <w:jc w:val="both"/>
        <w:rPr>
          <w:rFonts w:cstheme="minorHAnsi"/>
          <w:color w:val="000000" w:themeColor="text1"/>
          <w:sz w:val="22"/>
          <w:szCs w:val="22"/>
        </w:rPr>
      </w:pPr>
    </w:p>
    <w:p w14:paraId="1D384304" w14:textId="4D8C20CA" w:rsidR="000E0EC5" w:rsidRPr="00EF1E3A" w:rsidRDefault="000E0EC5" w:rsidP="005E4DC1">
      <w:pPr>
        <w:spacing w:line="360" w:lineRule="auto"/>
        <w:ind w:left="720" w:right="720"/>
        <w:contextualSpacing/>
        <w:jc w:val="both"/>
        <w:rPr>
          <w:rFonts w:cstheme="minorHAnsi"/>
          <w:sz w:val="22"/>
          <w:szCs w:val="22"/>
        </w:rPr>
      </w:pPr>
      <w:r w:rsidRPr="00EF1E3A">
        <w:rPr>
          <w:rFonts w:cstheme="minorHAnsi"/>
          <w:color w:val="000000" w:themeColor="text1"/>
          <w:sz w:val="22"/>
          <w:szCs w:val="22"/>
        </w:rPr>
        <w:t xml:space="preserve">Andrea: </w:t>
      </w:r>
      <w:r w:rsidRPr="00EF1E3A">
        <w:rPr>
          <w:rFonts w:cstheme="minorHAnsi"/>
          <w:sz w:val="22"/>
          <w:szCs w:val="22"/>
        </w:rPr>
        <w:t>Well I’ve come across the first.</w:t>
      </w:r>
    </w:p>
    <w:p w14:paraId="13D2BB54" w14:textId="77777777" w:rsidR="009E476C" w:rsidRPr="00EF1E3A" w:rsidRDefault="009E476C" w:rsidP="005E4DC1">
      <w:pPr>
        <w:spacing w:line="360" w:lineRule="auto"/>
        <w:ind w:left="720" w:right="720"/>
        <w:contextualSpacing/>
        <w:jc w:val="both"/>
        <w:rPr>
          <w:rFonts w:cstheme="minorHAnsi"/>
          <w:color w:val="000000" w:themeColor="text1"/>
          <w:sz w:val="22"/>
          <w:szCs w:val="22"/>
        </w:rPr>
      </w:pPr>
    </w:p>
    <w:p w14:paraId="126FC2F4" w14:textId="77777777" w:rsidR="000E0EC5" w:rsidRPr="00EF1E3A" w:rsidRDefault="000E0EC5" w:rsidP="005E4DC1">
      <w:pPr>
        <w:spacing w:line="360" w:lineRule="auto"/>
        <w:ind w:left="720" w:right="720"/>
        <w:contextualSpacing/>
        <w:jc w:val="both"/>
        <w:rPr>
          <w:rFonts w:cstheme="minorHAnsi"/>
          <w:color w:val="000000" w:themeColor="text1"/>
          <w:sz w:val="22"/>
          <w:szCs w:val="22"/>
        </w:rPr>
      </w:pPr>
      <w:r w:rsidRPr="00EF1E3A">
        <w:rPr>
          <w:rFonts w:cstheme="minorHAnsi"/>
          <w:color w:val="000000" w:themeColor="text1"/>
          <w:sz w:val="22"/>
          <w:szCs w:val="22"/>
        </w:rPr>
        <w:t xml:space="preserve">Interviewer: </w:t>
      </w:r>
      <w:r w:rsidRPr="00EF1E3A">
        <w:rPr>
          <w:rFonts w:cstheme="minorHAnsi"/>
          <w:sz w:val="22"/>
          <w:szCs w:val="22"/>
        </w:rPr>
        <w:t>Which is providing as much support as you can. How do you find that works in practice?</w:t>
      </w:r>
    </w:p>
    <w:p w14:paraId="6496BD97" w14:textId="77777777" w:rsidR="000E0EC5" w:rsidRPr="00EF1E3A" w:rsidRDefault="000E0EC5" w:rsidP="005E4DC1">
      <w:pPr>
        <w:spacing w:line="360" w:lineRule="auto"/>
        <w:ind w:left="720" w:right="720"/>
        <w:contextualSpacing/>
        <w:jc w:val="both"/>
        <w:rPr>
          <w:rFonts w:cstheme="minorHAnsi"/>
          <w:color w:val="000000" w:themeColor="text1"/>
          <w:sz w:val="22"/>
          <w:szCs w:val="22"/>
        </w:rPr>
      </w:pPr>
    </w:p>
    <w:p w14:paraId="05F4377B" w14:textId="77777777" w:rsidR="000E0EC5" w:rsidRPr="00EF1E3A" w:rsidRDefault="000E0EC5" w:rsidP="005E4DC1">
      <w:pPr>
        <w:spacing w:line="360" w:lineRule="auto"/>
        <w:ind w:left="720" w:right="720"/>
        <w:contextualSpacing/>
        <w:jc w:val="both"/>
        <w:rPr>
          <w:rFonts w:cstheme="minorHAnsi"/>
          <w:color w:val="000000" w:themeColor="text1"/>
          <w:sz w:val="22"/>
          <w:szCs w:val="22"/>
        </w:rPr>
      </w:pPr>
      <w:r w:rsidRPr="00EF1E3A">
        <w:rPr>
          <w:rFonts w:cstheme="minorHAnsi"/>
          <w:color w:val="000000" w:themeColor="text1"/>
          <w:sz w:val="22"/>
          <w:szCs w:val="22"/>
        </w:rPr>
        <w:t xml:space="preserve">Andrea: </w:t>
      </w:r>
      <w:r w:rsidRPr="00EF1E3A">
        <w:rPr>
          <w:rFonts w:cstheme="minorHAnsi"/>
          <w:sz w:val="22"/>
          <w:szCs w:val="22"/>
        </w:rPr>
        <w:t xml:space="preserve">Erm, it depends on the person … what they can understand and take on really. Because sometimes it’s like you can really work with somebody over an hour or repeated visits to try and get them to understand the information, absorb it, and they </w:t>
      </w:r>
      <w:r w:rsidRPr="00EF1E3A">
        <w:rPr>
          <w:rFonts w:cstheme="minorHAnsi"/>
          <w:sz w:val="22"/>
          <w:szCs w:val="22"/>
        </w:rPr>
        <w:lastRenderedPageBreak/>
        <w:t xml:space="preserve">may not absorb it then. But if you go several times over that period of </w:t>
      </w:r>
      <w:proofErr w:type="gramStart"/>
      <w:r w:rsidRPr="00EF1E3A">
        <w:rPr>
          <w:rFonts w:cstheme="minorHAnsi"/>
          <w:sz w:val="22"/>
          <w:szCs w:val="22"/>
        </w:rPr>
        <w:t>time</w:t>
      </w:r>
      <w:proofErr w:type="gramEnd"/>
      <w:r w:rsidRPr="00EF1E3A">
        <w:rPr>
          <w:rFonts w:cstheme="minorHAnsi"/>
          <w:sz w:val="22"/>
          <w:szCs w:val="22"/>
        </w:rPr>
        <w:t xml:space="preserve"> they may be able to absorb that then, and retain it …</w:t>
      </w:r>
    </w:p>
    <w:p w14:paraId="05011333" w14:textId="77777777" w:rsidR="000E0EC5" w:rsidRPr="00EF1E3A" w:rsidRDefault="000E0EC5" w:rsidP="005E4DC1">
      <w:pPr>
        <w:spacing w:line="360" w:lineRule="auto"/>
        <w:contextualSpacing/>
        <w:jc w:val="both"/>
        <w:rPr>
          <w:rFonts w:cstheme="minorHAnsi"/>
          <w:color w:val="000000" w:themeColor="text1"/>
          <w:sz w:val="22"/>
          <w:szCs w:val="22"/>
        </w:rPr>
      </w:pPr>
    </w:p>
    <w:p w14:paraId="154A30C5" w14:textId="77777777" w:rsidR="000E0EC5" w:rsidRPr="00EF1E3A" w:rsidRDefault="000E0EC5" w:rsidP="005E4DC1">
      <w:pPr>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Andrea then went on to focus on her concerns about risk and duty of care:</w:t>
      </w:r>
    </w:p>
    <w:p w14:paraId="0C202A70" w14:textId="77777777" w:rsidR="000E0EC5" w:rsidRPr="00EF1E3A" w:rsidRDefault="000E0EC5" w:rsidP="005E4DC1">
      <w:pPr>
        <w:spacing w:line="360" w:lineRule="auto"/>
        <w:ind w:left="720" w:right="720"/>
        <w:contextualSpacing/>
        <w:jc w:val="both"/>
        <w:rPr>
          <w:rFonts w:cstheme="minorHAnsi"/>
          <w:color w:val="000000" w:themeColor="text1"/>
          <w:sz w:val="22"/>
          <w:szCs w:val="22"/>
        </w:rPr>
      </w:pPr>
      <w:r w:rsidRPr="00EF1E3A">
        <w:rPr>
          <w:rFonts w:cstheme="minorHAnsi"/>
          <w:color w:val="000000" w:themeColor="text1"/>
          <w:sz w:val="22"/>
          <w:szCs w:val="22"/>
        </w:rPr>
        <w:t xml:space="preserve">I feel </w:t>
      </w:r>
      <w:proofErr w:type="gramStart"/>
      <w:r w:rsidRPr="00EF1E3A">
        <w:rPr>
          <w:rFonts w:cstheme="minorHAnsi"/>
          <w:color w:val="000000" w:themeColor="text1"/>
          <w:sz w:val="22"/>
          <w:szCs w:val="22"/>
        </w:rPr>
        <w:t>really strongly</w:t>
      </w:r>
      <w:proofErr w:type="gramEnd"/>
      <w:r w:rsidRPr="00EF1E3A">
        <w:rPr>
          <w:rFonts w:cstheme="minorHAnsi"/>
          <w:color w:val="000000" w:themeColor="text1"/>
          <w:sz w:val="22"/>
          <w:szCs w:val="22"/>
        </w:rPr>
        <w:t xml:space="preserve"> about keeping, letting people have autonomy and things but I also deal with lots of risk… Maybe they’d rather die at home and fall down the stairs. It’s a real, it’s a real dilemma, it’s something that I struggle with in certain cases at certain times when people’s feelings are really strong, when they’re not so strong it tends not to worry you so much… But… people worry then about being negligent don’t they, I think that’s what you’d worry about not fulfilling your duty of care and being negligent...</w:t>
      </w:r>
    </w:p>
    <w:p w14:paraId="4908B818" w14:textId="77777777" w:rsidR="000E0EC5" w:rsidRPr="00EF1E3A" w:rsidRDefault="000E0EC5" w:rsidP="005E4DC1">
      <w:pPr>
        <w:spacing w:line="360" w:lineRule="auto"/>
        <w:contextualSpacing/>
        <w:jc w:val="both"/>
        <w:rPr>
          <w:rFonts w:cstheme="minorHAnsi"/>
          <w:color w:val="000000" w:themeColor="text1"/>
          <w:sz w:val="22"/>
          <w:szCs w:val="22"/>
        </w:rPr>
      </w:pPr>
    </w:p>
    <w:p w14:paraId="6E8B4D67" w14:textId="77777777" w:rsidR="000E0EC5" w:rsidRPr="00EF1E3A" w:rsidRDefault="000E0EC5" w:rsidP="005E4DC1">
      <w:pPr>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I went on to ask if supported decision-making, in the substantive Article 12 CRPD sense of removing substituted decision-making, would be a big change in mindset, and she said:</w:t>
      </w:r>
    </w:p>
    <w:p w14:paraId="416261FF" w14:textId="77777777" w:rsidR="000E0EC5" w:rsidRPr="00EF1E3A" w:rsidRDefault="000E0EC5" w:rsidP="005E4DC1">
      <w:pPr>
        <w:spacing w:line="360" w:lineRule="auto"/>
        <w:ind w:left="720" w:right="720"/>
        <w:contextualSpacing/>
        <w:jc w:val="both"/>
        <w:rPr>
          <w:rFonts w:cstheme="minorHAnsi"/>
          <w:color w:val="000000" w:themeColor="text1"/>
          <w:sz w:val="22"/>
          <w:szCs w:val="22"/>
        </w:rPr>
      </w:pPr>
      <w:r w:rsidRPr="00EF1E3A">
        <w:rPr>
          <w:rFonts w:cstheme="minorHAnsi"/>
          <w:color w:val="000000" w:themeColor="text1"/>
          <w:sz w:val="22"/>
          <w:szCs w:val="22"/>
        </w:rPr>
        <w:t xml:space="preserve">Yeh it would… because I think you know we’ve got this duty of care always underlying </w:t>
      </w:r>
      <w:proofErr w:type="gramStart"/>
      <w:r w:rsidRPr="00EF1E3A">
        <w:rPr>
          <w:rFonts w:cstheme="minorHAnsi"/>
          <w:color w:val="000000" w:themeColor="text1"/>
          <w:sz w:val="22"/>
          <w:szCs w:val="22"/>
        </w:rPr>
        <w:t>everything</w:t>
      </w:r>
      <w:proofErr w:type="gramEnd"/>
      <w:r w:rsidRPr="00EF1E3A">
        <w:rPr>
          <w:rFonts w:cstheme="minorHAnsi"/>
          <w:color w:val="000000" w:themeColor="text1"/>
          <w:sz w:val="22"/>
          <w:szCs w:val="22"/>
        </w:rPr>
        <w:t xml:space="preserve"> so people don’t like to take risks… it’s really hard… I try to take risks but there’s certain pressures that can be applied at times. </w:t>
      </w:r>
    </w:p>
    <w:p w14:paraId="7656502C" w14:textId="77777777" w:rsidR="000E0EC5" w:rsidRPr="00EF1E3A" w:rsidRDefault="000E0EC5" w:rsidP="005E4DC1">
      <w:pPr>
        <w:spacing w:line="360" w:lineRule="auto"/>
        <w:contextualSpacing/>
        <w:jc w:val="both"/>
        <w:rPr>
          <w:rFonts w:cstheme="minorHAnsi"/>
          <w:color w:val="000000" w:themeColor="text1"/>
          <w:sz w:val="22"/>
          <w:szCs w:val="22"/>
        </w:rPr>
      </w:pPr>
    </w:p>
    <w:p w14:paraId="32EFEE87" w14:textId="7C09630A" w:rsidR="00141EDC" w:rsidRDefault="000E0EC5" w:rsidP="00141EDC">
      <w:pPr>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 xml:space="preserve">As these comments highlight, it is when others make decisions to abuse or where individuals want to live in a risky environment, that social workers are most concerned about their duty of care. Therefore most concerns in the welfare context relate to the situation that </w:t>
      </w:r>
      <w:r w:rsidR="009E476C" w:rsidRPr="00EF1E3A">
        <w:rPr>
          <w:rFonts w:cstheme="minorHAnsi"/>
          <w:color w:val="000000" w:themeColor="text1"/>
          <w:sz w:val="22"/>
          <w:szCs w:val="22"/>
        </w:rPr>
        <w:t>the person</w:t>
      </w:r>
      <w:r w:rsidRPr="00EF1E3A">
        <w:rPr>
          <w:rFonts w:cstheme="minorHAnsi"/>
          <w:color w:val="000000" w:themeColor="text1"/>
          <w:sz w:val="22"/>
          <w:szCs w:val="22"/>
        </w:rPr>
        <w:t xml:space="preserve"> finds herself in rather than being concerns about mental functioning. Sarah also highlighted this when she told me about her challenging case</w:t>
      </w:r>
      <w:r w:rsidR="00141EDC">
        <w:rPr>
          <w:rFonts w:cstheme="minorHAnsi"/>
          <w:color w:val="000000" w:themeColor="text1"/>
          <w:sz w:val="22"/>
          <w:szCs w:val="22"/>
        </w:rPr>
        <w:t xml:space="preserve"> noted earlier</w:t>
      </w:r>
      <w:r w:rsidRPr="00EF1E3A">
        <w:rPr>
          <w:rFonts w:cstheme="minorHAnsi"/>
          <w:color w:val="000000" w:themeColor="text1"/>
          <w:sz w:val="22"/>
          <w:szCs w:val="22"/>
        </w:rPr>
        <w:t xml:space="preserve">. The case concerned a young learning disabled woman in her twenties who was married to a man of a similar age and with similar disabilities. The concern was that, on investigation, it became clear that this woman’s husband had been charged with the rape of his sister and </w:t>
      </w:r>
      <w:proofErr w:type="gramStart"/>
      <w:r w:rsidRPr="00EF1E3A">
        <w:rPr>
          <w:rFonts w:cstheme="minorHAnsi"/>
          <w:color w:val="000000" w:themeColor="text1"/>
          <w:sz w:val="22"/>
          <w:szCs w:val="22"/>
        </w:rPr>
        <w:t>step sister</w:t>
      </w:r>
      <w:proofErr w:type="gramEnd"/>
      <w:r w:rsidRPr="00EF1E3A">
        <w:rPr>
          <w:rFonts w:cstheme="minorHAnsi"/>
          <w:color w:val="000000" w:themeColor="text1"/>
          <w:sz w:val="22"/>
          <w:szCs w:val="22"/>
        </w:rPr>
        <w:t xml:space="preserve"> and that he was also being investigated for raping another woman with a learning disability. Sarah was concerned about what might happen if the case went to the </w:t>
      </w:r>
      <w:proofErr w:type="spellStart"/>
      <w:r w:rsidRPr="00EF1E3A">
        <w:rPr>
          <w:rFonts w:cstheme="minorHAnsi"/>
          <w:color w:val="000000" w:themeColor="text1"/>
          <w:sz w:val="22"/>
          <w:szCs w:val="22"/>
        </w:rPr>
        <w:t>CoP</w:t>
      </w:r>
      <w:r w:rsidR="00141EDC">
        <w:rPr>
          <w:rFonts w:cstheme="minorHAnsi"/>
          <w:color w:val="000000" w:themeColor="text1"/>
          <w:sz w:val="22"/>
          <w:szCs w:val="22"/>
        </w:rPr>
        <w:t>.</w:t>
      </w:r>
      <w:proofErr w:type="spellEnd"/>
      <w:r w:rsidRPr="00EF1E3A">
        <w:rPr>
          <w:rFonts w:cstheme="minorHAnsi"/>
          <w:color w:val="000000" w:themeColor="text1"/>
          <w:sz w:val="22"/>
          <w:szCs w:val="22"/>
        </w:rPr>
        <w:t xml:space="preserve"> </w:t>
      </w:r>
      <w:r w:rsidR="00021611" w:rsidRPr="00EF1E3A">
        <w:rPr>
          <w:rFonts w:cstheme="minorHAnsi"/>
          <w:color w:val="000000" w:themeColor="text1"/>
          <w:sz w:val="22"/>
          <w:szCs w:val="22"/>
        </w:rPr>
        <w:t>Sarah</w:t>
      </w:r>
      <w:r w:rsidRPr="00EF1E3A">
        <w:rPr>
          <w:rFonts w:cstheme="minorHAnsi"/>
          <w:color w:val="000000" w:themeColor="text1"/>
          <w:sz w:val="22"/>
          <w:szCs w:val="22"/>
        </w:rPr>
        <w:t xml:space="preserve"> was concerned that a decision would be enforced that would separate the woman from her husband against her will. </w:t>
      </w:r>
      <w:r w:rsidR="00141EDC">
        <w:rPr>
          <w:rFonts w:cstheme="minorHAnsi"/>
          <w:color w:val="000000" w:themeColor="text1"/>
          <w:sz w:val="22"/>
          <w:szCs w:val="22"/>
        </w:rPr>
        <w:t>Whereas all Sarah wanted to show her service-user was that there is ‘</w:t>
      </w:r>
      <w:r w:rsidRPr="00EF1E3A">
        <w:rPr>
          <w:rFonts w:cstheme="minorHAnsi"/>
          <w:color w:val="000000" w:themeColor="text1"/>
          <w:sz w:val="22"/>
          <w:szCs w:val="22"/>
        </w:rPr>
        <w:t>a life kind of beyond her husband, that there is</w:t>
      </w:r>
      <w:r w:rsidR="00141EDC">
        <w:rPr>
          <w:rFonts w:cstheme="minorHAnsi"/>
          <w:color w:val="000000" w:themeColor="text1"/>
          <w:sz w:val="22"/>
          <w:szCs w:val="22"/>
        </w:rPr>
        <w:t xml:space="preserve"> … </w:t>
      </w:r>
      <w:r w:rsidRPr="00EF1E3A">
        <w:rPr>
          <w:rFonts w:cstheme="minorHAnsi"/>
          <w:color w:val="000000" w:themeColor="text1"/>
          <w:sz w:val="22"/>
          <w:szCs w:val="22"/>
        </w:rPr>
        <w:t>there’s a better world</w:t>
      </w:r>
      <w:r w:rsidR="00141EDC">
        <w:rPr>
          <w:rFonts w:cstheme="minorHAnsi"/>
          <w:color w:val="000000" w:themeColor="text1"/>
          <w:sz w:val="22"/>
          <w:szCs w:val="22"/>
        </w:rPr>
        <w:t xml:space="preserve">’ and </w:t>
      </w:r>
      <w:r w:rsidR="00141EDC" w:rsidRPr="00EF1E3A">
        <w:rPr>
          <w:rFonts w:cstheme="minorHAnsi"/>
          <w:color w:val="000000" w:themeColor="text1"/>
          <w:sz w:val="22"/>
          <w:szCs w:val="22"/>
        </w:rPr>
        <w:t>that she could have a different</w:t>
      </w:r>
      <w:r w:rsidR="00141EDC">
        <w:rPr>
          <w:rFonts w:cstheme="minorHAnsi"/>
          <w:color w:val="000000" w:themeColor="text1"/>
          <w:sz w:val="22"/>
          <w:szCs w:val="22"/>
        </w:rPr>
        <w:t>, better</w:t>
      </w:r>
      <w:r w:rsidR="00141EDC" w:rsidRPr="00EF1E3A">
        <w:rPr>
          <w:rFonts w:cstheme="minorHAnsi"/>
          <w:color w:val="000000" w:themeColor="text1"/>
          <w:sz w:val="22"/>
          <w:szCs w:val="22"/>
        </w:rPr>
        <w:t xml:space="preserve"> life</w:t>
      </w:r>
      <w:r w:rsidR="00141EDC">
        <w:rPr>
          <w:rFonts w:cstheme="minorHAnsi"/>
          <w:color w:val="000000" w:themeColor="text1"/>
          <w:sz w:val="22"/>
          <w:szCs w:val="22"/>
        </w:rPr>
        <w:t xml:space="preserve"> if she had the support to leave him. </w:t>
      </w:r>
    </w:p>
    <w:p w14:paraId="62542CBE" w14:textId="77777777" w:rsidR="009A7E76" w:rsidRDefault="009A7E76" w:rsidP="009A7E76">
      <w:pPr>
        <w:spacing w:line="360" w:lineRule="auto"/>
        <w:contextualSpacing/>
        <w:jc w:val="both"/>
        <w:rPr>
          <w:rFonts w:cstheme="minorHAnsi"/>
          <w:color w:val="000000" w:themeColor="text1"/>
          <w:sz w:val="22"/>
          <w:szCs w:val="22"/>
        </w:rPr>
      </w:pPr>
    </w:p>
    <w:p w14:paraId="240D4FFD" w14:textId="503026FA" w:rsidR="000E0EC5" w:rsidRPr="00EF1E3A" w:rsidRDefault="000E0EC5" w:rsidP="009A7E76">
      <w:pPr>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 xml:space="preserve">Whilst high-risk abuse cases dominate, this is predominantly where the adults in question are ‘non-compliant’ with social worker advice, rather than </w:t>
      </w:r>
      <w:r w:rsidRPr="00EF1E3A">
        <w:rPr>
          <w:rFonts w:cstheme="minorHAnsi"/>
          <w:i/>
          <w:color w:val="000000" w:themeColor="text1"/>
          <w:sz w:val="22"/>
          <w:szCs w:val="22"/>
        </w:rPr>
        <w:t>all</w:t>
      </w:r>
      <w:r w:rsidRPr="00EF1E3A">
        <w:rPr>
          <w:rFonts w:cstheme="minorHAnsi"/>
          <w:color w:val="000000" w:themeColor="text1"/>
          <w:sz w:val="22"/>
          <w:szCs w:val="22"/>
        </w:rPr>
        <w:t xml:space="preserve"> high-risk cases. This included cases both where </w:t>
      </w:r>
      <w:r w:rsidR="009E476C" w:rsidRPr="00EF1E3A">
        <w:rPr>
          <w:rFonts w:cstheme="minorHAnsi"/>
          <w:color w:val="000000" w:themeColor="text1"/>
          <w:sz w:val="22"/>
          <w:szCs w:val="22"/>
        </w:rPr>
        <w:lastRenderedPageBreak/>
        <w:t>the person</w:t>
      </w:r>
      <w:r w:rsidRPr="00EF1E3A">
        <w:rPr>
          <w:rFonts w:cstheme="minorHAnsi"/>
          <w:color w:val="000000" w:themeColor="text1"/>
          <w:sz w:val="22"/>
          <w:szCs w:val="22"/>
        </w:rPr>
        <w:t xml:space="preserve"> was non-compliant and where a family member was non-compliant because they disagreed with the decision. For example, seven of the 20 CoP case files reviewed concerned cases where </w:t>
      </w:r>
      <w:r w:rsidR="009E476C" w:rsidRPr="00EF1E3A">
        <w:rPr>
          <w:rFonts w:cstheme="minorHAnsi"/>
          <w:color w:val="000000" w:themeColor="text1"/>
          <w:sz w:val="22"/>
          <w:szCs w:val="22"/>
        </w:rPr>
        <w:t>the person at the heart of the decision</w:t>
      </w:r>
      <w:r w:rsidRPr="00EF1E3A">
        <w:rPr>
          <w:rFonts w:cstheme="minorHAnsi"/>
          <w:color w:val="000000" w:themeColor="text1"/>
          <w:sz w:val="22"/>
          <w:szCs w:val="22"/>
        </w:rPr>
        <w:t xml:space="preserve"> was non-compliant in that she either challenged the decision or did not agree with it, in five cases the male partner of</w:t>
      </w:r>
      <w:r w:rsidR="009E476C" w:rsidRPr="00EF1E3A">
        <w:rPr>
          <w:rFonts w:cstheme="minorHAnsi"/>
          <w:color w:val="000000" w:themeColor="text1"/>
          <w:sz w:val="22"/>
          <w:szCs w:val="22"/>
        </w:rPr>
        <w:t xml:space="preserve"> the person</w:t>
      </w:r>
      <w:r w:rsidRPr="00EF1E3A">
        <w:rPr>
          <w:rFonts w:cstheme="minorHAnsi"/>
          <w:color w:val="000000" w:themeColor="text1"/>
          <w:sz w:val="22"/>
          <w:szCs w:val="22"/>
        </w:rPr>
        <w:t xml:space="preserve"> was non-compliant with the local authority decision, in at least two of the forced marriage cases the local authority decision to intervene was based on a concern that parents would take </w:t>
      </w:r>
      <w:r w:rsidR="009E476C" w:rsidRPr="00EF1E3A">
        <w:rPr>
          <w:rFonts w:cstheme="minorHAnsi"/>
          <w:color w:val="000000" w:themeColor="text1"/>
          <w:sz w:val="22"/>
          <w:szCs w:val="22"/>
        </w:rPr>
        <w:t>the person</w:t>
      </w:r>
      <w:r w:rsidRPr="00EF1E3A">
        <w:rPr>
          <w:rFonts w:cstheme="minorHAnsi"/>
          <w:color w:val="000000" w:themeColor="text1"/>
          <w:sz w:val="22"/>
          <w:szCs w:val="22"/>
        </w:rPr>
        <w:t xml:space="preserve"> abroad for marriage against social work advice, and in two other forced marriage cases the local authority clearly disagreed with </w:t>
      </w:r>
      <w:r w:rsidR="009E476C" w:rsidRPr="00EF1E3A">
        <w:rPr>
          <w:rFonts w:cstheme="minorHAnsi"/>
          <w:color w:val="000000" w:themeColor="text1"/>
          <w:sz w:val="22"/>
          <w:szCs w:val="22"/>
        </w:rPr>
        <w:t>the person’s</w:t>
      </w:r>
      <w:r w:rsidRPr="00EF1E3A">
        <w:rPr>
          <w:rFonts w:cstheme="minorHAnsi"/>
          <w:color w:val="000000" w:themeColor="text1"/>
          <w:sz w:val="22"/>
          <w:szCs w:val="22"/>
        </w:rPr>
        <w:t xml:space="preserve"> own non-compliant behaviour in respect of marriage describing her actions as ‘risky’.</w:t>
      </w:r>
      <w:r w:rsidRPr="00EF1E3A">
        <w:rPr>
          <w:rStyle w:val="FootnoteReference"/>
          <w:rFonts w:cstheme="minorHAnsi"/>
          <w:color w:val="000000" w:themeColor="text1"/>
          <w:sz w:val="22"/>
          <w:szCs w:val="22"/>
        </w:rPr>
        <w:footnoteReference w:id="33"/>
      </w:r>
      <w:r w:rsidRPr="00EF1E3A">
        <w:rPr>
          <w:rFonts w:cstheme="minorHAnsi"/>
          <w:color w:val="000000" w:themeColor="text1"/>
          <w:sz w:val="22"/>
          <w:szCs w:val="22"/>
        </w:rPr>
        <w:t xml:space="preserve"> Those cases where </w:t>
      </w:r>
      <w:r w:rsidR="009E476C" w:rsidRPr="00EF1E3A">
        <w:rPr>
          <w:rFonts w:cstheme="minorHAnsi"/>
          <w:color w:val="000000" w:themeColor="text1"/>
          <w:sz w:val="22"/>
          <w:szCs w:val="22"/>
        </w:rPr>
        <w:t>the person</w:t>
      </w:r>
      <w:r w:rsidRPr="00EF1E3A">
        <w:rPr>
          <w:rFonts w:cstheme="minorHAnsi"/>
          <w:color w:val="000000" w:themeColor="text1"/>
          <w:sz w:val="22"/>
          <w:szCs w:val="22"/>
        </w:rPr>
        <w:t xml:space="preserve"> did not have anyone to advocate on her behalf, or where </w:t>
      </w:r>
      <w:r w:rsidR="009E476C" w:rsidRPr="00EF1E3A">
        <w:rPr>
          <w:rFonts w:cstheme="minorHAnsi"/>
          <w:color w:val="000000" w:themeColor="text1"/>
          <w:sz w:val="22"/>
          <w:szCs w:val="22"/>
        </w:rPr>
        <w:t>she</w:t>
      </w:r>
      <w:r w:rsidRPr="00EF1E3A">
        <w:rPr>
          <w:rFonts w:cstheme="minorHAnsi"/>
          <w:color w:val="000000" w:themeColor="text1"/>
          <w:sz w:val="22"/>
          <w:szCs w:val="22"/>
        </w:rPr>
        <w:t xml:space="preserve"> was compliant, were less likely to have court scrutiny. This is problematic because, in cases of abuse, the motives of those who challenge the local authority should be questioned, particularly if they are the abusive party. Therefore if challenge by the abuser is the primary reason that such cases are reaching court, this should be of concern because it means that </w:t>
      </w:r>
      <w:r w:rsidR="00953B74">
        <w:rPr>
          <w:rFonts w:cstheme="minorHAnsi"/>
          <w:color w:val="000000" w:themeColor="text1"/>
          <w:sz w:val="22"/>
          <w:szCs w:val="22"/>
        </w:rPr>
        <w:t>the adult</w:t>
      </w:r>
      <w:r w:rsidRPr="00EF1E3A">
        <w:rPr>
          <w:rFonts w:cstheme="minorHAnsi"/>
          <w:color w:val="000000" w:themeColor="text1"/>
          <w:sz w:val="22"/>
          <w:szCs w:val="22"/>
        </w:rPr>
        <w:t xml:space="preserve"> is in a no-win situation; she is faced with possible control by the court or control by the abuser.</w:t>
      </w:r>
    </w:p>
    <w:p w14:paraId="4D502802" w14:textId="77777777" w:rsidR="009A7E76" w:rsidRDefault="009A7E76" w:rsidP="009A7E76">
      <w:pPr>
        <w:widowControl w:val="0"/>
        <w:autoSpaceDE w:val="0"/>
        <w:autoSpaceDN w:val="0"/>
        <w:adjustRightInd w:val="0"/>
        <w:spacing w:line="360" w:lineRule="auto"/>
        <w:contextualSpacing/>
        <w:jc w:val="both"/>
        <w:rPr>
          <w:rFonts w:cstheme="minorHAnsi"/>
          <w:color w:val="000000" w:themeColor="text1"/>
          <w:sz w:val="22"/>
          <w:szCs w:val="22"/>
        </w:rPr>
      </w:pPr>
    </w:p>
    <w:p w14:paraId="3BF62FB1" w14:textId="524572C1" w:rsidR="000E0EC5" w:rsidRPr="00EF1E3A" w:rsidRDefault="000E0EC5" w:rsidP="009A7E76">
      <w:pPr>
        <w:widowControl w:val="0"/>
        <w:autoSpaceDE w:val="0"/>
        <w:autoSpaceDN w:val="0"/>
        <w:adjustRightInd w:val="0"/>
        <w:spacing w:line="360" w:lineRule="auto"/>
        <w:contextualSpacing/>
        <w:jc w:val="both"/>
        <w:rPr>
          <w:rFonts w:cstheme="minorHAnsi"/>
          <w:i/>
          <w:iCs/>
          <w:sz w:val="22"/>
          <w:szCs w:val="22"/>
        </w:rPr>
      </w:pPr>
      <w:r w:rsidRPr="00EF1E3A">
        <w:rPr>
          <w:rFonts w:cstheme="minorHAnsi"/>
          <w:color w:val="000000" w:themeColor="text1"/>
          <w:sz w:val="22"/>
          <w:szCs w:val="22"/>
        </w:rPr>
        <w:t xml:space="preserve">In high-risk cases, social workers respond to their own lack of legitimacy by resorting to the </w:t>
      </w:r>
      <w:proofErr w:type="spellStart"/>
      <w:r w:rsidRPr="00EF1E3A">
        <w:rPr>
          <w:rFonts w:cstheme="minorHAnsi"/>
          <w:color w:val="000000" w:themeColor="text1"/>
          <w:sz w:val="22"/>
          <w:szCs w:val="22"/>
        </w:rPr>
        <w:t>CoP.</w:t>
      </w:r>
      <w:proofErr w:type="spellEnd"/>
      <w:r w:rsidRPr="00EF1E3A">
        <w:rPr>
          <w:rFonts w:cstheme="minorHAnsi"/>
          <w:color w:val="000000" w:themeColor="text1"/>
          <w:sz w:val="22"/>
          <w:szCs w:val="22"/>
        </w:rPr>
        <w:t xml:space="preserve"> This is reflected in case law too, with a number of decisions involving the CoP authorising coercive practices against the expressed wishes of the person and at the request </w:t>
      </w:r>
      <w:r w:rsidR="009C2F2E" w:rsidRPr="00EF1E3A">
        <w:rPr>
          <w:rFonts w:cstheme="minorHAnsi"/>
          <w:color w:val="000000" w:themeColor="text1"/>
          <w:sz w:val="22"/>
          <w:szCs w:val="22"/>
        </w:rPr>
        <w:t>of professionals such as social workers</w:t>
      </w:r>
      <w:r w:rsidRPr="00EF1E3A">
        <w:rPr>
          <w:rFonts w:cstheme="minorHAnsi"/>
          <w:color w:val="000000" w:themeColor="text1"/>
          <w:sz w:val="22"/>
          <w:szCs w:val="22"/>
        </w:rPr>
        <w:t>.</w:t>
      </w:r>
      <w:r w:rsidRPr="00EF1E3A">
        <w:rPr>
          <w:rStyle w:val="FootnoteReference"/>
          <w:rFonts w:cstheme="minorHAnsi"/>
          <w:color w:val="000000" w:themeColor="text1"/>
          <w:sz w:val="22"/>
          <w:szCs w:val="22"/>
        </w:rPr>
        <w:footnoteReference w:id="34"/>
      </w:r>
      <w:r w:rsidRPr="00EF1E3A">
        <w:rPr>
          <w:rFonts w:cstheme="minorHAnsi"/>
          <w:color w:val="000000" w:themeColor="text1"/>
          <w:sz w:val="22"/>
          <w:szCs w:val="22"/>
        </w:rPr>
        <w:t xml:space="preserve"> Of course, the CoP is not only, or even predominantly, coercive in its judgments. There are many cases</w:t>
      </w:r>
      <w:r w:rsidR="00F27F37" w:rsidRPr="00EF1E3A">
        <w:rPr>
          <w:rFonts w:cstheme="minorHAnsi"/>
          <w:color w:val="000000" w:themeColor="text1"/>
          <w:sz w:val="22"/>
          <w:szCs w:val="22"/>
        </w:rPr>
        <w:t>, particularly in the High Court,</w:t>
      </w:r>
      <w:r w:rsidRPr="00EF1E3A">
        <w:rPr>
          <w:rFonts w:cstheme="minorHAnsi"/>
          <w:color w:val="000000" w:themeColor="text1"/>
          <w:sz w:val="22"/>
          <w:szCs w:val="22"/>
        </w:rPr>
        <w:t xml:space="preserve"> where judicial scrutiny</w:t>
      </w:r>
      <w:r w:rsidR="00F27F37" w:rsidRPr="00EF1E3A">
        <w:rPr>
          <w:rFonts w:cstheme="minorHAnsi"/>
          <w:color w:val="000000" w:themeColor="text1"/>
          <w:sz w:val="22"/>
          <w:szCs w:val="22"/>
        </w:rPr>
        <w:t xml:space="preserve"> </w:t>
      </w:r>
      <w:r w:rsidRPr="00EF1E3A">
        <w:rPr>
          <w:rFonts w:cstheme="minorHAnsi"/>
          <w:color w:val="000000" w:themeColor="text1"/>
          <w:sz w:val="22"/>
          <w:szCs w:val="22"/>
        </w:rPr>
        <w:t xml:space="preserve">of the issues works to provide </w:t>
      </w:r>
      <w:r w:rsidR="00AB0C2D" w:rsidRPr="00EF1E3A">
        <w:rPr>
          <w:rFonts w:cstheme="minorHAnsi"/>
          <w:color w:val="000000" w:themeColor="text1"/>
          <w:sz w:val="22"/>
          <w:szCs w:val="22"/>
        </w:rPr>
        <w:t xml:space="preserve">best interests </w:t>
      </w:r>
      <w:r w:rsidRPr="00EF1E3A">
        <w:rPr>
          <w:rFonts w:cstheme="minorHAnsi"/>
          <w:color w:val="000000" w:themeColor="text1"/>
          <w:sz w:val="22"/>
          <w:szCs w:val="22"/>
        </w:rPr>
        <w:t>authorisation for ‘risky’ but desired activities on the part of the person,</w:t>
      </w:r>
      <w:r w:rsidRPr="00EF1E3A">
        <w:rPr>
          <w:rStyle w:val="FootnoteReference"/>
          <w:rFonts w:cstheme="minorHAnsi"/>
          <w:color w:val="000000" w:themeColor="text1"/>
          <w:sz w:val="22"/>
          <w:szCs w:val="22"/>
        </w:rPr>
        <w:footnoteReference w:id="35"/>
      </w:r>
      <w:r w:rsidRPr="00EF1E3A">
        <w:rPr>
          <w:rFonts w:cstheme="minorHAnsi"/>
          <w:color w:val="000000" w:themeColor="text1"/>
          <w:sz w:val="22"/>
          <w:szCs w:val="22"/>
        </w:rPr>
        <w:t xml:space="preserve"> or in </w:t>
      </w:r>
      <w:r w:rsidR="00B85105" w:rsidRPr="00EF1E3A">
        <w:rPr>
          <w:rFonts w:cstheme="minorHAnsi"/>
          <w:color w:val="000000" w:themeColor="text1"/>
          <w:sz w:val="22"/>
          <w:szCs w:val="22"/>
        </w:rPr>
        <w:t xml:space="preserve">some </w:t>
      </w:r>
      <w:r w:rsidRPr="00EF1E3A">
        <w:rPr>
          <w:rFonts w:cstheme="minorHAnsi"/>
          <w:color w:val="000000" w:themeColor="text1"/>
          <w:sz w:val="22"/>
          <w:szCs w:val="22"/>
        </w:rPr>
        <w:t xml:space="preserve">cases even to find that the person has capacity to </w:t>
      </w:r>
      <w:r w:rsidR="008109EF" w:rsidRPr="00EF1E3A">
        <w:rPr>
          <w:rFonts w:cstheme="minorHAnsi"/>
          <w:color w:val="000000" w:themeColor="text1"/>
          <w:sz w:val="22"/>
          <w:szCs w:val="22"/>
        </w:rPr>
        <w:t>make the</w:t>
      </w:r>
      <w:r w:rsidRPr="00EF1E3A">
        <w:rPr>
          <w:rFonts w:cstheme="minorHAnsi"/>
          <w:color w:val="000000" w:themeColor="text1"/>
          <w:sz w:val="22"/>
          <w:szCs w:val="22"/>
        </w:rPr>
        <w:t xml:space="preserve"> decision themselves</w:t>
      </w:r>
      <w:r w:rsidR="009C2F2E" w:rsidRPr="00EF1E3A">
        <w:rPr>
          <w:rFonts w:cstheme="minorHAnsi"/>
          <w:color w:val="000000" w:themeColor="text1"/>
          <w:sz w:val="22"/>
          <w:szCs w:val="22"/>
        </w:rPr>
        <w:t>, thereby upholding their autonomy</w:t>
      </w:r>
      <w:r w:rsidRPr="00EF1E3A">
        <w:rPr>
          <w:rFonts w:cstheme="minorHAnsi"/>
          <w:color w:val="000000" w:themeColor="text1"/>
          <w:sz w:val="22"/>
          <w:szCs w:val="22"/>
        </w:rPr>
        <w:t>.</w:t>
      </w:r>
      <w:r w:rsidRPr="00EF1E3A">
        <w:rPr>
          <w:rStyle w:val="FootnoteReference"/>
          <w:rFonts w:cstheme="minorHAnsi"/>
          <w:color w:val="000000" w:themeColor="text1"/>
          <w:sz w:val="22"/>
          <w:szCs w:val="22"/>
        </w:rPr>
        <w:footnoteReference w:id="36"/>
      </w:r>
      <w:r w:rsidRPr="00EF1E3A">
        <w:rPr>
          <w:rFonts w:cstheme="minorHAnsi"/>
          <w:color w:val="000000" w:themeColor="text1"/>
          <w:sz w:val="22"/>
          <w:szCs w:val="22"/>
        </w:rPr>
        <w:t xml:space="preserve"> When social workers ‘go to law’</w:t>
      </w:r>
      <w:r w:rsidR="009E476C" w:rsidRPr="00EF1E3A">
        <w:rPr>
          <w:rFonts w:cstheme="minorHAnsi"/>
          <w:color w:val="000000" w:themeColor="text1"/>
          <w:sz w:val="22"/>
          <w:szCs w:val="22"/>
        </w:rPr>
        <w:t xml:space="preserve"> though</w:t>
      </w:r>
      <w:r w:rsidRPr="00EF1E3A">
        <w:rPr>
          <w:rFonts w:cstheme="minorHAnsi"/>
          <w:color w:val="000000" w:themeColor="text1"/>
          <w:sz w:val="22"/>
          <w:szCs w:val="22"/>
        </w:rPr>
        <w:t xml:space="preserve">,  they ‘trade in’ some of their </w:t>
      </w:r>
      <w:r w:rsidR="009E476C" w:rsidRPr="00EF1E3A">
        <w:rPr>
          <w:rFonts w:cstheme="minorHAnsi"/>
          <w:color w:val="000000" w:themeColor="text1"/>
          <w:sz w:val="22"/>
          <w:szCs w:val="22"/>
        </w:rPr>
        <w:t>legitimacy</w:t>
      </w:r>
      <w:r w:rsidRPr="00EF1E3A">
        <w:rPr>
          <w:rFonts w:cstheme="minorHAnsi"/>
          <w:color w:val="000000" w:themeColor="text1"/>
          <w:sz w:val="22"/>
          <w:szCs w:val="22"/>
        </w:rPr>
        <w:t xml:space="preserve"> and in </w:t>
      </w:r>
      <w:r w:rsidRPr="00EF1E3A">
        <w:rPr>
          <w:rFonts w:cstheme="minorHAnsi"/>
          <w:color w:val="000000" w:themeColor="text1"/>
          <w:sz w:val="22"/>
          <w:szCs w:val="22"/>
        </w:rPr>
        <w:lastRenderedPageBreak/>
        <w:t xml:space="preserve">return are shielded from having to make the final decision in what they perceive to be the most challenging cases. </w:t>
      </w:r>
      <w:r w:rsidRPr="00EF1E3A">
        <w:rPr>
          <w:rFonts w:cstheme="minorHAnsi"/>
          <w:color w:val="000000" w:themeColor="text1"/>
          <w:sz w:val="22"/>
          <w:szCs w:val="22"/>
          <w:lang w:val="en-US"/>
        </w:rPr>
        <w:t xml:space="preserve">In seeking legal legitimation, social workers’ decisions are protected and reinforced whilst enabling them to deflect any resulting coercion on to the law. </w:t>
      </w:r>
      <w:r w:rsidRPr="00EF1E3A">
        <w:rPr>
          <w:rFonts w:cstheme="minorHAnsi"/>
          <w:color w:val="000000" w:themeColor="text1"/>
          <w:sz w:val="22"/>
          <w:szCs w:val="22"/>
        </w:rPr>
        <w:t xml:space="preserve">However, in doing so, social workers participate in the acceptance of coercive and controlling interventions against vulnerable adults. </w:t>
      </w:r>
      <w:r w:rsidRPr="00EF1E3A">
        <w:rPr>
          <w:rFonts w:cstheme="minorHAnsi"/>
          <w:color w:val="000000" w:themeColor="text1"/>
          <w:sz w:val="22"/>
          <w:szCs w:val="22"/>
          <w:lang w:val="en-US"/>
        </w:rPr>
        <w:t xml:space="preserve">Yet the value of social work is precisely in its holistic </w:t>
      </w:r>
      <w:r w:rsidR="00F27F37" w:rsidRPr="00EF1E3A">
        <w:rPr>
          <w:rFonts w:cstheme="minorHAnsi"/>
          <w:color w:val="000000" w:themeColor="text1"/>
          <w:sz w:val="22"/>
          <w:szCs w:val="22"/>
          <w:lang w:val="en-US"/>
        </w:rPr>
        <w:t>and supportive approach</w:t>
      </w:r>
      <w:r w:rsidRPr="00EF1E3A">
        <w:rPr>
          <w:rFonts w:cstheme="minorHAnsi"/>
          <w:color w:val="000000" w:themeColor="text1"/>
          <w:sz w:val="22"/>
          <w:szCs w:val="22"/>
          <w:lang w:val="en-US"/>
        </w:rPr>
        <w:t xml:space="preserve">. Therefore, by participating in this process, the value of social work may be further undermined as they reinforce the legitimacy of the court enforced, ‘objective’ intervention over more ‘subjective’ support-based approaches. </w:t>
      </w:r>
    </w:p>
    <w:p w14:paraId="6E907C6E" w14:textId="77777777" w:rsidR="000E0EC5" w:rsidRPr="00EF1E3A" w:rsidRDefault="000E0EC5" w:rsidP="005E4DC1">
      <w:pPr>
        <w:widowControl w:val="0"/>
        <w:autoSpaceDE w:val="0"/>
        <w:autoSpaceDN w:val="0"/>
        <w:adjustRightInd w:val="0"/>
        <w:spacing w:line="360" w:lineRule="auto"/>
        <w:ind w:firstLine="720"/>
        <w:contextualSpacing/>
        <w:jc w:val="both"/>
        <w:rPr>
          <w:rFonts w:cstheme="minorHAnsi"/>
          <w:color w:val="000000" w:themeColor="text1"/>
          <w:sz w:val="22"/>
          <w:szCs w:val="22"/>
          <w:lang w:val="en-US"/>
        </w:rPr>
      </w:pPr>
    </w:p>
    <w:p w14:paraId="38026DB7" w14:textId="05B7409D" w:rsidR="000E0EC5" w:rsidRPr="00CF3702" w:rsidRDefault="000E0EC5" w:rsidP="00CF3702">
      <w:pPr>
        <w:spacing w:line="360" w:lineRule="auto"/>
        <w:jc w:val="both"/>
        <w:rPr>
          <w:rFonts w:asciiTheme="majorHAnsi" w:hAnsiTheme="majorHAnsi" w:cstheme="majorHAnsi"/>
          <w:color w:val="000000" w:themeColor="text1"/>
          <w:sz w:val="32"/>
          <w:szCs w:val="32"/>
          <w:lang w:val="en-US"/>
        </w:rPr>
      </w:pPr>
      <w:bookmarkStart w:id="13" w:name="_Toc362088998"/>
      <w:bookmarkStart w:id="14" w:name="_Toc377131451"/>
      <w:r w:rsidRPr="00CF3702">
        <w:rPr>
          <w:rFonts w:asciiTheme="majorHAnsi" w:hAnsiTheme="majorHAnsi" w:cstheme="majorHAnsi"/>
          <w:color w:val="000000" w:themeColor="text1"/>
          <w:sz w:val="32"/>
          <w:szCs w:val="32"/>
        </w:rPr>
        <w:t>Safeguarding and Support</w:t>
      </w:r>
      <w:r w:rsidR="00FF1389" w:rsidRPr="00CF3702">
        <w:rPr>
          <w:rFonts w:asciiTheme="majorHAnsi" w:hAnsiTheme="majorHAnsi" w:cstheme="majorHAnsi"/>
          <w:color w:val="000000" w:themeColor="text1"/>
          <w:sz w:val="32"/>
          <w:szCs w:val="32"/>
        </w:rPr>
        <w:t xml:space="preserve"> for</w:t>
      </w:r>
      <w:r w:rsidRPr="00CF3702">
        <w:rPr>
          <w:rFonts w:asciiTheme="majorHAnsi" w:hAnsiTheme="majorHAnsi" w:cstheme="majorHAnsi"/>
          <w:color w:val="000000" w:themeColor="text1"/>
          <w:sz w:val="32"/>
          <w:szCs w:val="32"/>
        </w:rPr>
        <w:t xml:space="preserve"> Decision-making </w:t>
      </w:r>
      <w:bookmarkEnd w:id="13"/>
      <w:bookmarkEnd w:id="14"/>
      <w:r w:rsidR="00FF1389" w:rsidRPr="00CF3702">
        <w:rPr>
          <w:rFonts w:asciiTheme="majorHAnsi" w:hAnsiTheme="majorHAnsi" w:cstheme="majorHAnsi"/>
          <w:color w:val="000000" w:themeColor="text1"/>
          <w:sz w:val="32"/>
          <w:szCs w:val="32"/>
        </w:rPr>
        <w:t>with Adults at Risk of Abuse</w:t>
      </w:r>
    </w:p>
    <w:p w14:paraId="089C3431" w14:textId="59896218" w:rsidR="000E0EC5" w:rsidRPr="00EF1E3A" w:rsidRDefault="000E0EC5" w:rsidP="005E4DC1">
      <w:pPr>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 xml:space="preserve">Having identified the problem of social workers requiring legal legitimation of their decisions, I now turn to how the English safeguarding </w:t>
      </w:r>
      <w:proofErr w:type="gramStart"/>
      <w:r w:rsidRPr="00EF1E3A">
        <w:rPr>
          <w:rFonts w:cstheme="minorHAnsi"/>
          <w:color w:val="000000" w:themeColor="text1"/>
          <w:sz w:val="22"/>
          <w:szCs w:val="22"/>
        </w:rPr>
        <w:t>adults</w:t>
      </w:r>
      <w:proofErr w:type="gramEnd"/>
      <w:r w:rsidRPr="00EF1E3A">
        <w:rPr>
          <w:rFonts w:cstheme="minorHAnsi"/>
          <w:color w:val="000000" w:themeColor="text1"/>
          <w:sz w:val="22"/>
          <w:szCs w:val="22"/>
        </w:rPr>
        <w:t xml:space="preserve"> legal framework could be improved. I argue that a new framework is necessary to limit coercive interventions authorised by mental capacity law and empower social workers to intervene through support. I have argued elsewhere for there to be greater use of interventions which restrict perpetrators of abuse.</w:t>
      </w:r>
      <w:r w:rsidRPr="00EF1E3A">
        <w:rPr>
          <w:rStyle w:val="FootnoteReference"/>
          <w:rFonts w:cstheme="minorHAnsi"/>
          <w:color w:val="000000" w:themeColor="text1"/>
          <w:sz w:val="22"/>
          <w:szCs w:val="22"/>
        </w:rPr>
        <w:footnoteReference w:id="37"/>
      </w:r>
      <w:r w:rsidRPr="00EF1E3A">
        <w:rPr>
          <w:rFonts w:cstheme="minorHAnsi"/>
          <w:color w:val="000000" w:themeColor="text1"/>
          <w:sz w:val="22"/>
          <w:szCs w:val="22"/>
        </w:rPr>
        <w:t xml:space="preserve"> Similarly, a support-based safeguarding framework would assist in </w:t>
      </w:r>
      <w:r w:rsidRPr="00EF1E3A">
        <w:rPr>
          <w:rFonts w:cstheme="minorHAnsi"/>
          <w:color w:val="000000" w:themeColor="text1"/>
          <w:sz w:val="22"/>
          <w:szCs w:val="22"/>
          <w:lang w:val="en-US"/>
        </w:rPr>
        <w:t xml:space="preserve">deflecting attention away from mental capacity law because social workers could </w:t>
      </w:r>
      <w:r w:rsidR="00754506" w:rsidRPr="00EF1E3A">
        <w:rPr>
          <w:rFonts w:cstheme="minorHAnsi"/>
          <w:color w:val="000000" w:themeColor="text1"/>
          <w:sz w:val="22"/>
          <w:szCs w:val="22"/>
          <w:lang w:val="en-US"/>
        </w:rPr>
        <w:t xml:space="preserve">have the authority </w:t>
      </w:r>
      <w:r w:rsidRPr="00EF1E3A">
        <w:rPr>
          <w:rFonts w:cstheme="minorHAnsi"/>
          <w:color w:val="000000" w:themeColor="text1"/>
          <w:sz w:val="22"/>
          <w:szCs w:val="22"/>
          <w:lang w:val="en-US"/>
        </w:rPr>
        <w:t>to intervene without the wide-ranging interventions that result from findings of incapacity.</w:t>
      </w:r>
      <w:r w:rsidRPr="00EF1E3A">
        <w:rPr>
          <w:rFonts w:cstheme="minorHAnsi"/>
          <w:color w:val="000000" w:themeColor="text1"/>
          <w:sz w:val="22"/>
          <w:szCs w:val="22"/>
        </w:rPr>
        <w:t xml:space="preserve"> I suggest that any amended safeguarding framework should be guided by five core principles: support; accountability; applicable to all; partnership working; proportionate harm.</w:t>
      </w:r>
      <w:r w:rsidRPr="00EF1E3A">
        <w:rPr>
          <w:rStyle w:val="FootnoteReference"/>
          <w:rFonts w:cstheme="minorHAnsi"/>
          <w:color w:val="000000" w:themeColor="text1"/>
          <w:sz w:val="22"/>
          <w:szCs w:val="22"/>
        </w:rPr>
        <w:footnoteReference w:id="38"/>
      </w:r>
    </w:p>
    <w:p w14:paraId="6B8AF09F" w14:textId="77777777" w:rsidR="000E0EC5" w:rsidRPr="00EF1E3A" w:rsidRDefault="000E0EC5" w:rsidP="005E4DC1">
      <w:pPr>
        <w:spacing w:line="360" w:lineRule="auto"/>
        <w:contextualSpacing/>
        <w:jc w:val="both"/>
        <w:rPr>
          <w:rFonts w:cstheme="minorHAnsi"/>
          <w:color w:val="000000" w:themeColor="text1"/>
          <w:sz w:val="22"/>
          <w:szCs w:val="22"/>
        </w:rPr>
      </w:pPr>
    </w:p>
    <w:p w14:paraId="4C3E0623" w14:textId="77777777" w:rsidR="000E0EC5" w:rsidRPr="00CF3702" w:rsidRDefault="000E0EC5" w:rsidP="00CF3702">
      <w:pPr>
        <w:spacing w:line="360" w:lineRule="auto"/>
        <w:jc w:val="both"/>
        <w:rPr>
          <w:rFonts w:asciiTheme="majorHAnsi" w:hAnsiTheme="majorHAnsi" w:cstheme="majorHAnsi"/>
          <w:color w:val="000000" w:themeColor="text1"/>
          <w:sz w:val="28"/>
          <w:szCs w:val="28"/>
        </w:rPr>
      </w:pPr>
      <w:r w:rsidRPr="00CF3702">
        <w:rPr>
          <w:rFonts w:asciiTheme="majorHAnsi" w:hAnsiTheme="majorHAnsi" w:cstheme="majorHAnsi"/>
          <w:color w:val="000000" w:themeColor="text1"/>
          <w:sz w:val="28"/>
          <w:szCs w:val="28"/>
        </w:rPr>
        <w:t>The provision of support</w:t>
      </w:r>
    </w:p>
    <w:p w14:paraId="027E48A8" w14:textId="77777777" w:rsidR="000E0EC5" w:rsidRPr="00EF1E3A" w:rsidRDefault="000E0EC5" w:rsidP="005E4DC1">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rPr>
      </w:pPr>
    </w:p>
    <w:p w14:paraId="41B603A3" w14:textId="5539DC07" w:rsidR="000E0EC5" w:rsidRPr="00EF1E3A" w:rsidRDefault="000E0EC5" w:rsidP="005E4DC1">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rPr>
      </w:pPr>
      <w:r w:rsidRPr="00EF1E3A">
        <w:rPr>
          <w:rFonts w:asciiTheme="minorHAnsi" w:hAnsiTheme="minorHAnsi" w:cstheme="minorHAnsi"/>
          <w:color w:val="000000" w:themeColor="text1"/>
          <w:sz w:val="22"/>
          <w:szCs w:val="22"/>
        </w:rPr>
        <w:lastRenderedPageBreak/>
        <w:t>The first principle that must underpin any change is a focus on support. The need to support decision-making is enshrined in Article 12 of the CRPD and it is now widely accepted that support should be a cornerstone principle.</w:t>
      </w:r>
      <w:bookmarkStart w:id="15" w:name="_Ref58407612"/>
      <w:r w:rsidRPr="00EF1E3A">
        <w:rPr>
          <w:rStyle w:val="FootnoteReference"/>
          <w:rFonts w:asciiTheme="minorHAnsi" w:hAnsiTheme="minorHAnsi" w:cstheme="minorHAnsi"/>
          <w:color w:val="000000" w:themeColor="text1"/>
          <w:sz w:val="22"/>
          <w:szCs w:val="22"/>
        </w:rPr>
        <w:footnoteReference w:id="39"/>
      </w:r>
      <w:bookmarkEnd w:id="15"/>
      <w:r w:rsidRPr="00EF1E3A">
        <w:rPr>
          <w:rFonts w:asciiTheme="minorHAnsi" w:hAnsiTheme="minorHAnsi" w:cstheme="minorHAnsi"/>
          <w:color w:val="000000" w:themeColor="text1"/>
          <w:sz w:val="22"/>
          <w:szCs w:val="22"/>
        </w:rPr>
        <w:t xml:space="preserve"> However, what this means and how it should be implemented in practice is still subject to debate,</w:t>
      </w:r>
      <w:bookmarkStart w:id="16" w:name="_Ref37855578"/>
      <w:r w:rsidRPr="00EF1E3A">
        <w:rPr>
          <w:rStyle w:val="FootnoteReference"/>
          <w:rFonts w:asciiTheme="minorHAnsi" w:hAnsiTheme="minorHAnsi" w:cstheme="minorHAnsi"/>
          <w:color w:val="000000" w:themeColor="text1"/>
          <w:sz w:val="22"/>
          <w:szCs w:val="22"/>
        </w:rPr>
        <w:footnoteReference w:id="40"/>
      </w:r>
      <w:bookmarkEnd w:id="16"/>
      <w:r w:rsidRPr="00EF1E3A">
        <w:rPr>
          <w:rFonts w:asciiTheme="minorHAnsi" w:hAnsiTheme="minorHAnsi" w:cstheme="minorHAnsi"/>
          <w:color w:val="000000" w:themeColor="text1"/>
          <w:sz w:val="22"/>
          <w:szCs w:val="22"/>
        </w:rPr>
        <w:t xml:space="preserve"> for example with disagreements about the extent to which supported decision-making should replace substituted decision-making, something which others in this collection have similarly sought to consider. This debate becomes mo</w:t>
      </w:r>
      <w:r w:rsidR="004716C0" w:rsidRPr="00EF1E3A">
        <w:rPr>
          <w:rFonts w:asciiTheme="minorHAnsi" w:hAnsiTheme="minorHAnsi" w:cstheme="minorHAnsi"/>
          <w:color w:val="000000" w:themeColor="text1"/>
          <w:sz w:val="22"/>
          <w:szCs w:val="22"/>
        </w:rPr>
        <w:t>st</w:t>
      </w:r>
      <w:r w:rsidRPr="00EF1E3A">
        <w:rPr>
          <w:rFonts w:asciiTheme="minorHAnsi" w:hAnsiTheme="minorHAnsi" w:cstheme="minorHAnsi"/>
          <w:color w:val="000000" w:themeColor="text1"/>
          <w:sz w:val="22"/>
          <w:szCs w:val="22"/>
        </w:rPr>
        <w:t xml:space="preserve"> complicated when thinking about ‘risky’ decisions, with the safeguarding domain considered to be the most challenging in which to </w:t>
      </w:r>
      <w:r w:rsidR="004716C0" w:rsidRPr="00EF1E3A">
        <w:rPr>
          <w:rFonts w:asciiTheme="minorHAnsi" w:hAnsiTheme="minorHAnsi" w:cstheme="minorHAnsi"/>
          <w:color w:val="000000" w:themeColor="text1"/>
          <w:sz w:val="22"/>
          <w:szCs w:val="22"/>
        </w:rPr>
        <w:t xml:space="preserve">fully </w:t>
      </w:r>
      <w:r w:rsidRPr="00EF1E3A">
        <w:rPr>
          <w:rFonts w:asciiTheme="minorHAnsi" w:hAnsiTheme="minorHAnsi" w:cstheme="minorHAnsi"/>
          <w:color w:val="000000" w:themeColor="text1"/>
          <w:sz w:val="22"/>
          <w:szCs w:val="22"/>
        </w:rPr>
        <w:t>implement support</w:t>
      </w:r>
      <w:r w:rsidR="004716C0" w:rsidRPr="00EF1E3A">
        <w:rPr>
          <w:rFonts w:asciiTheme="minorHAnsi" w:hAnsiTheme="minorHAnsi" w:cstheme="minorHAnsi"/>
          <w:color w:val="000000" w:themeColor="text1"/>
          <w:sz w:val="22"/>
          <w:szCs w:val="22"/>
        </w:rPr>
        <w:t>ed</w:t>
      </w:r>
      <w:r w:rsidRPr="00EF1E3A">
        <w:rPr>
          <w:rFonts w:asciiTheme="minorHAnsi" w:hAnsiTheme="minorHAnsi" w:cstheme="minorHAnsi"/>
          <w:color w:val="000000" w:themeColor="text1"/>
          <w:sz w:val="22"/>
          <w:szCs w:val="22"/>
        </w:rPr>
        <w:t xml:space="preserve"> decision-making. I argue that the provision of support for </w:t>
      </w:r>
      <w:r w:rsidRPr="00EF1E3A">
        <w:rPr>
          <w:rFonts w:asciiTheme="minorHAnsi" w:hAnsiTheme="minorHAnsi" w:cstheme="minorHAnsi"/>
          <w:i/>
          <w:iCs/>
          <w:color w:val="000000" w:themeColor="text1"/>
          <w:sz w:val="22"/>
          <w:szCs w:val="22"/>
        </w:rPr>
        <w:t>all</w:t>
      </w:r>
      <w:r w:rsidRPr="00EF1E3A">
        <w:rPr>
          <w:rFonts w:asciiTheme="minorHAnsi" w:hAnsiTheme="minorHAnsi" w:cstheme="minorHAnsi"/>
          <w:color w:val="000000" w:themeColor="text1"/>
          <w:sz w:val="22"/>
          <w:szCs w:val="22"/>
        </w:rPr>
        <w:t xml:space="preserve"> decisions in relation to vulnerable adults is key, irrespective of whether that adult is ultimately found to lack the capacity to make a decision for themselves. That is not to say that the MCA ought to be repealed or is irrelevant, rather, that where safeguarding is the primary concern, then supported decision-making ought to be at the forefront of </w:t>
      </w:r>
      <w:r w:rsidR="004716C0" w:rsidRPr="00EF1E3A">
        <w:rPr>
          <w:rFonts w:asciiTheme="minorHAnsi" w:hAnsiTheme="minorHAnsi" w:cstheme="minorHAnsi"/>
          <w:color w:val="000000" w:themeColor="text1"/>
          <w:sz w:val="22"/>
          <w:szCs w:val="22"/>
        </w:rPr>
        <w:t>adult safeguarding</w:t>
      </w:r>
      <w:r w:rsidRPr="00EF1E3A">
        <w:rPr>
          <w:rFonts w:asciiTheme="minorHAnsi" w:hAnsiTheme="minorHAnsi" w:cstheme="minorHAnsi"/>
          <w:color w:val="000000" w:themeColor="text1"/>
          <w:sz w:val="22"/>
          <w:szCs w:val="22"/>
        </w:rPr>
        <w:t xml:space="preserve"> practice. </w:t>
      </w:r>
    </w:p>
    <w:p w14:paraId="5A0E0027" w14:textId="77777777" w:rsidR="001D5ECB" w:rsidRDefault="001D5ECB" w:rsidP="001D5ECB">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rPr>
      </w:pPr>
    </w:p>
    <w:p w14:paraId="7EB65D4E" w14:textId="6351F417" w:rsidR="000E0EC5" w:rsidRPr="00EF1E3A" w:rsidRDefault="000E0EC5" w:rsidP="001D5ECB">
      <w:pPr>
        <w:pStyle w:val="NormalWeb"/>
        <w:spacing w:before="0" w:beforeAutospacing="0" w:after="0" w:afterAutospacing="0" w:line="360" w:lineRule="auto"/>
        <w:contextualSpacing/>
        <w:jc w:val="both"/>
        <w:rPr>
          <w:rFonts w:asciiTheme="minorHAnsi" w:hAnsiTheme="minorHAnsi" w:cstheme="minorHAnsi"/>
          <w:color w:val="000000" w:themeColor="text1"/>
          <w:sz w:val="22"/>
          <w:szCs w:val="22"/>
        </w:rPr>
      </w:pPr>
      <w:r w:rsidRPr="00EF1E3A">
        <w:rPr>
          <w:rFonts w:asciiTheme="minorHAnsi" w:hAnsiTheme="minorHAnsi" w:cstheme="minorHAnsi"/>
          <w:color w:val="000000" w:themeColor="text1"/>
          <w:sz w:val="22"/>
          <w:szCs w:val="22"/>
        </w:rPr>
        <w:t>As Bartlett and Schulze have emphasised, the focus on Article 12 has meant that discussions about Article 16 CRPD, the right to be free from exploitation, violence and abuse, have been less developed.</w:t>
      </w:r>
      <w:r w:rsidRPr="00EF1E3A">
        <w:rPr>
          <w:rStyle w:val="FootnoteReference"/>
          <w:rFonts w:asciiTheme="minorHAnsi" w:hAnsiTheme="minorHAnsi" w:cstheme="minorHAnsi"/>
          <w:color w:val="000000" w:themeColor="text1"/>
          <w:sz w:val="22"/>
          <w:szCs w:val="22"/>
        </w:rPr>
        <w:footnoteReference w:id="41"/>
      </w:r>
      <w:r w:rsidRPr="00EF1E3A">
        <w:rPr>
          <w:rFonts w:asciiTheme="minorHAnsi" w:hAnsiTheme="minorHAnsi" w:cstheme="minorHAnsi"/>
          <w:color w:val="000000" w:themeColor="text1"/>
          <w:sz w:val="22"/>
          <w:szCs w:val="22"/>
        </w:rPr>
        <w:t xml:space="preserve"> They suggest, however, that Article 16 could be interpreted alongside other provisions to require that adults with disabilities are protected from abuse through </w:t>
      </w:r>
      <w:r w:rsidRPr="00EF1E3A">
        <w:rPr>
          <w:rFonts w:asciiTheme="minorHAnsi" w:hAnsiTheme="minorHAnsi" w:cstheme="minorHAnsi"/>
          <w:i/>
          <w:iCs/>
          <w:color w:val="000000" w:themeColor="text1"/>
          <w:sz w:val="22"/>
          <w:szCs w:val="22"/>
        </w:rPr>
        <w:t>positive steps</w:t>
      </w:r>
      <w:r w:rsidRPr="00EF1E3A">
        <w:rPr>
          <w:rFonts w:asciiTheme="minorHAnsi" w:hAnsiTheme="minorHAnsi" w:cstheme="minorHAnsi"/>
          <w:color w:val="000000" w:themeColor="text1"/>
          <w:sz w:val="22"/>
          <w:szCs w:val="22"/>
        </w:rPr>
        <w:t xml:space="preserve">. An important question therefore is </w:t>
      </w:r>
      <w:r w:rsidRPr="00EF1E3A">
        <w:rPr>
          <w:rFonts w:asciiTheme="minorHAnsi" w:hAnsiTheme="minorHAnsi" w:cstheme="minorHAnsi"/>
          <w:i/>
          <w:color w:val="000000" w:themeColor="text1"/>
          <w:sz w:val="22"/>
          <w:szCs w:val="22"/>
        </w:rPr>
        <w:t>how</w:t>
      </w:r>
      <w:r w:rsidRPr="00EF1E3A">
        <w:rPr>
          <w:rFonts w:asciiTheme="minorHAnsi" w:hAnsiTheme="minorHAnsi" w:cstheme="minorHAnsi"/>
          <w:color w:val="000000" w:themeColor="text1"/>
          <w:sz w:val="22"/>
          <w:szCs w:val="22"/>
        </w:rPr>
        <w:t xml:space="preserve"> states take these positive steps to respond to abuse. Bartlett and Schulze argue that the CRPD does not only require an equality of approach between disabled people and others or an approach of non-interference, but that it could require giving </w:t>
      </w:r>
      <w:r w:rsidRPr="00EF1E3A">
        <w:rPr>
          <w:rFonts w:asciiTheme="minorHAnsi" w:hAnsiTheme="minorHAnsi" w:cstheme="minorHAnsi"/>
          <w:i/>
          <w:iCs/>
          <w:color w:val="000000" w:themeColor="text1"/>
          <w:sz w:val="22"/>
          <w:szCs w:val="22"/>
        </w:rPr>
        <w:t>more protection</w:t>
      </w:r>
      <w:r w:rsidRPr="00EF1E3A">
        <w:rPr>
          <w:rFonts w:asciiTheme="minorHAnsi" w:hAnsiTheme="minorHAnsi" w:cstheme="minorHAnsi"/>
          <w:color w:val="000000" w:themeColor="text1"/>
          <w:sz w:val="22"/>
          <w:szCs w:val="22"/>
        </w:rPr>
        <w:t xml:space="preserve"> to people with disabilities who suffer abuse. However, the manner of that protection is key. Reading Article 16 alongside Article 12 means recognising that protection from abuse can also be achieved through supporting and empowering disabled adults to make their own decisions. A protection imperative enacted without support can lead to a return to over-protection.  </w:t>
      </w:r>
    </w:p>
    <w:p w14:paraId="44FF28D8" w14:textId="77777777" w:rsidR="001D5ECB" w:rsidRDefault="001D5ECB" w:rsidP="001D5ECB">
      <w:pPr>
        <w:spacing w:line="360" w:lineRule="auto"/>
        <w:contextualSpacing/>
        <w:jc w:val="both"/>
        <w:rPr>
          <w:rFonts w:cstheme="minorHAnsi"/>
          <w:color w:val="000000" w:themeColor="text1"/>
          <w:sz w:val="22"/>
          <w:szCs w:val="22"/>
        </w:rPr>
      </w:pPr>
    </w:p>
    <w:p w14:paraId="3526690E" w14:textId="6628C44A" w:rsidR="000E0EC5" w:rsidRPr="00EF1E3A" w:rsidRDefault="000E0EC5" w:rsidP="001D5ECB">
      <w:pPr>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lastRenderedPageBreak/>
        <w:t xml:space="preserve">A corollary of the focus on support is the need for social workers to be protected when taking risky decisions to support vulnerable adults where safeguarding concerns arise. This means that prioritising support means prioritising it in </w:t>
      </w:r>
      <w:r w:rsidRPr="00EF1E3A">
        <w:rPr>
          <w:rFonts w:cstheme="minorHAnsi"/>
          <w:i/>
          <w:iCs/>
          <w:color w:val="000000" w:themeColor="text1"/>
          <w:sz w:val="22"/>
          <w:szCs w:val="22"/>
        </w:rPr>
        <w:t>all</w:t>
      </w:r>
      <w:r w:rsidRPr="00EF1E3A">
        <w:rPr>
          <w:rFonts w:cstheme="minorHAnsi"/>
          <w:color w:val="000000" w:themeColor="text1"/>
          <w:sz w:val="22"/>
          <w:szCs w:val="22"/>
        </w:rPr>
        <w:t xml:space="preserve"> cases, not solely in cases where the adult is making a seemingly ‘wise’ decision. This would be beneficial because of the real concern among social workers about their perceived ‘duty of care’. This is a central reason why social workers are reluctant to place adults at the heart of safeguarding investigations and instead try to persuade them about a particular course of action.</w:t>
      </w:r>
      <w:r w:rsidRPr="00EF1E3A">
        <w:rPr>
          <w:rStyle w:val="FootnoteReference"/>
          <w:rFonts w:cstheme="minorHAnsi"/>
          <w:color w:val="000000" w:themeColor="text1"/>
          <w:sz w:val="22"/>
          <w:szCs w:val="22"/>
        </w:rPr>
        <w:footnoteReference w:id="42"/>
      </w:r>
      <w:r w:rsidRPr="00EF1E3A">
        <w:rPr>
          <w:rFonts w:cstheme="minorHAnsi"/>
          <w:color w:val="000000" w:themeColor="text1"/>
          <w:sz w:val="22"/>
          <w:szCs w:val="22"/>
        </w:rPr>
        <w:t xml:space="preserve"> One way that social workers can be legitimated to pursue support is through a legal protection for social workers (and potentially others) who allow ‘risky’ decisions to be taken </w:t>
      </w:r>
      <w:r w:rsidRPr="00EF1E3A">
        <w:rPr>
          <w:rFonts w:cstheme="minorHAnsi"/>
          <w:i/>
          <w:iCs/>
          <w:color w:val="000000" w:themeColor="text1"/>
          <w:sz w:val="22"/>
          <w:szCs w:val="22"/>
        </w:rPr>
        <w:t>where the adult has capacity to make those decisions</w:t>
      </w:r>
      <w:r w:rsidRPr="00EF1E3A">
        <w:rPr>
          <w:rFonts w:cstheme="minorHAnsi"/>
          <w:color w:val="000000" w:themeColor="text1"/>
          <w:sz w:val="22"/>
          <w:szCs w:val="22"/>
        </w:rPr>
        <w:t>. There are, of course, risks in providing legal protection for social workers here; it could provide a justification for cash-strapped local authorities to withdraw support altogether on the basis of individual choice. However, this will partly depend on the framing of the protection as well as the overall substance of the safeguarding framework. That is why I frame this protection as a corollary of the provision of support. The two only work together and cannot be separated without serious risk of leaving vulnerable adults unprotected.</w:t>
      </w:r>
    </w:p>
    <w:p w14:paraId="1D991155" w14:textId="77777777" w:rsidR="000E0EC5" w:rsidRPr="00EF1E3A" w:rsidRDefault="000E0EC5" w:rsidP="005E4DC1">
      <w:pPr>
        <w:spacing w:line="360" w:lineRule="auto"/>
        <w:ind w:firstLine="720"/>
        <w:contextualSpacing/>
        <w:jc w:val="both"/>
        <w:rPr>
          <w:rFonts w:cstheme="minorHAnsi"/>
          <w:color w:val="000000" w:themeColor="text1"/>
          <w:sz w:val="22"/>
          <w:szCs w:val="22"/>
        </w:rPr>
      </w:pPr>
    </w:p>
    <w:p w14:paraId="143ABC27" w14:textId="77777777" w:rsidR="000E0EC5" w:rsidRPr="0036191F" w:rsidRDefault="000E0EC5" w:rsidP="0036191F">
      <w:pPr>
        <w:spacing w:line="360" w:lineRule="auto"/>
        <w:jc w:val="both"/>
        <w:rPr>
          <w:rFonts w:asciiTheme="majorHAnsi" w:hAnsiTheme="majorHAnsi" w:cstheme="majorHAnsi"/>
          <w:color w:val="000000" w:themeColor="text1"/>
          <w:sz w:val="28"/>
          <w:szCs w:val="28"/>
        </w:rPr>
      </w:pPr>
      <w:r w:rsidRPr="0036191F">
        <w:rPr>
          <w:rFonts w:asciiTheme="majorHAnsi" w:hAnsiTheme="majorHAnsi" w:cstheme="majorHAnsi"/>
          <w:color w:val="000000" w:themeColor="text1"/>
          <w:sz w:val="28"/>
          <w:szCs w:val="28"/>
        </w:rPr>
        <w:t xml:space="preserve">Accountability </w:t>
      </w:r>
    </w:p>
    <w:p w14:paraId="36F74963" w14:textId="77777777" w:rsidR="000E0EC5" w:rsidRPr="00EF1E3A" w:rsidRDefault="000E0EC5" w:rsidP="005E4DC1">
      <w:pPr>
        <w:spacing w:line="360" w:lineRule="auto"/>
        <w:contextualSpacing/>
        <w:jc w:val="both"/>
        <w:rPr>
          <w:rFonts w:cstheme="minorHAnsi"/>
          <w:color w:val="000000" w:themeColor="text1"/>
          <w:sz w:val="22"/>
          <w:szCs w:val="22"/>
          <w:lang w:val="en-US"/>
        </w:rPr>
      </w:pPr>
      <w:r w:rsidRPr="00EF1E3A">
        <w:rPr>
          <w:rFonts w:cstheme="minorHAnsi"/>
          <w:color w:val="000000" w:themeColor="text1"/>
          <w:sz w:val="22"/>
          <w:szCs w:val="22"/>
        </w:rPr>
        <w:t xml:space="preserve">If social workers are to be protected when taking decisions to support, particularly decisions in the most high-risk cases, then </w:t>
      </w:r>
      <w:r w:rsidRPr="00EF1E3A">
        <w:rPr>
          <w:rFonts w:cstheme="minorHAnsi"/>
          <w:color w:val="000000" w:themeColor="text1"/>
          <w:sz w:val="22"/>
          <w:szCs w:val="22"/>
          <w:lang w:val="en-US"/>
        </w:rPr>
        <w:t xml:space="preserve">accountability for those decisions is also fundamentally important. The decision-making processes of local authorities, and more specifically actions or omissions of individual social workers need to be subject to scrutiny. There are different mechanisms through which effective accountability can be achieved. I suggest here that a combination of professional ethics and legal review would be an appropriate starting point. </w:t>
      </w:r>
    </w:p>
    <w:p w14:paraId="60FB0234" w14:textId="77777777" w:rsidR="0073426B" w:rsidRDefault="0073426B" w:rsidP="0073426B">
      <w:pPr>
        <w:widowControl w:val="0"/>
        <w:autoSpaceDE w:val="0"/>
        <w:autoSpaceDN w:val="0"/>
        <w:adjustRightInd w:val="0"/>
        <w:spacing w:line="360" w:lineRule="auto"/>
        <w:contextualSpacing/>
        <w:jc w:val="both"/>
        <w:rPr>
          <w:rFonts w:cstheme="minorHAnsi"/>
          <w:color w:val="000000" w:themeColor="text1"/>
          <w:sz w:val="22"/>
          <w:szCs w:val="22"/>
        </w:rPr>
      </w:pPr>
    </w:p>
    <w:p w14:paraId="47C729B7" w14:textId="3F740545" w:rsidR="000E0EC5" w:rsidRPr="00EF1E3A" w:rsidRDefault="000E0EC5" w:rsidP="0073426B">
      <w:pPr>
        <w:widowControl w:val="0"/>
        <w:autoSpaceDE w:val="0"/>
        <w:autoSpaceDN w:val="0"/>
        <w:adjustRightInd w:val="0"/>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First, accountability can be promoted through rigorous professional ethics standards, which hold professions to a higher standard than the civil law. Placing ethics at the heart of social work may therefore be more effective in improving safeguarding practice than the resort to law. Montgomery makes a similar argument in relation to medicine.</w:t>
      </w:r>
      <w:bookmarkStart w:id="17" w:name="_Ref37855607"/>
      <w:r w:rsidRPr="00EF1E3A">
        <w:rPr>
          <w:rStyle w:val="FootnoteReference"/>
          <w:rFonts w:cstheme="minorHAnsi"/>
          <w:color w:val="000000" w:themeColor="text1"/>
          <w:sz w:val="22"/>
          <w:szCs w:val="22"/>
        </w:rPr>
        <w:footnoteReference w:id="43"/>
      </w:r>
      <w:bookmarkEnd w:id="17"/>
      <w:r w:rsidRPr="00EF1E3A">
        <w:rPr>
          <w:rFonts w:cstheme="minorHAnsi"/>
          <w:color w:val="000000" w:themeColor="text1"/>
          <w:sz w:val="22"/>
          <w:szCs w:val="22"/>
        </w:rPr>
        <w:t xml:space="preserve"> He emphasises the value of professional ethics to healthcare practice in contrast to what he described as the </w:t>
      </w:r>
      <w:r w:rsidR="00A167AD" w:rsidRPr="00EF1E3A">
        <w:rPr>
          <w:rFonts w:cstheme="minorHAnsi"/>
          <w:color w:val="000000" w:themeColor="text1"/>
          <w:sz w:val="22"/>
          <w:szCs w:val="22"/>
        </w:rPr>
        <w:t>‘</w:t>
      </w:r>
      <w:r w:rsidRPr="00EF1E3A">
        <w:rPr>
          <w:rFonts w:cstheme="minorHAnsi"/>
          <w:color w:val="000000" w:themeColor="text1"/>
          <w:sz w:val="22"/>
          <w:szCs w:val="22"/>
        </w:rPr>
        <w:t>amoral commitment to choice and consumerism</w:t>
      </w:r>
      <w:r w:rsidR="00A167AD" w:rsidRPr="00EF1E3A">
        <w:rPr>
          <w:rFonts w:cstheme="minorHAnsi"/>
          <w:color w:val="000000" w:themeColor="text1"/>
          <w:sz w:val="22"/>
          <w:szCs w:val="22"/>
        </w:rPr>
        <w:t>’</w:t>
      </w:r>
      <w:r w:rsidRPr="00EF1E3A">
        <w:rPr>
          <w:rFonts w:cstheme="minorHAnsi"/>
          <w:color w:val="000000" w:themeColor="text1"/>
          <w:sz w:val="22"/>
          <w:szCs w:val="22"/>
        </w:rPr>
        <w:t xml:space="preserve"> facilitated by legal activity.</w:t>
      </w:r>
      <w:r w:rsidRPr="00EF1E3A">
        <w:rPr>
          <w:rStyle w:val="FootnoteReference"/>
          <w:rFonts w:cstheme="minorHAnsi"/>
          <w:color w:val="000000" w:themeColor="text1"/>
          <w:sz w:val="22"/>
          <w:szCs w:val="22"/>
        </w:rPr>
        <w:footnoteReference w:id="44"/>
      </w:r>
      <w:r w:rsidRPr="00EF1E3A">
        <w:rPr>
          <w:rFonts w:cstheme="minorHAnsi"/>
          <w:color w:val="000000" w:themeColor="text1"/>
          <w:sz w:val="22"/>
          <w:szCs w:val="22"/>
        </w:rPr>
        <w:t xml:space="preserve"> Professional ethics therefore has an important role to play in maintaining standards. Regulation of social work has recently undergone a period of transition and Social Work England, the new regulator, has developed new professional standards for social work. </w:t>
      </w:r>
      <w:r w:rsidRPr="00EF1E3A">
        <w:rPr>
          <w:rFonts w:cstheme="minorHAnsi"/>
          <w:color w:val="000000" w:themeColor="text1"/>
          <w:sz w:val="22"/>
          <w:szCs w:val="22"/>
        </w:rPr>
        <w:lastRenderedPageBreak/>
        <w:t>Those standards include social work accountability for the quality of practice and decisions made by social workers as well as requiring social workers to work within legal and ethical frameworks.</w:t>
      </w:r>
      <w:r w:rsidRPr="00EF1E3A">
        <w:rPr>
          <w:rStyle w:val="FootnoteReference"/>
          <w:rFonts w:cstheme="minorHAnsi"/>
          <w:color w:val="000000" w:themeColor="text1"/>
          <w:sz w:val="22"/>
          <w:szCs w:val="22"/>
        </w:rPr>
        <w:footnoteReference w:id="45"/>
      </w:r>
      <w:r w:rsidRPr="00EF1E3A">
        <w:rPr>
          <w:rFonts w:cstheme="minorHAnsi"/>
          <w:color w:val="000000" w:themeColor="text1"/>
          <w:sz w:val="22"/>
          <w:szCs w:val="22"/>
        </w:rPr>
        <w:t xml:space="preserve"> Promoting ethical practice in social work is especially important if social workers are to be given greater legitimacy to intervene and ensuring this accountability through ethics, rather than law, has been an important step forward in the context of other care professions.</w:t>
      </w:r>
      <w:r w:rsidRPr="00EF1E3A">
        <w:rPr>
          <w:rStyle w:val="FootnoteReference"/>
          <w:rFonts w:cstheme="minorHAnsi"/>
          <w:color w:val="000000" w:themeColor="text1"/>
          <w:sz w:val="22"/>
          <w:szCs w:val="22"/>
        </w:rPr>
        <w:footnoteReference w:id="46"/>
      </w:r>
    </w:p>
    <w:p w14:paraId="7882FB97" w14:textId="77777777" w:rsidR="0073426B" w:rsidRDefault="0073426B" w:rsidP="0073426B">
      <w:pPr>
        <w:spacing w:line="360" w:lineRule="auto"/>
        <w:contextualSpacing/>
        <w:jc w:val="both"/>
        <w:rPr>
          <w:rFonts w:cstheme="minorHAnsi"/>
          <w:color w:val="000000" w:themeColor="text1"/>
          <w:sz w:val="22"/>
          <w:szCs w:val="22"/>
          <w:lang w:val="en-US"/>
        </w:rPr>
      </w:pPr>
    </w:p>
    <w:p w14:paraId="3E9827A6" w14:textId="18907270" w:rsidR="000E0EC5" w:rsidRPr="00EF1E3A" w:rsidRDefault="000E0EC5" w:rsidP="0073426B">
      <w:pPr>
        <w:spacing w:line="360" w:lineRule="auto"/>
        <w:contextualSpacing/>
        <w:jc w:val="both"/>
        <w:rPr>
          <w:rFonts w:cstheme="minorHAnsi"/>
          <w:color w:val="000000" w:themeColor="text1"/>
          <w:sz w:val="22"/>
          <w:szCs w:val="22"/>
        </w:rPr>
      </w:pPr>
      <w:r w:rsidRPr="00EF1E3A">
        <w:rPr>
          <w:rFonts w:cstheme="minorHAnsi"/>
          <w:color w:val="000000" w:themeColor="text1"/>
          <w:sz w:val="22"/>
          <w:szCs w:val="22"/>
          <w:lang w:val="en-US"/>
        </w:rPr>
        <w:t>There is, however, a role for law in ensuring social work accountability</w:t>
      </w:r>
      <w:r w:rsidR="004716C0" w:rsidRPr="00EF1E3A">
        <w:rPr>
          <w:rFonts w:cstheme="minorHAnsi"/>
          <w:color w:val="000000" w:themeColor="text1"/>
          <w:sz w:val="22"/>
          <w:szCs w:val="22"/>
          <w:lang w:val="en-US"/>
        </w:rPr>
        <w:t>, p</w:t>
      </w:r>
      <w:r w:rsidRPr="00EF1E3A">
        <w:rPr>
          <w:rFonts w:cstheme="minorHAnsi"/>
          <w:color w:val="000000" w:themeColor="text1"/>
          <w:sz w:val="22"/>
          <w:szCs w:val="22"/>
          <w:lang w:val="en-US"/>
        </w:rPr>
        <w:t>articularly if</w:t>
      </w:r>
      <w:r w:rsidR="004716C0" w:rsidRPr="00EF1E3A">
        <w:rPr>
          <w:rFonts w:cstheme="minorHAnsi"/>
          <w:color w:val="000000" w:themeColor="text1"/>
          <w:sz w:val="22"/>
          <w:szCs w:val="22"/>
          <w:lang w:val="en-US"/>
        </w:rPr>
        <w:t xml:space="preserve"> they</w:t>
      </w:r>
      <w:r w:rsidRPr="00EF1E3A">
        <w:rPr>
          <w:rFonts w:cstheme="minorHAnsi"/>
          <w:color w:val="000000" w:themeColor="text1"/>
          <w:sz w:val="22"/>
          <w:szCs w:val="22"/>
          <w:lang w:val="en-US"/>
        </w:rPr>
        <w:t xml:space="preserve"> are given greater authority to allow risky decision-making. In this instance, additional review mechanisms may be warranted to ensure a public perception</w:t>
      </w:r>
      <w:r w:rsidRPr="00EF1E3A">
        <w:rPr>
          <w:rFonts w:cstheme="minorHAnsi"/>
          <w:color w:val="000000" w:themeColor="text1"/>
          <w:sz w:val="22"/>
          <w:szCs w:val="22"/>
        </w:rPr>
        <w:t xml:space="preserve"> of fairness and accountability.</w:t>
      </w:r>
      <w:r w:rsidRPr="00EF1E3A">
        <w:rPr>
          <w:rStyle w:val="FootnoteReference"/>
          <w:rFonts w:cstheme="minorHAnsi"/>
          <w:color w:val="000000" w:themeColor="text1"/>
          <w:sz w:val="22"/>
          <w:szCs w:val="22"/>
        </w:rPr>
        <w:footnoteReference w:id="47"/>
      </w:r>
      <w:r w:rsidRPr="00EF1E3A">
        <w:rPr>
          <w:rFonts w:cstheme="minorHAnsi"/>
          <w:color w:val="000000" w:themeColor="text1"/>
          <w:sz w:val="22"/>
          <w:szCs w:val="22"/>
        </w:rPr>
        <w:t xml:space="preserve"> One suggestion in the CoP context has been incorporating a clear review mechanism for cases where</w:t>
      </w:r>
      <w:r w:rsidR="00953B74">
        <w:rPr>
          <w:rFonts w:cstheme="minorHAnsi"/>
          <w:color w:val="000000" w:themeColor="text1"/>
          <w:sz w:val="22"/>
          <w:szCs w:val="22"/>
        </w:rPr>
        <w:t xml:space="preserve"> the person at the centre</w:t>
      </w:r>
      <w:r w:rsidRPr="00EF1E3A">
        <w:rPr>
          <w:rFonts w:cstheme="minorHAnsi"/>
          <w:color w:val="000000" w:themeColor="text1"/>
          <w:sz w:val="22"/>
          <w:szCs w:val="22"/>
        </w:rPr>
        <w:t xml:space="preserve"> disagrees with a decision.</w:t>
      </w:r>
      <w:r w:rsidRPr="00EF1E3A">
        <w:rPr>
          <w:rStyle w:val="FootnoteReference"/>
          <w:rFonts w:cstheme="minorHAnsi"/>
          <w:color w:val="000000" w:themeColor="text1"/>
          <w:sz w:val="22"/>
          <w:szCs w:val="22"/>
        </w:rPr>
        <w:footnoteReference w:id="48"/>
      </w:r>
      <w:r w:rsidRPr="00EF1E3A">
        <w:rPr>
          <w:rFonts w:cstheme="minorHAnsi"/>
          <w:color w:val="000000" w:themeColor="text1"/>
          <w:sz w:val="22"/>
          <w:szCs w:val="22"/>
        </w:rPr>
        <w:t xml:space="preserve"> A similar review mechanism could be contained within the amended safeguarding provisions such that the person affected by the decision has a clear route to challenge. This level of review would require an independent body and one option would be to make it part of the role of Safeguarding Adults Boards (SABs), created under Care Act 2014</w:t>
      </w:r>
      <w:r w:rsidR="00516EFB" w:rsidRPr="00EF1E3A">
        <w:rPr>
          <w:rFonts w:cstheme="minorHAnsi"/>
          <w:color w:val="000000" w:themeColor="text1"/>
          <w:sz w:val="22"/>
          <w:szCs w:val="22"/>
        </w:rPr>
        <w:t xml:space="preserve"> s 43</w:t>
      </w:r>
      <w:r w:rsidRPr="00EF1E3A">
        <w:rPr>
          <w:rFonts w:cstheme="minorHAnsi"/>
          <w:color w:val="000000" w:themeColor="text1"/>
          <w:sz w:val="22"/>
          <w:szCs w:val="22"/>
        </w:rPr>
        <w:t>. They may be well placed to make such decisions given their statutory function to protect adults in their area, albeit their lack of independence from local authorities may be a concern.</w:t>
      </w:r>
      <w:r w:rsidRPr="00EF1E3A">
        <w:rPr>
          <w:rFonts w:cstheme="minorHAnsi"/>
          <w:color w:val="000000" w:themeColor="text1"/>
          <w:sz w:val="22"/>
          <w:szCs w:val="22"/>
          <w:vertAlign w:val="superscript"/>
        </w:rPr>
        <w:footnoteReference w:id="49"/>
      </w:r>
      <w:r w:rsidRPr="00EF1E3A">
        <w:rPr>
          <w:rFonts w:cstheme="minorHAnsi"/>
          <w:color w:val="000000" w:themeColor="text1"/>
          <w:sz w:val="22"/>
          <w:szCs w:val="22"/>
        </w:rPr>
        <w:t xml:space="preserve"> Of course, this power of review would most effectively work where positive action was taken to intervene in a person’s life (even in a non-coercive way). However, where a social worker takes a decision to support a risk decision, it should be possible for interested others within the vulnerable adult’s life to also request a review under the safeguarding framework. Overall, rigorous professional accountability for social workers will be a central part of any amended safeguarding legislation if there is to be an expansion of powers for social workers or legal protection for them where they support risky decision-making. </w:t>
      </w:r>
    </w:p>
    <w:p w14:paraId="6E35E0CC" w14:textId="77777777" w:rsidR="000E0EC5" w:rsidRPr="00EF1E3A" w:rsidRDefault="000E0EC5" w:rsidP="005E4DC1">
      <w:pPr>
        <w:widowControl w:val="0"/>
        <w:autoSpaceDE w:val="0"/>
        <w:autoSpaceDN w:val="0"/>
        <w:adjustRightInd w:val="0"/>
        <w:spacing w:line="360" w:lineRule="auto"/>
        <w:contextualSpacing/>
        <w:jc w:val="both"/>
        <w:rPr>
          <w:rFonts w:cstheme="minorHAnsi"/>
          <w:color w:val="000000" w:themeColor="text1"/>
          <w:sz w:val="22"/>
          <w:szCs w:val="22"/>
        </w:rPr>
      </w:pPr>
    </w:p>
    <w:p w14:paraId="5BF8CA44" w14:textId="651B2288" w:rsidR="000E0EC5" w:rsidRPr="0073426B" w:rsidRDefault="000E0EC5" w:rsidP="0073426B">
      <w:pPr>
        <w:spacing w:line="360" w:lineRule="auto"/>
        <w:jc w:val="both"/>
        <w:rPr>
          <w:rFonts w:asciiTheme="majorHAnsi" w:hAnsiTheme="majorHAnsi" w:cstheme="majorHAnsi"/>
          <w:color w:val="000000" w:themeColor="text1"/>
          <w:sz w:val="28"/>
          <w:szCs w:val="28"/>
        </w:rPr>
      </w:pPr>
      <w:r w:rsidRPr="0073426B">
        <w:rPr>
          <w:rFonts w:asciiTheme="majorHAnsi" w:hAnsiTheme="majorHAnsi" w:cstheme="majorHAnsi"/>
          <w:color w:val="000000" w:themeColor="text1"/>
          <w:sz w:val="28"/>
          <w:szCs w:val="28"/>
        </w:rPr>
        <w:t xml:space="preserve">Applicable to all </w:t>
      </w:r>
    </w:p>
    <w:p w14:paraId="7274718F" w14:textId="0491BFA9" w:rsidR="000E0EC5" w:rsidRPr="00EF1E3A" w:rsidRDefault="000E0EC5" w:rsidP="005E4DC1">
      <w:pPr>
        <w:widowControl w:val="0"/>
        <w:autoSpaceDE w:val="0"/>
        <w:autoSpaceDN w:val="0"/>
        <w:adjustRightInd w:val="0"/>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 xml:space="preserve">I have argued elsewhere that there is a need for </w:t>
      </w:r>
      <w:r w:rsidR="004716C0" w:rsidRPr="00EF1E3A">
        <w:rPr>
          <w:rFonts w:cstheme="minorHAnsi"/>
          <w:color w:val="000000" w:themeColor="text1"/>
          <w:sz w:val="22"/>
          <w:szCs w:val="22"/>
        </w:rPr>
        <w:t>safeguarding laws</w:t>
      </w:r>
      <w:r w:rsidRPr="00EF1E3A">
        <w:rPr>
          <w:rFonts w:cstheme="minorHAnsi"/>
          <w:color w:val="000000" w:themeColor="text1"/>
          <w:sz w:val="22"/>
          <w:szCs w:val="22"/>
        </w:rPr>
        <w:t xml:space="preserve"> to apply to all</w:t>
      </w:r>
      <w:r w:rsidR="00754506" w:rsidRPr="00EF1E3A">
        <w:rPr>
          <w:rFonts w:cstheme="minorHAnsi"/>
          <w:color w:val="000000" w:themeColor="text1"/>
          <w:sz w:val="22"/>
          <w:szCs w:val="22"/>
        </w:rPr>
        <w:t xml:space="preserve">, </w:t>
      </w:r>
      <w:r w:rsidR="004716C0" w:rsidRPr="00EF1E3A">
        <w:rPr>
          <w:rFonts w:cstheme="minorHAnsi"/>
          <w:color w:val="000000" w:themeColor="text1"/>
          <w:sz w:val="22"/>
          <w:szCs w:val="22"/>
        </w:rPr>
        <w:t>effectively arguing for a removal of the requirement for</w:t>
      </w:r>
      <w:r w:rsidR="00754506" w:rsidRPr="00EF1E3A">
        <w:rPr>
          <w:rFonts w:cstheme="minorHAnsi"/>
          <w:color w:val="000000" w:themeColor="text1"/>
          <w:sz w:val="22"/>
          <w:szCs w:val="22"/>
        </w:rPr>
        <w:t xml:space="preserve"> support needs as</w:t>
      </w:r>
      <w:r w:rsidR="004716C0" w:rsidRPr="00EF1E3A">
        <w:rPr>
          <w:rFonts w:cstheme="minorHAnsi"/>
          <w:color w:val="000000" w:themeColor="text1"/>
          <w:sz w:val="22"/>
          <w:szCs w:val="22"/>
        </w:rPr>
        <w:t xml:space="preserve"> is currently</w:t>
      </w:r>
      <w:r w:rsidR="00754506" w:rsidRPr="00EF1E3A">
        <w:rPr>
          <w:rFonts w:cstheme="minorHAnsi"/>
          <w:color w:val="000000" w:themeColor="text1"/>
          <w:sz w:val="22"/>
          <w:szCs w:val="22"/>
        </w:rPr>
        <w:t xml:space="preserve"> required under the Care Act</w:t>
      </w:r>
      <w:r w:rsidRPr="00EF1E3A">
        <w:rPr>
          <w:rFonts w:cstheme="minorHAnsi"/>
          <w:color w:val="000000" w:themeColor="text1"/>
          <w:sz w:val="22"/>
          <w:szCs w:val="22"/>
        </w:rPr>
        <w:t>.</w:t>
      </w:r>
      <w:r w:rsidRPr="00EF1E3A">
        <w:rPr>
          <w:rStyle w:val="FootnoteReference"/>
          <w:rFonts w:cstheme="minorHAnsi"/>
          <w:color w:val="000000" w:themeColor="text1"/>
          <w:sz w:val="22"/>
          <w:szCs w:val="22"/>
        </w:rPr>
        <w:footnoteReference w:id="50"/>
      </w:r>
      <w:r w:rsidRPr="00EF1E3A">
        <w:rPr>
          <w:rFonts w:cstheme="minorHAnsi"/>
          <w:color w:val="000000" w:themeColor="text1"/>
          <w:sz w:val="22"/>
          <w:szCs w:val="22"/>
        </w:rPr>
        <w:t xml:space="preserve">  A </w:t>
      </w:r>
      <w:r w:rsidRPr="00EF1E3A">
        <w:rPr>
          <w:rFonts w:cstheme="minorHAnsi"/>
          <w:color w:val="000000" w:themeColor="text1"/>
          <w:sz w:val="22"/>
          <w:szCs w:val="22"/>
        </w:rPr>
        <w:lastRenderedPageBreak/>
        <w:t xml:space="preserve">non-discriminatory framework focused on safeguarding </w:t>
      </w:r>
      <w:r w:rsidRPr="00EF1E3A">
        <w:rPr>
          <w:rFonts w:cstheme="minorHAnsi"/>
          <w:i/>
          <w:color w:val="000000" w:themeColor="text1"/>
          <w:sz w:val="22"/>
          <w:szCs w:val="22"/>
        </w:rPr>
        <w:t>all adults</w:t>
      </w:r>
      <w:r w:rsidRPr="00EF1E3A">
        <w:rPr>
          <w:rFonts w:cstheme="minorHAnsi"/>
          <w:color w:val="000000" w:themeColor="text1"/>
          <w:sz w:val="22"/>
          <w:szCs w:val="22"/>
        </w:rPr>
        <w:t xml:space="preserve"> vulnerable to abuse is likely to be more sensitive to the range of factors that make a person vulnerable. As Clough explains, the MCA creates a </w:t>
      </w:r>
      <w:r w:rsidR="00A167AD" w:rsidRPr="00EF1E3A">
        <w:rPr>
          <w:rFonts w:cstheme="minorHAnsi"/>
          <w:color w:val="000000" w:themeColor="text1"/>
          <w:sz w:val="22"/>
          <w:szCs w:val="22"/>
        </w:rPr>
        <w:t>‘</w:t>
      </w:r>
      <w:r w:rsidRPr="00EF1E3A">
        <w:rPr>
          <w:rFonts w:cstheme="minorHAnsi"/>
          <w:color w:val="000000" w:themeColor="text1"/>
          <w:sz w:val="22"/>
          <w:szCs w:val="22"/>
        </w:rPr>
        <w:t>stark dividing line between those who have a cognitive impairment, who can thus be capable of being deemed to lack capacity, and those without a cognitive impairment, who cannot</w:t>
      </w:r>
      <w:r w:rsidR="00A167AD" w:rsidRPr="00EF1E3A">
        <w:rPr>
          <w:rFonts w:cstheme="minorHAnsi"/>
          <w:color w:val="000000" w:themeColor="text1"/>
          <w:sz w:val="22"/>
          <w:szCs w:val="22"/>
        </w:rPr>
        <w:t>’</w:t>
      </w:r>
      <w:r w:rsidRPr="00EF1E3A">
        <w:rPr>
          <w:rFonts w:cstheme="minorHAnsi"/>
          <w:color w:val="000000" w:themeColor="text1"/>
          <w:sz w:val="22"/>
          <w:szCs w:val="22"/>
        </w:rPr>
        <w:t>.</w:t>
      </w:r>
      <w:r w:rsidRPr="00EF1E3A">
        <w:rPr>
          <w:rStyle w:val="FootnoteReference"/>
          <w:rFonts w:cstheme="minorHAnsi"/>
          <w:color w:val="000000" w:themeColor="text1"/>
          <w:sz w:val="22"/>
          <w:szCs w:val="22"/>
        </w:rPr>
        <w:footnoteReference w:id="51"/>
      </w:r>
      <w:r w:rsidRPr="00EF1E3A">
        <w:rPr>
          <w:rFonts w:cstheme="minorHAnsi"/>
          <w:color w:val="000000" w:themeColor="text1"/>
          <w:sz w:val="22"/>
          <w:szCs w:val="22"/>
        </w:rPr>
        <w:t xml:space="preserve"> This sharp distinction can lead to over-protection of those who have particular disabilities and under-protection of those who are seen as choosing to put themselves at risk, such as women in </w:t>
      </w:r>
      <w:r w:rsidR="004716C0" w:rsidRPr="00EF1E3A">
        <w:rPr>
          <w:rFonts w:cstheme="minorHAnsi"/>
          <w:color w:val="000000" w:themeColor="text1"/>
          <w:sz w:val="22"/>
          <w:szCs w:val="22"/>
        </w:rPr>
        <w:t>situations of domestic abuse with an intimate partner</w:t>
      </w:r>
      <w:r w:rsidRPr="00EF1E3A">
        <w:rPr>
          <w:rFonts w:cstheme="minorHAnsi"/>
          <w:color w:val="000000" w:themeColor="text1"/>
          <w:sz w:val="22"/>
          <w:szCs w:val="22"/>
        </w:rPr>
        <w:t xml:space="preserve">. A non-discriminatory framework would provide the opportunity for a more nuanced response to these issues which actually focuses on the situation and the facts that give rise to the safeguarding concern. </w:t>
      </w:r>
    </w:p>
    <w:p w14:paraId="02BA31CF" w14:textId="77777777" w:rsidR="00693B5E" w:rsidRDefault="00693B5E" w:rsidP="00693B5E">
      <w:pPr>
        <w:widowControl w:val="0"/>
        <w:autoSpaceDE w:val="0"/>
        <w:autoSpaceDN w:val="0"/>
        <w:adjustRightInd w:val="0"/>
        <w:spacing w:line="360" w:lineRule="auto"/>
        <w:contextualSpacing/>
        <w:jc w:val="both"/>
        <w:rPr>
          <w:rFonts w:cstheme="minorHAnsi"/>
          <w:color w:val="000000" w:themeColor="text1"/>
          <w:sz w:val="22"/>
          <w:szCs w:val="22"/>
        </w:rPr>
      </w:pPr>
    </w:p>
    <w:p w14:paraId="78357980" w14:textId="391200EC" w:rsidR="000E0EC5" w:rsidRPr="00EF1E3A" w:rsidRDefault="000E0EC5" w:rsidP="00693B5E">
      <w:pPr>
        <w:widowControl w:val="0"/>
        <w:autoSpaceDE w:val="0"/>
        <w:autoSpaceDN w:val="0"/>
        <w:adjustRightInd w:val="0"/>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 xml:space="preserve">To some extent this is already </w:t>
      </w:r>
      <w:r w:rsidR="004716C0" w:rsidRPr="00EF1E3A">
        <w:rPr>
          <w:rFonts w:cstheme="minorHAnsi"/>
          <w:color w:val="000000" w:themeColor="text1"/>
          <w:sz w:val="22"/>
          <w:szCs w:val="22"/>
        </w:rPr>
        <w:t>the case</w:t>
      </w:r>
      <w:r w:rsidR="00754506" w:rsidRPr="00EF1E3A">
        <w:rPr>
          <w:rFonts w:cstheme="minorHAnsi"/>
          <w:color w:val="000000" w:themeColor="text1"/>
          <w:sz w:val="22"/>
          <w:szCs w:val="22"/>
        </w:rPr>
        <w:t>, f</w:t>
      </w:r>
      <w:r w:rsidRPr="00EF1E3A">
        <w:rPr>
          <w:rFonts w:cstheme="minorHAnsi"/>
          <w:color w:val="000000" w:themeColor="text1"/>
          <w:sz w:val="22"/>
          <w:szCs w:val="22"/>
        </w:rPr>
        <w:t>or example,</w:t>
      </w:r>
      <w:r w:rsidR="00754506" w:rsidRPr="00EF1E3A">
        <w:rPr>
          <w:rFonts w:cstheme="minorHAnsi"/>
          <w:color w:val="000000" w:themeColor="text1"/>
          <w:sz w:val="22"/>
          <w:szCs w:val="22"/>
          <w:lang w:val="en-US"/>
        </w:rPr>
        <w:t xml:space="preserve"> </w:t>
      </w:r>
      <w:r w:rsidR="00516EFB" w:rsidRPr="00EF1E3A">
        <w:rPr>
          <w:rFonts w:cstheme="minorHAnsi"/>
          <w:color w:val="000000" w:themeColor="text1"/>
          <w:sz w:val="22"/>
          <w:szCs w:val="22"/>
          <w:lang w:val="en-US"/>
        </w:rPr>
        <w:t xml:space="preserve">Care Act </w:t>
      </w:r>
      <w:r w:rsidRPr="00EF1E3A">
        <w:rPr>
          <w:rFonts w:cstheme="minorHAnsi"/>
          <w:color w:val="000000" w:themeColor="text1"/>
          <w:sz w:val="22"/>
          <w:szCs w:val="22"/>
          <w:lang w:val="en-US"/>
        </w:rPr>
        <w:t>s 42 (1) (a)</w:t>
      </w:r>
      <w:r w:rsidR="00754506" w:rsidRPr="00EF1E3A">
        <w:rPr>
          <w:rFonts w:cstheme="minorHAnsi"/>
          <w:color w:val="000000" w:themeColor="text1"/>
          <w:sz w:val="22"/>
          <w:szCs w:val="22"/>
          <w:lang w:val="en-US"/>
        </w:rPr>
        <w:t xml:space="preserve">, </w:t>
      </w:r>
      <w:r w:rsidRPr="00EF1E3A">
        <w:rPr>
          <w:rFonts w:cstheme="minorHAnsi"/>
          <w:color w:val="000000" w:themeColor="text1"/>
          <w:sz w:val="22"/>
          <w:szCs w:val="22"/>
          <w:lang w:val="en-US"/>
        </w:rPr>
        <w:t>makes clear that the safeguarding provisions apply even to those adults who are not receiving local authority support. Unlike the MCA therefore, the safeguarding provisions do not state that an impairment or disability is required for the safeguarding duty to be triggered. I do not suggest here that the MCA should be repealed or amended in this regard, although I do have some sympathy with that argument. My argument is</w:t>
      </w:r>
      <w:r w:rsidR="004716C0" w:rsidRPr="00EF1E3A">
        <w:rPr>
          <w:rFonts w:cstheme="minorHAnsi"/>
          <w:color w:val="000000" w:themeColor="text1"/>
          <w:sz w:val="22"/>
          <w:szCs w:val="22"/>
          <w:lang w:val="en-US"/>
        </w:rPr>
        <w:t>, instead,</w:t>
      </w:r>
      <w:r w:rsidRPr="00EF1E3A">
        <w:rPr>
          <w:rFonts w:cstheme="minorHAnsi"/>
          <w:color w:val="000000" w:themeColor="text1"/>
          <w:sz w:val="22"/>
          <w:szCs w:val="22"/>
          <w:lang w:val="en-US"/>
        </w:rPr>
        <w:t xml:space="preserve"> that the safeguarding framework ought to be</w:t>
      </w:r>
      <w:r w:rsidR="004716C0" w:rsidRPr="00EF1E3A">
        <w:rPr>
          <w:rFonts w:cstheme="minorHAnsi"/>
          <w:color w:val="000000" w:themeColor="text1"/>
          <w:sz w:val="22"/>
          <w:szCs w:val="22"/>
          <w:lang w:val="en-US"/>
        </w:rPr>
        <w:t xml:space="preserve"> focused on</w:t>
      </w:r>
      <w:r w:rsidRPr="00EF1E3A">
        <w:rPr>
          <w:rFonts w:cstheme="minorHAnsi"/>
          <w:color w:val="000000" w:themeColor="text1"/>
          <w:sz w:val="22"/>
          <w:szCs w:val="22"/>
          <w:lang w:val="en-US"/>
        </w:rPr>
        <w:t xml:space="preserve"> protecting people who, for wh</w:t>
      </w:r>
      <w:r w:rsidR="004716C0" w:rsidRPr="00EF1E3A">
        <w:rPr>
          <w:rFonts w:cstheme="minorHAnsi"/>
          <w:color w:val="000000" w:themeColor="text1"/>
          <w:sz w:val="22"/>
          <w:szCs w:val="22"/>
          <w:lang w:val="en-US"/>
        </w:rPr>
        <w:t xml:space="preserve">atever </w:t>
      </w:r>
      <w:r w:rsidRPr="00EF1E3A">
        <w:rPr>
          <w:rFonts w:cstheme="minorHAnsi"/>
          <w:color w:val="000000" w:themeColor="text1"/>
          <w:sz w:val="22"/>
          <w:szCs w:val="22"/>
          <w:lang w:val="en-US"/>
        </w:rPr>
        <w:t>reasons, are</w:t>
      </w:r>
      <w:r w:rsidR="004716C0" w:rsidRPr="00EF1E3A">
        <w:rPr>
          <w:rFonts w:cstheme="minorHAnsi"/>
          <w:color w:val="000000" w:themeColor="text1"/>
          <w:sz w:val="22"/>
          <w:szCs w:val="22"/>
          <w:lang w:val="en-US"/>
        </w:rPr>
        <w:t xml:space="preserve"> not in a position</w:t>
      </w:r>
      <w:r w:rsidRPr="00EF1E3A">
        <w:rPr>
          <w:rFonts w:cstheme="minorHAnsi"/>
          <w:color w:val="000000" w:themeColor="text1"/>
          <w:sz w:val="22"/>
          <w:szCs w:val="22"/>
        </w:rPr>
        <w:t xml:space="preserve"> to</w:t>
      </w:r>
      <w:r w:rsidR="004716C0" w:rsidRPr="00EF1E3A">
        <w:rPr>
          <w:rFonts w:cstheme="minorHAnsi"/>
          <w:color w:val="000000" w:themeColor="text1"/>
          <w:sz w:val="22"/>
          <w:szCs w:val="22"/>
        </w:rPr>
        <w:t xml:space="preserve"> be able to</w:t>
      </w:r>
      <w:r w:rsidRPr="00EF1E3A">
        <w:rPr>
          <w:rFonts w:cstheme="minorHAnsi"/>
          <w:color w:val="000000" w:themeColor="text1"/>
          <w:sz w:val="22"/>
          <w:szCs w:val="22"/>
        </w:rPr>
        <w:t xml:space="preserve"> protect themselves. The Care Act currently frames this as related to support needs, but actually, there may be a much wider range of reasons as to why a person is unable to protect themselves. This would be an important way of encompassing those who might be vulnerable as a result of their disability, but it would not restrict safeguarding to that group. </w:t>
      </w:r>
    </w:p>
    <w:p w14:paraId="36831BC3" w14:textId="77777777" w:rsidR="000E0EC5" w:rsidRPr="00EF1E3A" w:rsidRDefault="000E0EC5" w:rsidP="005E4DC1">
      <w:pPr>
        <w:widowControl w:val="0"/>
        <w:autoSpaceDE w:val="0"/>
        <w:autoSpaceDN w:val="0"/>
        <w:adjustRightInd w:val="0"/>
        <w:spacing w:line="360" w:lineRule="auto"/>
        <w:contextualSpacing/>
        <w:jc w:val="both"/>
        <w:rPr>
          <w:rFonts w:cstheme="minorHAnsi"/>
          <w:color w:val="000000" w:themeColor="text1"/>
          <w:sz w:val="22"/>
          <w:szCs w:val="22"/>
        </w:rPr>
      </w:pPr>
    </w:p>
    <w:p w14:paraId="5ECCCFD8" w14:textId="77777777" w:rsidR="000E0EC5" w:rsidRPr="00693B5E" w:rsidRDefault="000E0EC5" w:rsidP="00693B5E">
      <w:pPr>
        <w:spacing w:line="360" w:lineRule="auto"/>
        <w:jc w:val="both"/>
        <w:rPr>
          <w:rFonts w:asciiTheme="majorHAnsi" w:hAnsiTheme="majorHAnsi" w:cstheme="majorHAnsi"/>
          <w:color w:val="000000" w:themeColor="text1"/>
          <w:sz w:val="28"/>
          <w:szCs w:val="28"/>
        </w:rPr>
      </w:pPr>
      <w:r w:rsidRPr="00693B5E">
        <w:rPr>
          <w:rFonts w:asciiTheme="majorHAnsi" w:hAnsiTheme="majorHAnsi" w:cstheme="majorHAnsi"/>
          <w:color w:val="000000" w:themeColor="text1"/>
          <w:sz w:val="28"/>
          <w:szCs w:val="28"/>
        </w:rPr>
        <w:t>Partnership working</w:t>
      </w:r>
    </w:p>
    <w:p w14:paraId="48AAC283" w14:textId="0517E8CC" w:rsidR="000E0EC5" w:rsidRPr="00EF1E3A" w:rsidRDefault="000E0EC5" w:rsidP="005E4DC1">
      <w:pPr>
        <w:widowControl w:val="0"/>
        <w:autoSpaceDE w:val="0"/>
        <w:autoSpaceDN w:val="0"/>
        <w:adjustRightInd w:val="0"/>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 xml:space="preserve">Safeguarding processes must also be carried out in partnership with the person, taking into account their experiences and wishes, rather than as </w:t>
      </w:r>
      <w:r w:rsidR="00A167AD" w:rsidRPr="00EF1E3A">
        <w:rPr>
          <w:rFonts w:cstheme="minorHAnsi"/>
          <w:color w:val="000000" w:themeColor="text1"/>
          <w:sz w:val="22"/>
          <w:szCs w:val="22"/>
        </w:rPr>
        <w:t>‘</w:t>
      </w:r>
      <w:r w:rsidRPr="00EF1E3A">
        <w:rPr>
          <w:rFonts w:cstheme="minorHAnsi"/>
          <w:color w:val="000000" w:themeColor="text1"/>
          <w:sz w:val="22"/>
          <w:szCs w:val="22"/>
        </w:rPr>
        <w:t>organising objects</w:t>
      </w:r>
      <w:r w:rsidR="00A167AD" w:rsidRPr="00EF1E3A">
        <w:rPr>
          <w:rFonts w:cstheme="minorHAnsi"/>
          <w:color w:val="000000" w:themeColor="text1"/>
          <w:sz w:val="22"/>
          <w:szCs w:val="22"/>
        </w:rPr>
        <w:t>’</w:t>
      </w:r>
      <w:r w:rsidRPr="00EF1E3A">
        <w:rPr>
          <w:rFonts w:cstheme="minorHAnsi"/>
          <w:color w:val="000000" w:themeColor="text1"/>
          <w:sz w:val="22"/>
          <w:szCs w:val="22"/>
        </w:rPr>
        <w:t>.</w:t>
      </w:r>
      <w:r w:rsidRPr="00EF1E3A">
        <w:rPr>
          <w:rStyle w:val="FootnoteReference"/>
          <w:rFonts w:cstheme="minorHAnsi"/>
          <w:color w:val="000000" w:themeColor="text1"/>
          <w:sz w:val="22"/>
          <w:szCs w:val="22"/>
        </w:rPr>
        <w:footnoteReference w:id="52"/>
      </w:r>
      <w:r w:rsidRPr="00EF1E3A">
        <w:rPr>
          <w:rFonts w:cstheme="minorHAnsi"/>
          <w:color w:val="000000" w:themeColor="text1"/>
          <w:sz w:val="22"/>
          <w:szCs w:val="22"/>
        </w:rPr>
        <w:t xml:space="preserve"> Failing to hear and take into account the wishes and needs of the individual is less likely to result in a successful outcome, whatever the intervention. Furthermore, there is intrinsic value in involving </w:t>
      </w:r>
      <w:r w:rsidR="009E1E54" w:rsidRPr="00EF1E3A">
        <w:rPr>
          <w:rFonts w:cstheme="minorHAnsi"/>
          <w:color w:val="000000" w:themeColor="text1"/>
          <w:sz w:val="22"/>
          <w:szCs w:val="22"/>
        </w:rPr>
        <w:t xml:space="preserve"> the person</w:t>
      </w:r>
      <w:r w:rsidRPr="00EF1E3A">
        <w:rPr>
          <w:rFonts w:cstheme="minorHAnsi"/>
          <w:color w:val="000000" w:themeColor="text1"/>
          <w:sz w:val="22"/>
          <w:szCs w:val="22"/>
        </w:rPr>
        <w:t xml:space="preserve">; she is valued as an individual and is encouraged to develop the capacity to make decisions about her future based on her own values. This is, to some extent, captured in the approach known as </w:t>
      </w:r>
      <w:r w:rsidR="00A167AD" w:rsidRPr="00EF1E3A">
        <w:rPr>
          <w:rFonts w:cstheme="minorHAnsi"/>
          <w:color w:val="000000" w:themeColor="text1"/>
          <w:sz w:val="22"/>
          <w:szCs w:val="22"/>
        </w:rPr>
        <w:t>‘</w:t>
      </w:r>
      <w:r w:rsidRPr="00EF1E3A">
        <w:rPr>
          <w:rFonts w:cstheme="minorHAnsi"/>
          <w:color w:val="000000" w:themeColor="text1"/>
          <w:sz w:val="22"/>
          <w:szCs w:val="22"/>
        </w:rPr>
        <w:t>making safeguarding personal</w:t>
      </w:r>
      <w:r w:rsidR="00A167AD" w:rsidRPr="00EF1E3A">
        <w:rPr>
          <w:rFonts w:cstheme="minorHAnsi"/>
          <w:color w:val="000000" w:themeColor="text1"/>
          <w:sz w:val="22"/>
          <w:szCs w:val="22"/>
        </w:rPr>
        <w:t>’</w:t>
      </w:r>
      <w:r w:rsidRPr="00EF1E3A">
        <w:rPr>
          <w:rFonts w:cstheme="minorHAnsi"/>
          <w:color w:val="000000" w:themeColor="text1"/>
          <w:sz w:val="22"/>
          <w:szCs w:val="22"/>
        </w:rPr>
        <w:t>.</w:t>
      </w:r>
      <w:r w:rsidRPr="00EF1E3A">
        <w:rPr>
          <w:rStyle w:val="FootnoteReference"/>
          <w:rFonts w:cstheme="minorHAnsi"/>
          <w:color w:val="000000" w:themeColor="text1"/>
          <w:sz w:val="22"/>
          <w:szCs w:val="22"/>
        </w:rPr>
        <w:footnoteReference w:id="53"/>
      </w:r>
      <w:r w:rsidRPr="00EF1E3A">
        <w:rPr>
          <w:rFonts w:cstheme="minorHAnsi"/>
          <w:color w:val="000000" w:themeColor="text1"/>
          <w:sz w:val="22"/>
          <w:szCs w:val="22"/>
        </w:rPr>
        <w:t xml:space="preserve"> However, this rhetoric needs to be strengthened within the legal framework to ensure </w:t>
      </w:r>
      <w:r w:rsidRPr="00EF1E3A">
        <w:rPr>
          <w:rFonts w:cstheme="minorHAnsi"/>
          <w:color w:val="000000" w:themeColor="text1"/>
          <w:sz w:val="22"/>
          <w:szCs w:val="22"/>
        </w:rPr>
        <w:lastRenderedPageBreak/>
        <w:t xml:space="preserve">the individual is </w:t>
      </w:r>
      <w:r w:rsidRPr="00EF1E3A">
        <w:rPr>
          <w:rFonts w:cstheme="minorHAnsi"/>
          <w:i/>
          <w:color w:val="000000" w:themeColor="text1"/>
          <w:sz w:val="22"/>
          <w:szCs w:val="22"/>
        </w:rPr>
        <w:t>always</w:t>
      </w:r>
      <w:r w:rsidRPr="00EF1E3A">
        <w:rPr>
          <w:rFonts w:cstheme="minorHAnsi"/>
          <w:color w:val="000000" w:themeColor="text1"/>
          <w:sz w:val="22"/>
          <w:szCs w:val="22"/>
        </w:rPr>
        <w:t xml:space="preserve"> consulted and involved at every stage about decisions which will affect her. Explicitly enshrining this principle in law strengthens the discursive pressure on local authorities to translate that into their practice and strengthens social work legitimacy if they are formulating interventions in cooperation with</w:t>
      </w:r>
      <w:r w:rsidR="009E1E54" w:rsidRPr="00EF1E3A">
        <w:rPr>
          <w:rFonts w:cstheme="minorHAnsi"/>
          <w:color w:val="000000" w:themeColor="text1"/>
          <w:sz w:val="22"/>
          <w:szCs w:val="22"/>
        </w:rPr>
        <w:t xml:space="preserve"> the adult. </w:t>
      </w:r>
    </w:p>
    <w:p w14:paraId="59F503D0" w14:textId="77777777" w:rsidR="000E0EC5" w:rsidRPr="00EF1E3A" w:rsidRDefault="000E0EC5" w:rsidP="005E4DC1">
      <w:pPr>
        <w:widowControl w:val="0"/>
        <w:autoSpaceDE w:val="0"/>
        <w:autoSpaceDN w:val="0"/>
        <w:adjustRightInd w:val="0"/>
        <w:spacing w:line="360" w:lineRule="auto"/>
        <w:contextualSpacing/>
        <w:jc w:val="both"/>
        <w:rPr>
          <w:rFonts w:cstheme="minorHAnsi"/>
          <w:color w:val="000000" w:themeColor="text1"/>
          <w:sz w:val="22"/>
          <w:szCs w:val="22"/>
        </w:rPr>
      </w:pPr>
    </w:p>
    <w:p w14:paraId="27A035CE" w14:textId="77777777" w:rsidR="000E0EC5" w:rsidRPr="00693B5E" w:rsidRDefault="000E0EC5" w:rsidP="00693B5E">
      <w:pPr>
        <w:spacing w:line="360" w:lineRule="auto"/>
        <w:jc w:val="both"/>
        <w:rPr>
          <w:rFonts w:asciiTheme="majorHAnsi" w:hAnsiTheme="majorHAnsi" w:cstheme="majorHAnsi"/>
          <w:color w:val="000000" w:themeColor="text1"/>
          <w:sz w:val="28"/>
          <w:szCs w:val="28"/>
        </w:rPr>
      </w:pPr>
      <w:r w:rsidRPr="00693B5E">
        <w:rPr>
          <w:rFonts w:asciiTheme="majorHAnsi" w:hAnsiTheme="majorHAnsi" w:cstheme="majorHAnsi"/>
          <w:color w:val="000000" w:themeColor="text1"/>
          <w:sz w:val="28"/>
          <w:szCs w:val="28"/>
        </w:rPr>
        <w:t>No more harm than the adult was already living with</w:t>
      </w:r>
    </w:p>
    <w:p w14:paraId="629A1DAE" w14:textId="1229D7F4" w:rsidR="000E0EC5" w:rsidRPr="00EF1E3A" w:rsidRDefault="000E0EC5" w:rsidP="005E4DC1">
      <w:pPr>
        <w:widowControl w:val="0"/>
        <w:autoSpaceDE w:val="0"/>
        <w:autoSpaceDN w:val="0"/>
        <w:adjustRightInd w:val="0"/>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 xml:space="preserve">Finally, the principle that any safeguarding intervention should not result in more harm in the adult’s life than they were living with before the intervention must be maintained. This is important because many of the CoP interventions noted earlier in this chapter would not fulfil this test. Protecting the person by removing her from her home and restricting her liberty could be seen as putting her at greater risk and does little to empower her as a decision-maker. State intervention can create further </w:t>
      </w:r>
      <w:r w:rsidR="00002531" w:rsidRPr="00EF1E3A">
        <w:rPr>
          <w:rFonts w:cstheme="minorHAnsi"/>
          <w:color w:val="000000" w:themeColor="text1"/>
          <w:sz w:val="22"/>
          <w:szCs w:val="22"/>
        </w:rPr>
        <w:t>harm</w:t>
      </w:r>
      <w:r w:rsidRPr="00EF1E3A">
        <w:rPr>
          <w:rFonts w:cstheme="minorHAnsi"/>
          <w:color w:val="000000" w:themeColor="text1"/>
          <w:sz w:val="22"/>
          <w:szCs w:val="22"/>
        </w:rPr>
        <w:t xml:space="preserve"> and is something we must avoid in reforming the law.</w:t>
      </w:r>
      <w:r w:rsidRPr="00EF1E3A">
        <w:rPr>
          <w:rStyle w:val="FootnoteReference"/>
          <w:rFonts w:cstheme="minorHAnsi"/>
          <w:color w:val="000000" w:themeColor="text1"/>
          <w:sz w:val="22"/>
          <w:szCs w:val="22"/>
        </w:rPr>
        <w:footnoteReference w:id="54"/>
      </w:r>
      <w:r w:rsidRPr="00EF1E3A">
        <w:rPr>
          <w:rFonts w:cstheme="minorHAnsi"/>
          <w:color w:val="000000" w:themeColor="text1"/>
          <w:sz w:val="22"/>
          <w:szCs w:val="22"/>
        </w:rPr>
        <w:t xml:space="preserve"> For example, in </w:t>
      </w:r>
      <w:r w:rsidRPr="00EF1E3A">
        <w:rPr>
          <w:rFonts w:cstheme="minorHAnsi"/>
          <w:i/>
          <w:color w:val="000000" w:themeColor="text1"/>
          <w:sz w:val="22"/>
          <w:szCs w:val="22"/>
        </w:rPr>
        <w:t>In Re A (Capacity: Refusal of Contraception)</w:t>
      </w:r>
      <w:r w:rsidRPr="005754DD">
        <w:rPr>
          <w:rStyle w:val="FootnoteReference"/>
          <w:rFonts w:cstheme="minorHAnsi"/>
          <w:iCs/>
          <w:color w:val="000000" w:themeColor="text1"/>
          <w:sz w:val="22"/>
          <w:szCs w:val="22"/>
        </w:rPr>
        <w:footnoteReference w:id="55"/>
      </w:r>
      <w:r w:rsidRPr="00EF1E3A">
        <w:rPr>
          <w:rFonts w:cstheme="minorHAnsi"/>
          <w:color w:val="000000" w:themeColor="text1"/>
          <w:sz w:val="22"/>
          <w:szCs w:val="22"/>
        </w:rPr>
        <w:t xml:space="preserve"> the court held that whilst it was in Mrs A’s best interests to receive contraception,</w:t>
      </w:r>
      <w:r w:rsidR="005510AB" w:rsidRPr="00EF1E3A">
        <w:rPr>
          <w:rFonts w:cstheme="minorHAnsi"/>
          <w:color w:val="000000" w:themeColor="text1"/>
          <w:sz w:val="22"/>
          <w:szCs w:val="22"/>
        </w:rPr>
        <w:t xml:space="preserve"> </w:t>
      </w:r>
      <w:r w:rsidRPr="00EF1E3A">
        <w:rPr>
          <w:rFonts w:cstheme="minorHAnsi"/>
          <w:color w:val="000000" w:themeColor="text1"/>
          <w:sz w:val="22"/>
          <w:szCs w:val="22"/>
        </w:rPr>
        <w:t xml:space="preserve">it should not be forced on her without her consent. Not only would this undermine her autonomy but </w:t>
      </w:r>
      <w:r w:rsidR="00002531" w:rsidRPr="00EF1E3A">
        <w:rPr>
          <w:rFonts w:cstheme="minorHAnsi"/>
          <w:color w:val="000000" w:themeColor="text1"/>
          <w:sz w:val="22"/>
          <w:szCs w:val="22"/>
        </w:rPr>
        <w:t xml:space="preserve">a forcible intervention against her wishes may actually have created more harm than the intervention was designed to protect her from, for example by having to use restraint or causing distrust in, and disengagement with, healthcare professionals. </w:t>
      </w:r>
      <w:r w:rsidRPr="00EF1E3A">
        <w:rPr>
          <w:rFonts w:cstheme="minorHAnsi"/>
          <w:color w:val="000000" w:themeColor="text1"/>
          <w:sz w:val="22"/>
          <w:szCs w:val="22"/>
        </w:rPr>
        <w:t xml:space="preserve">Of course, calculating and weighing harms will, in some cases, be challenging in practice. However, a similar approach is already taken in mental capacity law </w:t>
      </w:r>
      <w:r w:rsidR="00002531" w:rsidRPr="00EF1E3A">
        <w:rPr>
          <w:rFonts w:cstheme="minorHAnsi"/>
          <w:color w:val="000000" w:themeColor="text1"/>
          <w:sz w:val="22"/>
          <w:szCs w:val="22"/>
        </w:rPr>
        <w:t xml:space="preserve">when, </w:t>
      </w:r>
      <w:r w:rsidRPr="00EF1E3A">
        <w:rPr>
          <w:rFonts w:cstheme="minorHAnsi"/>
          <w:color w:val="000000" w:themeColor="text1"/>
          <w:sz w:val="22"/>
          <w:szCs w:val="22"/>
        </w:rPr>
        <w:t>for example, weighing a person’s best interests.</w:t>
      </w:r>
      <w:r w:rsidRPr="00EF1E3A">
        <w:rPr>
          <w:rStyle w:val="FootnoteReference"/>
          <w:rFonts w:cstheme="minorHAnsi"/>
          <w:color w:val="000000" w:themeColor="text1"/>
          <w:sz w:val="22"/>
          <w:szCs w:val="22"/>
        </w:rPr>
        <w:footnoteReference w:id="56"/>
      </w:r>
      <w:r w:rsidRPr="00EF1E3A">
        <w:rPr>
          <w:rFonts w:cstheme="minorHAnsi"/>
          <w:color w:val="000000" w:themeColor="text1"/>
          <w:sz w:val="22"/>
          <w:szCs w:val="22"/>
        </w:rPr>
        <w:t xml:space="preserve"> Evaluating harms in a person’s life is not intended to be an exact scientific measurement</w:t>
      </w:r>
      <w:r w:rsidR="00002531" w:rsidRPr="00EF1E3A">
        <w:rPr>
          <w:rFonts w:cstheme="minorHAnsi"/>
          <w:color w:val="000000" w:themeColor="text1"/>
          <w:sz w:val="22"/>
          <w:szCs w:val="22"/>
        </w:rPr>
        <w:t>, r</w:t>
      </w:r>
      <w:r w:rsidRPr="00EF1E3A">
        <w:rPr>
          <w:rFonts w:cstheme="minorHAnsi"/>
          <w:color w:val="000000" w:themeColor="text1"/>
          <w:sz w:val="22"/>
          <w:szCs w:val="22"/>
        </w:rPr>
        <w:t xml:space="preserve">ather, the requirement works to force social workers and </w:t>
      </w:r>
      <w:r w:rsidR="00002531" w:rsidRPr="00EF1E3A">
        <w:rPr>
          <w:rFonts w:cstheme="minorHAnsi"/>
          <w:color w:val="000000" w:themeColor="text1"/>
          <w:sz w:val="22"/>
          <w:szCs w:val="22"/>
        </w:rPr>
        <w:t xml:space="preserve">other </w:t>
      </w:r>
      <w:r w:rsidRPr="00EF1E3A">
        <w:rPr>
          <w:rFonts w:cstheme="minorHAnsi"/>
          <w:color w:val="000000" w:themeColor="text1"/>
          <w:sz w:val="22"/>
          <w:szCs w:val="22"/>
        </w:rPr>
        <w:t>decision-makers to consider the nature of the intervention that they are putting forward and to carefully balance it against existing</w:t>
      </w:r>
      <w:r w:rsidR="00AB4D4F" w:rsidRPr="00EF1E3A">
        <w:rPr>
          <w:rFonts w:cstheme="minorHAnsi"/>
          <w:color w:val="000000" w:themeColor="text1"/>
          <w:sz w:val="22"/>
          <w:szCs w:val="22"/>
        </w:rPr>
        <w:t>, and future,</w:t>
      </w:r>
      <w:r w:rsidRPr="00EF1E3A">
        <w:rPr>
          <w:rFonts w:cstheme="minorHAnsi"/>
          <w:color w:val="000000" w:themeColor="text1"/>
          <w:sz w:val="22"/>
          <w:szCs w:val="22"/>
        </w:rPr>
        <w:t xml:space="preserve"> risks of harm. </w:t>
      </w:r>
    </w:p>
    <w:p w14:paraId="46E6F6CA" w14:textId="77777777" w:rsidR="00693B5E" w:rsidRDefault="00693B5E" w:rsidP="00693B5E">
      <w:pPr>
        <w:pStyle w:val="Heading1"/>
        <w:spacing w:before="0" w:line="360" w:lineRule="auto"/>
        <w:contextualSpacing/>
        <w:jc w:val="both"/>
        <w:rPr>
          <w:rFonts w:asciiTheme="minorHAnsi" w:hAnsiTheme="minorHAnsi" w:cstheme="minorHAnsi"/>
          <w:bCs w:val="0"/>
          <w:color w:val="000000" w:themeColor="text1"/>
          <w:sz w:val="22"/>
          <w:szCs w:val="22"/>
        </w:rPr>
      </w:pPr>
      <w:bookmarkStart w:id="18" w:name="_Toc362088999"/>
      <w:bookmarkStart w:id="19" w:name="_Toc377131454"/>
    </w:p>
    <w:p w14:paraId="14D621E1" w14:textId="36B4888A" w:rsidR="000E0EC5" w:rsidRPr="00693B5E" w:rsidRDefault="000E0EC5" w:rsidP="00693B5E">
      <w:pPr>
        <w:pStyle w:val="Heading1"/>
        <w:spacing w:before="0" w:line="360" w:lineRule="auto"/>
        <w:contextualSpacing/>
        <w:jc w:val="both"/>
        <w:rPr>
          <w:rFonts w:cstheme="majorHAnsi"/>
          <w:b w:val="0"/>
          <w:color w:val="000000" w:themeColor="text1"/>
        </w:rPr>
      </w:pPr>
      <w:r w:rsidRPr="00693B5E">
        <w:rPr>
          <w:rFonts w:cstheme="majorHAnsi"/>
          <w:b w:val="0"/>
          <w:color w:val="000000" w:themeColor="text1"/>
        </w:rPr>
        <w:t>Conclusion</w:t>
      </w:r>
      <w:bookmarkEnd w:id="18"/>
      <w:bookmarkEnd w:id="19"/>
    </w:p>
    <w:p w14:paraId="7386F2AA" w14:textId="336018C0" w:rsidR="000E0EC5" w:rsidRPr="00EF1E3A" w:rsidRDefault="000E0EC5" w:rsidP="005E4DC1">
      <w:pPr>
        <w:spacing w:line="360" w:lineRule="auto"/>
        <w:contextualSpacing/>
        <w:jc w:val="both"/>
        <w:rPr>
          <w:rFonts w:cstheme="minorHAnsi"/>
          <w:color w:val="000000" w:themeColor="text1"/>
          <w:sz w:val="22"/>
          <w:szCs w:val="22"/>
        </w:rPr>
      </w:pPr>
      <w:r w:rsidRPr="00EF1E3A">
        <w:rPr>
          <w:rFonts w:cstheme="minorHAnsi"/>
          <w:color w:val="000000" w:themeColor="text1"/>
          <w:sz w:val="22"/>
          <w:szCs w:val="22"/>
        </w:rPr>
        <w:t xml:space="preserve">In this chapter I have highlighted that where social </w:t>
      </w:r>
      <w:r w:rsidR="00AB4D4F" w:rsidRPr="00EF1E3A">
        <w:rPr>
          <w:rFonts w:cstheme="minorHAnsi"/>
          <w:color w:val="000000" w:themeColor="text1"/>
          <w:sz w:val="22"/>
          <w:szCs w:val="22"/>
        </w:rPr>
        <w:t>workers</w:t>
      </w:r>
      <w:r w:rsidRPr="00EF1E3A">
        <w:rPr>
          <w:rFonts w:cstheme="minorHAnsi"/>
          <w:color w:val="000000" w:themeColor="text1"/>
          <w:sz w:val="22"/>
          <w:szCs w:val="22"/>
        </w:rPr>
        <w:t xml:space="preserve"> refer welfare cases to the CoP, this can result in controlling interventions that protect </w:t>
      </w:r>
      <w:r w:rsidR="00754506" w:rsidRPr="00EF1E3A">
        <w:rPr>
          <w:rFonts w:cstheme="minorHAnsi"/>
          <w:color w:val="000000" w:themeColor="text1"/>
          <w:sz w:val="22"/>
          <w:szCs w:val="22"/>
        </w:rPr>
        <w:t>the adult</w:t>
      </w:r>
      <w:r w:rsidR="00AB4D4F" w:rsidRPr="00EF1E3A">
        <w:rPr>
          <w:rFonts w:cstheme="minorHAnsi"/>
          <w:color w:val="000000" w:themeColor="text1"/>
          <w:sz w:val="22"/>
          <w:szCs w:val="22"/>
        </w:rPr>
        <w:t xml:space="preserve"> at risk of</w:t>
      </w:r>
      <w:r w:rsidR="00754506" w:rsidRPr="00EF1E3A">
        <w:rPr>
          <w:rFonts w:cstheme="minorHAnsi"/>
          <w:color w:val="000000" w:themeColor="text1"/>
          <w:sz w:val="22"/>
          <w:szCs w:val="22"/>
        </w:rPr>
        <w:t xml:space="preserve"> abuse</w:t>
      </w:r>
      <w:r w:rsidR="00AB4D4F" w:rsidRPr="00EF1E3A">
        <w:rPr>
          <w:rFonts w:cstheme="minorHAnsi"/>
          <w:color w:val="000000" w:themeColor="text1"/>
          <w:sz w:val="22"/>
          <w:szCs w:val="22"/>
        </w:rPr>
        <w:t>, but it is a form of</w:t>
      </w:r>
      <w:r w:rsidRPr="00EF1E3A">
        <w:rPr>
          <w:rFonts w:cstheme="minorHAnsi"/>
          <w:color w:val="000000" w:themeColor="text1"/>
          <w:sz w:val="22"/>
          <w:szCs w:val="22"/>
        </w:rPr>
        <w:t xml:space="preserve"> </w:t>
      </w:r>
      <w:r w:rsidR="00AB4D4F" w:rsidRPr="00EF1E3A">
        <w:rPr>
          <w:rFonts w:cstheme="minorHAnsi"/>
          <w:color w:val="000000" w:themeColor="text1"/>
          <w:sz w:val="22"/>
          <w:szCs w:val="22"/>
        </w:rPr>
        <w:t xml:space="preserve">legal </w:t>
      </w:r>
      <w:r w:rsidRPr="00EF1E3A">
        <w:rPr>
          <w:rFonts w:cstheme="minorHAnsi"/>
          <w:color w:val="000000" w:themeColor="text1"/>
          <w:sz w:val="22"/>
          <w:szCs w:val="22"/>
        </w:rPr>
        <w:t xml:space="preserve">coercion rather than </w:t>
      </w:r>
      <w:r w:rsidR="00AB4D4F" w:rsidRPr="00EF1E3A">
        <w:rPr>
          <w:rFonts w:cstheme="minorHAnsi"/>
          <w:color w:val="000000" w:themeColor="text1"/>
          <w:sz w:val="22"/>
          <w:szCs w:val="22"/>
        </w:rPr>
        <w:t>support</w:t>
      </w:r>
      <w:r w:rsidRPr="00EF1E3A">
        <w:rPr>
          <w:rFonts w:cstheme="minorHAnsi"/>
          <w:color w:val="000000" w:themeColor="text1"/>
          <w:sz w:val="22"/>
          <w:szCs w:val="22"/>
        </w:rPr>
        <w:t xml:space="preserve">. This is, perhaps, understandable in high-risk cases of abuse where social workers feel caught between their duty of care to protect and wanting to empower the vulnerable adult. However, it is likely further exacerbated by social workers’ limited legitimacy to intervene in </w:t>
      </w:r>
      <w:r w:rsidRPr="00EF1E3A">
        <w:rPr>
          <w:rFonts w:cstheme="minorHAnsi"/>
          <w:color w:val="000000" w:themeColor="text1"/>
          <w:sz w:val="22"/>
          <w:szCs w:val="22"/>
        </w:rPr>
        <w:lastRenderedPageBreak/>
        <w:t>supportive ways which may lack the enforceability and apparent objectivity of law</w:t>
      </w:r>
      <w:r w:rsidR="00754506" w:rsidRPr="00EF1E3A">
        <w:rPr>
          <w:rFonts w:cstheme="minorHAnsi"/>
          <w:color w:val="000000" w:themeColor="text1"/>
          <w:sz w:val="22"/>
          <w:szCs w:val="22"/>
        </w:rPr>
        <w:t>’s legitimacy</w:t>
      </w:r>
      <w:r w:rsidRPr="00EF1E3A">
        <w:rPr>
          <w:rFonts w:cstheme="minorHAnsi"/>
          <w:color w:val="000000" w:themeColor="text1"/>
          <w:sz w:val="22"/>
          <w:szCs w:val="22"/>
        </w:rPr>
        <w:t xml:space="preserve">. In light of the </w:t>
      </w:r>
      <w:r w:rsidR="00754506" w:rsidRPr="00EF1E3A">
        <w:rPr>
          <w:rFonts w:cstheme="minorHAnsi"/>
          <w:color w:val="000000" w:themeColor="text1"/>
          <w:sz w:val="22"/>
          <w:szCs w:val="22"/>
        </w:rPr>
        <w:t xml:space="preserve">difficulties with the resort to </w:t>
      </w:r>
      <w:r w:rsidR="00AB4D4F" w:rsidRPr="00EF1E3A">
        <w:rPr>
          <w:rFonts w:cstheme="minorHAnsi"/>
          <w:color w:val="000000" w:themeColor="text1"/>
          <w:sz w:val="22"/>
          <w:szCs w:val="22"/>
        </w:rPr>
        <w:t>legal coercion</w:t>
      </w:r>
      <w:r w:rsidRPr="00EF1E3A">
        <w:rPr>
          <w:rFonts w:cstheme="minorHAnsi"/>
          <w:color w:val="000000" w:themeColor="text1"/>
          <w:sz w:val="22"/>
          <w:szCs w:val="22"/>
        </w:rPr>
        <w:t xml:space="preserve">, I have argued that social workers need the legitimacy to intervene in more supportive ways, protected and backed up by </w:t>
      </w:r>
      <w:r w:rsidR="00754506" w:rsidRPr="00EF1E3A">
        <w:rPr>
          <w:rFonts w:cstheme="minorHAnsi"/>
          <w:color w:val="000000" w:themeColor="text1"/>
          <w:sz w:val="22"/>
          <w:szCs w:val="22"/>
        </w:rPr>
        <w:t>adult safeguarding legal frameworks</w:t>
      </w:r>
      <w:r w:rsidRPr="00EF1E3A">
        <w:rPr>
          <w:rFonts w:cstheme="minorHAnsi"/>
          <w:color w:val="000000" w:themeColor="text1"/>
          <w:sz w:val="22"/>
          <w:szCs w:val="22"/>
        </w:rPr>
        <w:t xml:space="preserve">. </w:t>
      </w:r>
      <w:r w:rsidRPr="00EF1E3A">
        <w:rPr>
          <w:rFonts w:cstheme="minorHAnsi"/>
          <w:color w:val="000000" w:themeColor="text1"/>
          <w:sz w:val="22"/>
          <w:szCs w:val="22"/>
          <w:lang w:val="en-US"/>
        </w:rPr>
        <w:t xml:space="preserve">In the second half of the paper </w:t>
      </w:r>
      <w:r w:rsidRPr="00EF1E3A">
        <w:rPr>
          <w:rFonts w:cstheme="minorHAnsi"/>
          <w:color w:val="000000" w:themeColor="text1"/>
          <w:sz w:val="22"/>
          <w:szCs w:val="22"/>
        </w:rPr>
        <w:t>I suggested that this could be achieved through stronger safeguarding provisions, guided by five core principles. The aim of this change would be to facilitate a move away from the MCA and to provide social workers with the protection and legitimacy to support ‘risky’ decision-making. Whilst the interaction of the MCA and Care Act undoubtedly provides local authorities with some flexibility and provides court authorisation to legitimate decisions</w:t>
      </w:r>
      <w:r w:rsidR="00754506" w:rsidRPr="00EF1E3A">
        <w:rPr>
          <w:rFonts w:cstheme="minorHAnsi"/>
          <w:color w:val="000000" w:themeColor="text1"/>
          <w:sz w:val="22"/>
          <w:szCs w:val="22"/>
        </w:rPr>
        <w:t xml:space="preserve"> in what are no doubt challenging social work cases</w:t>
      </w:r>
      <w:r w:rsidRPr="00EF1E3A">
        <w:rPr>
          <w:rFonts w:cstheme="minorHAnsi"/>
          <w:color w:val="000000" w:themeColor="text1"/>
          <w:sz w:val="22"/>
          <w:szCs w:val="22"/>
        </w:rPr>
        <w:t>, resorting to law can also control vulnerable victims of abuse without</w:t>
      </w:r>
      <w:r w:rsidR="00754506" w:rsidRPr="00EF1E3A">
        <w:rPr>
          <w:rFonts w:cstheme="minorHAnsi"/>
          <w:color w:val="000000" w:themeColor="text1"/>
          <w:sz w:val="22"/>
          <w:szCs w:val="22"/>
        </w:rPr>
        <w:t xml:space="preserve"> empowering</w:t>
      </w:r>
      <w:r w:rsidRPr="00EF1E3A">
        <w:rPr>
          <w:rFonts w:cstheme="minorHAnsi"/>
          <w:color w:val="000000" w:themeColor="text1"/>
          <w:sz w:val="22"/>
          <w:szCs w:val="22"/>
        </w:rPr>
        <w:t xml:space="preserve"> social workers </w:t>
      </w:r>
      <w:r w:rsidR="00754506" w:rsidRPr="00EF1E3A">
        <w:rPr>
          <w:rFonts w:cstheme="minorHAnsi"/>
          <w:color w:val="000000" w:themeColor="text1"/>
          <w:sz w:val="22"/>
          <w:szCs w:val="22"/>
        </w:rPr>
        <w:t xml:space="preserve">to </w:t>
      </w:r>
      <w:r w:rsidRPr="00EF1E3A">
        <w:rPr>
          <w:rFonts w:cstheme="minorHAnsi"/>
          <w:color w:val="000000" w:themeColor="text1"/>
          <w:sz w:val="22"/>
          <w:szCs w:val="22"/>
        </w:rPr>
        <w:t>intervene through support</w:t>
      </w:r>
      <w:r w:rsidR="007B60EE" w:rsidRPr="00EF1E3A">
        <w:rPr>
          <w:rFonts w:cstheme="minorHAnsi"/>
          <w:color w:val="000000" w:themeColor="text1"/>
          <w:sz w:val="22"/>
          <w:szCs w:val="22"/>
        </w:rPr>
        <w:t>-</w:t>
      </w:r>
      <w:r w:rsidRPr="00EF1E3A">
        <w:rPr>
          <w:rFonts w:cstheme="minorHAnsi"/>
          <w:color w:val="000000" w:themeColor="text1"/>
          <w:sz w:val="22"/>
          <w:szCs w:val="22"/>
        </w:rPr>
        <w:t xml:space="preserve">based responses. </w:t>
      </w:r>
    </w:p>
    <w:p w14:paraId="1B1847CA" w14:textId="77777777" w:rsidR="000E0EC5" w:rsidRPr="00EF1E3A" w:rsidRDefault="000E0EC5" w:rsidP="005E4DC1">
      <w:pPr>
        <w:widowControl w:val="0"/>
        <w:autoSpaceDE w:val="0"/>
        <w:autoSpaceDN w:val="0"/>
        <w:adjustRightInd w:val="0"/>
        <w:spacing w:line="360" w:lineRule="auto"/>
        <w:contextualSpacing/>
        <w:jc w:val="both"/>
        <w:rPr>
          <w:rFonts w:cstheme="minorHAnsi"/>
          <w:color w:val="000000" w:themeColor="text1"/>
          <w:sz w:val="22"/>
          <w:szCs w:val="22"/>
        </w:rPr>
      </w:pPr>
    </w:p>
    <w:p w14:paraId="7CC95FC1" w14:textId="5D4D07A1" w:rsidR="000C7019" w:rsidRPr="005E4DC1" w:rsidRDefault="000C7019" w:rsidP="005E4DC1">
      <w:pPr>
        <w:spacing w:line="360" w:lineRule="auto"/>
        <w:contextualSpacing/>
        <w:rPr>
          <w:sz w:val="22"/>
          <w:szCs w:val="22"/>
        </w:rPr>
      </w:pPr>
    </w:p>
    <w:sectPr w:rsidR="000C7019" w:rsidRPr="005E4DC1" w:rsidSect="00D60613">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D7FCFE" w14:textId="77777777" w:rsidR="00C93BC7" w:rsidRDefault="00C93BC7" w:rsidP="000E0EC5">
      <w:r>
        <w:separator/>
      </w:r>
    </w:p>
  </w:endnote>
  <w:endnote w:type="continuationSeparator" w:id="0">
    <w:p w14:paraId="3B5B1CD8" w14:textId="77777777" w:rsidR="00C93BC7" w:rsidRDefault="00C93BC7" w:rsidP="000E0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Times">
    <w:altName w:val="﷽﷽﷽﷽﷽﷽﷽﷽"/>
    <w:panose1 w:val="000000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48147857"/>
      <w:docPartObj>
        <w:docPartGallery w:val="Page Numbers (Bottom of Page)"/>
        <w:docPartUnique/>
      </w:docPartObj>
    </w:sdtPr>
    <w:sdtEndPr>
      <w:rPr>
        <w:rStyle w:val="PageNumber"/>
      </w:rPr>
    </w:sdtEndPr>
    <w:sdtContent>
      <w:p w14:paraId="70159225" w14:textId="77777777" w:rsidR="000C7019" w:rsidRDefault="000C7019" w:rsidP="000C701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48D7C" w14:textId="77777777" w:rsidR="000C7019" w:rsidRDefault="000C7019" w:rsidP="000C70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44001579"/>
      <w:docPartObj>
        <w:docPartGallery w:val="Page Numbers (Bottom of Page)"/>
        <w:docPartUnique/>
      </w:docPartObj>
    </w:sdtPr>
    <w:sdtEndPr>
      <w:rPr>
        <w:rStyle w:val="PageNumber"/>
      </w:rPr>
    </w:sdtEndPr>
    <w:sdtContent>
      <w:p w14:paraId="218E1E83" w14:textId="77777777" w:rsidR="000C7019" w:rsidRDefault="000C7019" w:rsidP="000C7019">
        <w:pPr>
          <w:pStyle w:val="Footer"/>
          <w:framePr w:wrap="none" w:vAnchor="text" w:hAnchor="margin" w:xAlign="right" w:y="1"/>
          <w:rPr>
            <w:rStyle w:val="PageNumber"/>
          </w:rPr>
        </w:pPr>
        <w:r w:rsidRPr="001904D7">
          <w:rPr>
            <w:rStyle w:val="PageNumber"/>
            <w:rFonts w:ascii="Times New Roman" w:hAnsi="Times New Roman" w:cs="Times New Roman"/>
            <w:sz w:val="20"/>
            <w:szCs w:val="20"/>
          </w:rPr>
          <w:fldChar w:fldCharType="begin"/>
        </w:r>
        <w:r w:rsidRPr="001904D7">
          <w:rPr>
            <w:rStyle w:val="PageNumber"/>
            <w:rFonts w:ascii="Times New Roman" w:hAnsi="Times New Roman" w:cs="Times New Roman"/>
            <w:sz w:val="20"/>
            <w:szCs w:val="20"/>
          </w:rPr>
          <w:instrText xml:space="preserve"> PAGE </w:instrText>
        </w:r>
        <w:r w:rsidRPr="001904D7">
          <w:rPr>
            <w:rStyle w:val="PageNumber"/>
            <w:rFonts w:ascii="Times New Roman" w:hAnsi="Times New Roman" w:cs="Times New Roman"/>
            <w:sz w:val="20"/>
            <w:szCs w:val="20"/>
          </w:rPr>
          <w:fldChar w:fldCharType="separate"/>
        </w:r>
        <w:r w:rsidRPr="001904D7">
          <w:rPr>
            <w:rStyle w:val="PageNumber"/>
            <w:rFonts w:ascii="Times New Roman" w:hAnsi="Times New Roman" w:cs="Times New Roman"/>
            <w:noProof/>
            <w:sz w:val="20"/>
            <w:szCs w:val="20"/>
          </w:rPr>
          <w:t>1</w:t>
        </w:r>
        <w:r w:rsidRPr="001904D7">
          <w:rPr>
            <w:rStyle w:val="PageNumber"/>
            <w:rFonts w:ascii="Times New Roman" w:hAnsi="Times New Roman" w:cs="Times New Roman"/>
            <w:sz w:val="20"/>
            <w:szCs w:val="20"/>
          </w:rPr>
          <w:fldChar w:fldCharType="end"/>
        </w:r>
      </w:p>
    </w:sdtContent>
  </w:sdt>
  <w:p w14:paraId="6435500B" w14:textId="77777777" w:rsidR="000C7019" w:rsidRDefault="000C7019" w:rsidP="000C70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76C548" w14:textId="77777777" w:rsidR="00C93BC7" w:rsidRDefault="00C93BC7" w:rsidP="000E0EC5">
      <w:r>
        <w:separator/>
      </w:r>
    </w:p>
  </w:footnote>
  <w:footnote w:type="continuationSeparator" w:id="0">
    <w:p w14:paraId="250865CB" w14:textId="77777777" w:rsidR="00C93BC7" w:rsidRDefault="00C93BC7" w:rsidP="000E0EC5">
      <w:r>
        <w:continuationSeparator/>
      </w:r>
    </w:p>
  </w:footnote>
  <w:footnote w:id="1">
    <w:p w14:paraId="77D763C7" w14:textId="33D4A792" w:rsidR="000C7019" w:rsidRPr="0097268C" w:rsidRDefault="000C7019" w:rsidP="000C7019">
      <w:pPr>
        <w:pStyle w:val="FootnoteText"/>
        <w:jc w:val="both"/>
        <w:rPr>
          <w:color w:val="000000" w:themeColor="text1"/>
          <w:sz w:val="20"/>
          <w:szCs w:val="20"/>
        </w:rPr>
      </w:pPr>
      <w:r w:rsidRPr="0097268C">
        <w:rPr>
          <w:rStyle w:val="FootnoteReference"/>
          <w:color w:val="000000" w:themeColor="text1"/>
          <w:sz w:val="20"/>
          <w:szCs w:val="20"/>
        </w:rPr>
        <w:footnoteRef/>
      </w:r>
      <w:r w:rsidRPr="0097268C">
        <w:rPr>
          <w:color w:val="000000" w:themeColor="text1"/>
          <w:sz w:val="20"/>
          <w:szCs w:val="20"/>
        </w:rPr>
        <w:t xml:space="preserve"> For example, see </w:t>
      </w:r>
      <w:r w:rsidRPr="0097268C">
        <w:rPr>
          <w:rFonts w:cs="Calibri"/>
          <w:color w:val="000000" w:themeColor="text1"/>
          <w:sz w:val="20"/>
          <w:szCs w:val="20"/>
        </w:rPr>
        <w:t xml:space="preserve">Department of Health and Social Care (2020), </w:t>
      </w:r>
      <w:r w:rsidRPr="0097268C">
        <w:rPr>
          <w:rFonts w:cs="Calibri"/>
          <w:i/>
          <w:iCs/>
          <w:color w:val="000000" w:themeColor="text1"/>
          <w:sz w:val="20"/>
          <w:szCs w:val="20"/>
        </w:rPr>
        <w:t>Care Act Statutory Guidance</w:t>
      </w:r>
      <w:r w:rsidRPr="0097268C">
        <w:rPr>
          <w:rFonts w:cs="Calibri"/>
          <w:color w:val="000000" w:themeColor="text1"/>
          <w:sz w:val="20"/>
          <w:szCs w:val="20"/>
        </w:rPr>
        <w:t xml:space="preserve">, </w:t>
      </w:r>
      <w:r>
        <w:rPr>
          <w:rFonts w:cs="Calibri"/>
          <w:color w:val="000000" w:themeColor="text1"/>
          <w:sz w:val="20"/>
          <w:szCs w:val="20"/>
        </w:rPr>
        <w:t>&lt;</w:t>
      </w:r>
      <w:hyperlink r:id="rId1" w:history="1">
        <w:r w:rsidRPr="0097268C">
          <w:rPr>
            <w:rStyle w:val="Hyperlink"/>
            <w:rFonts w:cs="Calibri"/>
            <w:color w:val="000000" w:themeColor="text1"/>
            <w:sz w:val="20"/>
            <w:szCs w:val="20"/>
          </w:rPr>
          <w:t>www.gov.uk/government/publications/care-act-statutory-guidance/care-and-support-statutory-guidance</w:t>
        </w:r>
      </w:hyperlink>
      <w:r>
        <w:rPr>
          <w:rFonts w:cs="Calibri"/>
          <w:color w:val="000000" w:themeColor="text1"/>
          <w:sz w:val="20"/>
          <w:szCs w:val="20"/>
        </w:rPr>
        <w:t xml:space="preserve">&gt; accessed 9 December 2020. </w:t>
      </w:r>
      <w:r w:rsidR="00573F98">
        <w:rPr>
          <w:rFonts w:cs="Calibri"/>
          <w:color w:val="000000" w:themeColor="text1"/>
          <w:sz w:val="20"/>
          <w:szCs w:val="20"/>
        </w:rPr>
        <w:t xml:space="preserve">For an overview, see J </w:t>
      </w:r>
      <w:r w:rsidR="00573F98" w:rsidRPr="00573F98">
        <w:rPr>
          <w:rFonts w:cs="Calibri"/>
          <w:color w:val="000000" w:themeColor="text1"/>
          <w:sz w:val="20"/>
          <w:szCs w:val="20"/>
          <w:lang w:val="en-GB"/>
        </w:rPr>
        <w:t xml:space="preserve">Herring, </w:t>
      </w:r>
      <w:r w:rsidR="00573F98" w:rsidRPr="00573F98">
        <w:rPr>
          <w:rFonts w:cs="Calibri"/>
          <w:i/>
          <w:iCs/>
          <w:color w:val="000000" w:themeColor="text1"/>
          <w:sz w:val="20"/>
          <w:szCs w:val="20"/>
          <w:lang w:val="en-GB"/>
        </w:rPr>
        <w:t>Vulnerable Adults and the Law</w:t>
      </w:r>
      <w:r w:rsidR="00573F98" w:rsidRPr="00573F98">
        <w:rPr>
          <w:rFonts w:cs="Calibri"/>
          <w:color w:val="000000" w:themeColor="text1"/>
          <w:sz w:val="20"/>
          <w:szCs w:val="20"/>
          <w:lang w:val="en-GB"/>
        </w:rPr>
        <w:t xml:space="preserve"> (Oxford University Press 2016)</w:t>
      </w:r>
      <w:r w:rsidR="00573F98">
        <w:rPr>
          <w:rFonts w:cs="Calibri"/>
          <w:color w:val="000000" w:themeColor="text1"/>
          <w:sz w:val="20"/>
          <w:szCs w:val="20"/>
          <w:lang w:val="en-GB"/>
        </w:rPr>
        <w:t>.</w:t>
      </w:r>
    </w:p>
  </w:footnote>
  <w:footnote w:id="2">
    <w:p w14:paraId="1D1BCDC5" w14:textId="4BDA4A16" w:rsidR="000C7019" w:rsidRPr="0097268C" w:rsidRDefault="000C7019">
      <w:pPr>
        <w:pStyle w:val="FootnoteText"/>
        <w:rPr>
          <w:sz w:val="20"/>
          <w:szCs w:val="20"/>
          <w:lang w:val="en-GB"/>
        </w:rPr>
      </w:pPr>
      <w:r w:rsidRPr="0097268C">
        <w:rPr>
          <w:rStyle w:val="FootnoteReference"/>
          <w:sz w:val="20"/>
          <w:szCs w:val="20"/>
        </w:rPr>
        <w:footnoteRef/>
      </w:r>
      <w:r w:rsidRPr="0097268C">
        <w:rPr>
          <w:sz w:val="20"/>
          <w:szCs w:val="20"/>
        </w:rPr>
        <w:t xml:space="preserve"> </w:t>
      </w:r>
      <w:r w:rsidRPr="0097268C">
        <w:rPr>
          <w:sz w:val="20"/>
          <w:szCs w:val="20"/>
          <w:lang w:val="en-GB"/>
        </w:rPr>
        <w:t xml:space="preserve">For further analysis of the coercive power of mental capacity law in the CoP, see J </w:t>
      </w:r>
      <w:r w:rsidRPr="0097268C">
        <w:rPr>
          <w:noProof/>
          <w:sz w:val="20"/>
          <w:szCs w:val="20"/>
          <w:lang w:val="en-GB"/>
        </w:rPr>
        <w:t xml:space="preserve">Lindsey, (2020b) ‘Protecting vulnerable adults from abuse: Under-protection and over-protection in adult safeguarding and mental capacity law’ 32 </w:t>
      </w:r>
      <w:r w:rsidRPr="00B3375F">
        <w:rPr>
          <w:iCs/>
          <w:noProof/>
          <w:sz w:val="20"/>
          <w:szCs w:val="20"/>
          <w:lang w:val="en-GB"/>
        </w:rPr>
        <w:t>Child and Family Law Quarterly</w:t>
      </w:r>
      <w:r w:rsidRPr="0097268C">
        <w:rPr>
          <w:noProof/>
          <w:sz w:val="20"/>
          <w:szCs w:val="20"/>
          <w:lang w:val="en-GB"/>
        </w:rPr>
        <w:t xml:space="preserve"> 157</w:t>
      </w:r>
      <w:r w:rsidRPr="0097268C">
        <w:rPr>
          <w:sz w:val="20"/>
          <w:szCs w:val="20"/>
          <w:lang w:val="en-GB"/>
        </w:rPr>
        <w:t>.</w:t>
      </w:r>
    </w:p>
  </w:footnote>
  <w:footnote w:id="3">
    <w:p w14:paraId="4EB1B770" w14:textId="2F5ADBA7"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Ibid</w:t>
      </w:r>
      <w:r w:rsidR="002663C8">
        <w:rPr>
          <w:rFonts w:cs="Calibri"/>
          <w:color w:val="000000" w:themeColor="text1"/>
          <w:sz w:val="20"/>
          <w:szCs w:val="20"/>
        </w:rPr>
        <w:t xml:space="preserve">. The legal framework for Wales is different for safeguarding, albeit the Mental Capacity Act 2005 does apply in England and Wales. </w:t>
      </w:r>
    </w:p>
  </w:footnote>
  <w:footnote w:id="4">
    <w:p w14:paraId="12D7185C" w14:textId="05C43042"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Care Act 2014</w:t>
      </w:r>
      <w:r>
        <w:rPr>
          <w:rFonts w:cs="Calibri"/>
          <w:color w:val="000000" w:themeColor="text1"/>
          <w:sz w:val="20"/>
          <w:szCs w:val="20"/>
        </w:rPr>
        <w:t>, s</w:t>
      </w:r>
      <w:r w:rsidRPr="0097268C">
        <w:rPr>
          <w:rFonts w:cs="Calibri"/>
          <w:color w:val="000000" w:themeColor="text1"/>
          <w:sz w:val="20"/>
          <w:szCs w:val="20"/>
        </w:rPr>
        <w:t xml:space="preserve"> 42 (1)</w:t>
      </w:r>
      <w:r>
        <w:rPr>
          <w:rFonts w:cs="Calibri"/>
          <w:color w:val="000000" w:themeColor="text1"/>
          <w:sz w:val="20"/>
          <w:szCs w:val="20"/>
        </w:rPr>
        <w:t>.</w:t>
      </w:r>
    </w:p>
  </w:footnote>
  <w:footnote w:id="5">
    <w:p w14:paraId="60CE3EA3" w14:textId="64E185FE" w:rsidR="000C7019" w:rsidRPr="0097268C" w:rsidRDefault="000C7019" w:rsidP="000C7019">
      <w:pPr>
        <w:pStyle w:val="FootnoteText"/>
        <w:jc w:val="both"/>
        <w:rPr>
          <w:color w:val="000000" w:themeColor="text1"/>
          <w:sz w:val="20"/>
          <w:szCs w:val="20"/>
          <w:lang w:val="en-GB"/>
        </w:rPr>
      </w:pPr>
      <w:r w:rsidRPr="0097268C">
        <w:rPr>
          <w:rStyle w:val="FootnoteReference"/>
          <w:color w:val="000000" w:themeColor="text1"/>
          <w:sz w:val="20"/>
          <w:szCs w:val="20"/>
        </w:rPr>
        <w:footnoteRef/>
      </w:r>
      <w:r w:rsidRPr="0097268C">
        <w:rPr>
          <w:color w:val="000000" w:themeColor="text1"/>
          <w:sz w:val="20"/>
          <w:szCs w:val="20"/>
        </w:rPr>
        <w:t xml:space="preserve"> J </w:t>
      </w:r>
      <w:r w:rsidRPr="0097268C">
        <w:rPr>
          <w:noProof/>
          <w:color w:val="000000" w:themeColor="text1"/>
          <w:sz w:val="20"/>
          <w:szCs w:val="20"/>
        </w:rPr>
        <w:t xml:space="preserve">Lindsey, ‘Developing Vulnerability: A Situational Response to the Abuse of Women with Mental Disabilities’ (2016) 24 </w:t>
      </w:r>
      <w:r w:rsidRPr="006C5459">
        <w:rPr>
          <w:iCs/>
          <w:noProof/>
          <w:color w:val="000000" w:themeColor="text1"/>
          <w:sz w:val="20"/>
          <w:szCs w:val="20"/>
        </w:rPr>
        <w:t>Feminist Legal Studies</w:t>
      </w:r>
      <w:r w:rsidRPr="0097268C">
        <w:rPr>
          <w:noProof/>
          <w:color w:val="000000" w:themeColor="text1"/>
          <w:sz w:val="20"/>
          <w:szCs w:val="20"/>
        </w:rPr>
        <w:t xml:space="preserve"> 295; J Lindsey </w:t>
      </w:r>
      <w:r>
        <w:rPr>
          <w:noProof/>
          <w:color w:val="000000" w:themeColor="text1"/>
          <w:sz w:val="20"/>
          <w:szCs w:val="20"/>
        </w:rPr>
        <w:t>(</w:t>
      </w:r>
      <w:r w:rsidRPr="0097268C">
        <w:rPr>
          <w:noProof/>
          <w:color w:val="000000" w:themeColor="text1"/>
          <w:sz w:val="20"/>
          <w:szCs w:val="20"/>
        </w:rPr>
        <w:t>n</w:t>
      </w:r>
      <w:r w:rsidRPr="0097268C">
        <w:rPr>
          <w:noProof/>
          <w:color w:val="000000" w:themeColor="text1"/>
          <w:sz w:val="20"/>
          <w:szCs w:val="20"/>
        </w:rPr>
        <w:fldChar w:fldCharType="begin"/>
      </w:r>
      <w:r w:rsidRPr="0097268C">
        <w:rPr>
          <w:noProof/>
          <w:color w:val="000000" w:themeColor="text1"/>
          <w:sz w:val="20"/>
          <w:szCs w:val="20"/>
        </w:rPr>
        <w:instrText xml:space="preserve"> NOTEREF _Ref58406840 \h  \* MERGEFORMAT </w:instrText>
      </w:r>
      <w:r w:rsidRPr="0097268C">
        <w:rPr>
          <w:noProof/>
          <w:color w:val="000000" w:themeColor="text1"/>
          <w:sz w:val="20"/>
          <w:szCs w:val="20"/>
        </w:rPr>
      </w:r>
      <w:r w:rsidRPr="0097268C">
        <w:rPr>
          <w:noProof/>
          <w:color w:val="000000" w:themeColor="text1"/>
          <w:sz w:val="20"/>
          <w:szCs w:val="20"/>
        </w:rPr>
        <w:fldChar w:fldCharType="separate"/>
      </w:r>
      <w:r w:rsidR="004D19A9">
        <w:rPr>
          <w:noProof/>
          <w:color w:val="000000" w:themeColor="text1"/>
          <w:sz w:val="20"/>
          <w:szCs w:val="20"/>
        </w:rPr>
        <w:t>2</w:t>
      </w:r>
      <w:r w:rsidRPr="0097268C">
        <w:rPr>
          <w:noProof/>
          <w:color w:val="000000" w:themeColor="text1"/>
          <w:sz w:val="20"/>
          <w:szCs w:val="20"/>
        </w:rPr>
        <w:fldChar w:fldCharType="end"/>
      </w:r>
      <w:r>
        <w:rPr>
          <w:noProof/>
          <w:color w:val="000000" w:themeColor="text1"/>
          <w:sz w:val="20"/>
          <w:szCs w:val="20"/>
        </w:rPr>
        <w:t xml:space="preserve">). </w:t>
      </w:r>
    </w:p>
  </w:footnote>
  <w:footnote w:id="6">
    <w:p w14:paraId="6345DC6A" w14:textId="18698EFE" w:rsidR="000C7019" w:rsidRPr="0097268C" w:rsidRDefault="000C7019" w:rsidP="000C7019">
      <w:pPr>
        <w:pStyle w:val="FootnoteText"/>
        <w:jc w:val="both"/>
        <w:rPr>
          <w:color w:val="000000" w:themeColor="text1"/>
          <w:sz w:val="20"/>
          <w:szCs w:val="20"/>
          <w:lang w:val="en-GB"/>
        </w:rPr>
      </w:pPr>
      <w:r w:rsidRPr="0097268C">
        <w:rPr>
          <w:rStyle w:val="FootnoteReference"/>
          <w:color w:val="000000" w:themeColor="text1"/>
          <w:sz w:val="20"/>
          <w:szCs w:val="20"/>
        </w:rPr>
        <w:footnoteRef/>
      </w:r>
      <w:r w:rsidRPr="0097268C">
        <w:rPr>
          <w:color w:val="000000" w:themeColor="text1"/>
          <w:sz w:val="20"/>
          <w:szCs w:val="20"/>
        </w:rPr>
        <w:t xml:space="preserve"> MCA</w:t>
      </w:r>
      <w:r>
        <w:rPr>
          <w:color w:val="000000" w:themeColor="text1"/>
          <w:sz w:val="20"/>
          <w:szCs w:val="20"/>
        </w:rPr>
        <w:t>, s 2.</w:t>
      </w:r>
      <w:r w:rsidRPr="0097268C">
        <w:rPr>
          <w:color w:val="000000" w:themeColor="text1"/>
          <w:sz w:val="20"/>
          <w:szCs w:val="20"/>
        </w:rPr>
        <w:t xml:space="preserve"> </w:t>
      </w:r>
    </w:p>
  </w:footnote>
  <w:footnote w:id="7">
    <w:p w14:paraId="0A25A940" w14:textId="7BA57B0C" w:rsidR="000C7019" w:rsidRPr="0097268C" w:rsidRDefault="000C7019" w:rsidP="000C7019">
      <w:pPr>
        <w:pStyle w:val="FootnoteText"/>
        <w:jc w:val="both"/>
        <w:rPr>
          <w:iCs/>
          <w:color w:val="000000" w:themeColor="text1"/>
          <w:sz w:val="20"/>
          <w:szCs w:val="20"/>
        </w:rPr>
      </w:pPr>
      <w:r w:rsidRPr="0097268C">
        <w:rPr>
          <w:rStyle w:val="FootnoteReference"/>
          <w:color w:val="000000" w:themeColor="text1"/>
          <w:sz w:val="20"/>
          <w:szCs w:val="20"/>
        </w:rPr>
        <w:footnoteRef/>
      </w:r>
      <w:r w:rsidRPr="0097268C">
        <w:rPr>
          <w:color w:val="000000" w:themeColor="text1"/>
          <w:sz w:val="20"/>
          <w:szCs w:val="20"/>
        </w:rPr>
        <w:t xml:space="preserve"> </w:t>
      </w:r>
      <w:r w:rsidRPr="0097268C">
        <w:rPr>
          <w:noProof/>
          <w:color w:val="000000" w:themeColor="text1"/>
          <w:sz w:val="20"/>
          <w:szCs w:val="20"/>
        </w:rPr>
        <w:t xml:space="preserve">J Lindsey </w:t>
      </w:r>
      <w:r>
        <w:rPr>
          <w:noProof/>
          <w:color w:val="000000" w:themeColor="text1"/>
          <w:sz w:val="20"/>
          <w:szCs w:val="20"/>
        </w:rPr>
        <w:t>(</w:t>
      </w:r>
      <w:r w:rsidRPr="0097268C">
        <w:rPr>
          <w:noProof/>
          <w:color w:val="000000" w:themeColor="text1"/>
          <w:sz w:val="20"/>
          <w:szCs w:val="20"/>
        </w:rPr>
        <w:t>n</w:t>
      </w:r>
      <w:r w:rsidRPr="0097268C">
        <w:rPr>
          <w:noProof/>
          <w:color w:val="000000" w:themeColor="text1"/>
          <w:sz w:val="20"/>
          <w:szCs w:val="20"/>
        </w:rPr>
        <w:fldChar w:fldCharType="begin"/>
      </w:r>
      <w:r w:rsidRPr="0097268C">
        <w:rPr>
          <w:noProof/>
          <w:color w:val="000000" w:themeColor="text1"/>
          <w:sz w:val="20"/>
          <w:szCs w:val="20"/>
        </w:rPr>
        <w:instrText xml:space="preserve"> NOTEREF _Ref58406840 \h  \* MERGEFORMAT </w:instrText>
      </w:r>
      <w:r w:rsidRPr="0097268C">
        <w:rPr>
          <w:noProof/>
          <w:color w:val="000000" w:themeColor="text1"/>
          <w:sz w:val="20"/>
          <w:szCs w:val="20"/>
        </w:rPr>
      </w:r>
      <w:r w:rsidRPr="0097268C">
        <w:rPr>
          <w:noProof/>
          <w:color w:val="000000" w:themeColor="text1"/>
          <w:sz w:val="20"/>
          <w:szCs w:val="20"/>
        </w:rPr>
        <w:fldChar w:fldCharType="separate"/>
      </w:r>
      <w:r w:rsidR="004D19A9">
        <w:rPr>
          <w:noProof/>
          <w:color w:val="000000" w:themeColor="text1"/>
          <w:sz w:val="20"/>
          <w:szCs w:val="20"/>
        </w:rPr>
        <w:t>2</w:t>
      </w:r>
      <w:r w:rsidRPr="0097268C">
        <w:rPr>
          <w:noProof/>
          <w:color w:val="000000" w:themeColor="text1"/>
          <w:sz w:val="20"/>
          <w:szCs w:val="20"/>
        </w:rPr>
        <w:fldChar w:fldCharType="end"/>
      </w:r>
      <w:r>
        <w:rPr>
          <w:noProof/>
          <w:color w:val="000000" w:themeColor="text1"/>
          <w:sz w:val="20"/>
          <w:szCs w:val="20"/>
        </w:rPr>
        <w:t>)</w:t>
      </w:r>
      <w:r w:rsidRPr="0097268C">
        <w:rPr>
          <w:noProof/>
          <w:color w:val="000000" w:themeColor="text1"/>
          <w:sz w:val="20"/>
          <w:szCs w:val="20"/>
        </w:rPr>
        <w:t xml:space="preserve">; B Clough, ‘New Legal Landscapes: (Re) Constructing the Boundaries of Mental Capacity Law’ (2018) 26 </w:t>
      </w:r>
      <w:r w:rsidRPr="006C5459">
        <w:rPr>
          <w:iCs/>
          <w:noProof/>
          <w:color w:val="000000" w:themeColor="text1"/>
          <w:sz w:val="20"/>
          <w:szCs w:val="20"/>
        </w:rPr>
        <w:t xml:space="preserve">Medical </w:t>
      </w:r>
      <w:r>
        <w:rPr>
          <w:iCs/>
          <w:noProof/>
          <w:color w:val="000000" w:themeColor="text1"/>
          <w:sz w:val="20"/>
          <w:szCs w:val="20"/>
        </w:rPr>
        <w:t>L</w:t>
      </w:r>
      <w:r w:rsidRPr="006C5459">
        <w:rPr>
          <w:iCs/>
          <w:noProof/>
          <w:color w:val="000000" w:themeColor="text1"/>
          <w:sz w:val="20"/>
          <w:szCs w:val="20"/>
        </w:rPr>
        <w:t xml:space="preserve">aw </w:t>
      </w:r>
      <w:r>
        <w:rPr>
          <w:iCs/>
          <w:noProof/>
          <w:color w:val="000000" w:themeColor="text1"/>
          <w:sz w:val="20"/>
          <w:szCs w:val="20"/>
        </w:rPr>
        <w:t>R</w:t>
      </w:r>
      <w:r w:rsidRPr="006C5459">
        <w:rPr>
          <w:iCs/>
          <w:noProof/>
          <w:color w:val="000000" w:themeColor="text1"/>
          <w:sz w:val="20"/>
          <w:szCs w:val="20"/>
        </w:rPr>
        <w:t>eview</w:t>
      </w:r>
      <w:r w:rsidRPr="0097268C">
        <w:rPr>
          <w:i/>
          <w:noProof/>
          <w:color w:val="000000" w:themeColor="text1"/>
          <w:sz w:val="20"/>
          <w:szCs w:val="20"/>
        </w:rPr>
        <w:t xml:space="preserve"> </w:t>
      </w:r>
      <w:r w:rsidRPr="0097268C">
        <w:rPr>
          <w:iCs/>
          <w:noProof/>
          <w:color w:val="000000" w:themeColor="text1"/>
          <w:sz w:val="20"/>
          <w:szCs w:val="20"/>
        </w:rPr>
        <w:t xml:space="preserve">246. </w:t>
      </w:r>
    </w:p>
  </w:footnote>
  <w:footnote w:id="8">
    <w:p w14:paraId="61DAAE73" w14:textId="2453D9FE" w:rsidR="000C7019" w:rsidRPr="00850111" w:rsidRDefault="000C7019" w:rsidP="000C7019">
      <w:pPr>
        <w:pStyle w:val="FootnoteText"/>
        <w:jc w:val="both"/>
        <w:rPr>
          <w:color w:val="000000" w:themeColor="text1"/>
          <w:sz w:val="20"/>
          <w:szCs w:val="20"/>
        </w:rPr>
      </w:pPr>
      <w:r w:rsidRPr="00850111">
        <w:rPr>
          <w:rStyle w:val="FootnoteReference"/>
          <w:color w:val="000000" w:themeColor="text1"/>
          <w:sz w:val="20"/>
          <w:szCs w:val="20"/>
        </w:rPr>
        <w:footnoteRef/>
      </w:r>
      <w:r w:rsidRPr="00850111">
        <w:rPr>
          <w:color w:val="000000" w:themeColor="text1"/>
          <w:sz w:val="20"/>
          <w:szCs w:val="20"/>
        </w:rPr>
        <w:t xml:space="preserve"> </w:t>
      </w:r>
      <w:r w:rsidR="00850111" w:rsidRPr="00850111">
        <w:rPr>
          <w:rFonts w:cs="Calibri"/>
          <w:color w:val="000000" w:themeColor="text1"/>
          <w:sz w:val="20"/>
          <w:szCs w:val="20"/>
        </w:rPr>
        <w:t xml:space="preserve">As part of this research, I also carried out observational research at the CoP, including observing eight cases over 11 hearings, data which are </w:t>
      </w:r>
      <w:proofErr w:type="spellStart"/>
      <w:r w:rsidR="00850111" w:rsidRPr="00850111">
        <w:rPr>
          <w:rFonts w:cs="Calibri"/>
          <w:color w:val="000000" w:themeColor="text1"/>
          <w:sz w:val="20"/>
          <w:szCs w:val="20"/>
        </w:rPr>
        <w:t>analysed</w:t>
      </w:r>
      <w:proofErr w:type="spellEnd"/>
      <w:r w:rsidR="00850111" w:rsidRPr="00850111">
        <w:rPr>
          <w:rFonts w:cs="Calibri"/>
          <w:color w:val="000000" w:themeColor="text1"/>
          <w:sz w:val="20"/>
          <w:szCs w:val="20"/>
        </w:rPr>
        <w:t xml:space="preserve"> in more detail elsewhere and </w:t>
      </w:r>
      <w:r w:rsidRPr="00850111">
        <w:rPr>
          <w:rFonts w:cs="Calibri"/>
          <w:color w:val="000000" w:themeColor="text1"/>
          <w:sz w:val="20"/>
          <w:szCs w:val="20"/>
        </w:rPr>
        <w:t xml:space="preserve">include findings that the subject of proceedings rarely participates in CoP proceedings, that there is a hierarchy of professional evidence in mental capacity law and that CoP interventions can be used to over-protect adults vulnerable to abuse, see J </w:t>
      </w:r>
      <w:r w:rsidRPr="00850111">
        <w:rPr>
          <w:rFonts w:cs="Calibri"/>
          <w:noProof/>
          <w:color w:val="000000" w:themeColor="text1"/>
          <w:sz w:val="20"/>
          <w:szCs w:val="20"/>
        </w:rPr>
        <w:t>Lindsey, ‘Testimonial Injustice and Vulnerability: A Qualitative Analysis of Participation in the Court of Protection’ (2019) 28 Social &amp; Legal Studies 450; J Lindsey, ‘Competing Professional Knowledge Claims About Mental Capacity in the Court of Protection’ (2020a) 28 Medical Law Review 1; J Lindsey (n</w:t>
      </w:r>
      <w:r w:rsidRPr="00850111">
        <w:rPr>
          <w:rFonts w:cs="Calibri"/>
          <w:noProof/>
          <w:color w:val="000000" w:themeColor="text1"/>
          <w:sz w:val="20"/>
          <w:szCs w:val="20"/>
        </w:rPr>
        <w:fldChar w:fldCharType="begin"/>
      </w:r>
      <w:r w:rsidRPr="00850111">
        <w:rPr>
          <w:rFonts w:cs="Calibri"/>
          <w:noProof/>
          <w:color w:val="000000" w:themeColor="text1"/>
          <w:sz w:val="20"/>
          <w:szCs w:val="20"/>
        </w:rPr>
        <w:instrText xml:space="preserve"> NOTEREF _Ref58406840 \h  \* MERGEFORMAT </w:instrText>
      </w:r>
      <w:r w:rsidRPr="00850111">
        <w:rPr>
          <w:rFonts w:cs="Calibri"/>
          <w:noProof/>
          <w:color w:val="000000" w:themeColor="text1"/>
          <w:sz w:val="20"/>
          <w:szCs w:val="20"/>
        </w:rPr>
      </w:r>
      <w:r w:rsidRPr="00850111">
        <w:rPr>
          <w:rFonts w:cs="Calibri"/>
          <w:noProof/>
          <w:color w:val="000000" w:themeColor="text1"/>
          <w:sz w:val="20"/>
          <w:szCs w:val="20"/>
        </w:rPr>
        <w:fldChar w:fldCharType="separate"/>
      </w:r>
      <w:r w:rsidR="004D19A9">
        <w:rPr>
          <w:rFonts w:cs="Calibri"/>
          <w:noProof/>
          <w:color w:val="000000" w:themeColor="text1"/>
          <w:sz w:val="20"/>
          <w:szCs w:val="20"/>
        </w:rPr>
        <w:t>2</w:t>
      </w:r>
      <w:r w:rsidRPr="00850111">
        <w:rPr>
          <w:rFonts w:cs="Calibri"/>
          <w:noProof/>
          <w:color w:val="000000" w:themeColor="text1"/>
          <w:sz w:val="20"/>
          <w:szCs w:val="20"/>
        </w:rPr>
        <w:fldChar w:fldCharType="end"/>
      </w:r>
      <w:r w:rsidRPr="00850111">
        <w:rPr>
          <w:rFonts w:cs="Calibri"/>
          <w:noProof/>
          <w:color w:val="000000" w:themeColor="text1"/>
          <w:sz w:val="20"/>
          <w:szCs w:val="20"/>
        </w:rPr>
        <w:t>).</w:t>
      </w:r>
      <w:r w:rsidR="00850111" w:rsidRPr="00850111">
        <w:rPr>
          <w:rFonts w:cs="Calibri"/>
          <w:color w:val="000000" w:themeColor="text1"/>
          <w:sz w:val="20"/>
          <w:szCs w:val="20"/>
        </w:rPr>
        <w:t xml:space="preserve"> The research was approved by the University of Birmingham Research Ethics Committee and any data referred to in this paper is anonymised and does not refer to the actual names of any of those involved in the research. </w:t>
      </w:r>
    </w:p>
  </w:footnote>
  <w:footnote w:id="9">
    <w:p w14:paraId="1D636671" w14:textId="638815E3" w:rsidR="000C7019" w:rsidRPr="006C5459"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TR </w:t>
      </w:r>
      <w:r w:rsidRPr="0097268C">
        <w:rPr>
          <w:rFonts w:cs="Calibri"/>
          <w:noProof/>
          <w:color w:val="000000" w:themeColor="text1"/>
          <w:sz w:val="20"/>
          <w:szCs w:val="20"/>
        </w:rPr>
        <w:t xml:space="preserve">Tyler, ‘Psychological </w:t>
      </w:r>
      <w:r w:rsidRPr="006C5459">
        <w:rPr>
          <w:rFonts w:cs="Calibri"/>
          <w:noProof/>
          <w:color w:val="000000" w:themeColor="text1"/>
          <w:sz w:val="20"/>
          <w:szCs w:val="20"/>
        </w:rPr>
        <w:t>Perspectives on Legitimacy and Legitimation’ (2006a) 57 Annual Review of Psychology 375</w:t>
      </w:r>
      <w:r w:rsidRPr="006C5459">
        <w:rPr>
          <w:rFonts w:cs="Calibri"/>
          <w:color w:val="000000" w:themeColor="text1"/>
          <w:sz w:val="20"/>
          <w:szCs w:val="20"/>
        </w:rPr>
        <w:t>, 377.</w:t>
      </w:r>
    </w:p>
  </w:footnote>
  <w:footnote w:id="10">
    <w:p w14:paraId="095DCFC6" w14:textId="209F3893" w:rsidR="000C7019" w:rsidRPr="0097268C" w:rsidRDefault="000C7019" w:rsidP="000C7019">
      <w:pPr>
        <w:pStyle w:val="FootnoteText"/>
        <w:contextualSpacing/>
        <w:jc w:val="both"/>
        <w:rPr>
          <w:rFonts w:cs="Calibri"/>
          <w:color w:val="000000" w:themeColor="text1"/>
          <w:sz w:val="20"/>
          <w:szCs w:val="20"/>
          <w:lang w:val="en-GB"/>
        </w:rPr>
      </w:pPr>
      <w:r w:rsidRPr="006C5459">
        <w:rPr>
          <w:rStyle w:val="FootnoteReference"/>
          <w:rFonts w:cs="Calibri"/>
          <w:color w:val="000000" w:themeColor="text1"/>
          <w:sz w:val="20"/>
          <w:szCs w:val="20"/>
        </w:rPr>
        <w:footnoteRef/>
      </w:r>
      <w:r w:rsidRPr="006C5459">
        <w:rPr>
          <w:rFonts w:cs="Calibri"/>
          <w:color w:val="000000" w:themeColor="text1"/>
          <w:sz w:val="20"/>
          <w:szCs w:val="20"/>
        </w:rPr>
        <w:t xml:space="preserve">J </w:t>
      </w:r>
      <w:r w:rsidRPr="006C5459">
        <w:rPr>
          <w:rFonts w:cs="Calibri"/>
          <w:noProof/>
          <w:color w:val="000000" w:themeColor="text1"/>
          <w:sz w:val="20"/>
          <w:szCs w:val="20"/>
        </w:rPr>
        <w:t>Jackson, B Bradford, M Hough, A Myhill, P Quinton and TR Tyler, ‘Why do People Comply with the Law?: Legitimacy and the Influence of Legal Institutions’ (2012) 52 British Journal of Criminology 1051</w:t>
      </w:r>
      <w:r w:rsidRPr="006C5459">
        <w:rPr>
          <w:rFonts w:cs="Calibri"/>
          <w:color w:val="000000" w:themeColor="text1"/>
          <w:sz w:val="20"/>
          <w:szCs w:val="20"/>
        </w:rPr>
        <w:t>, 1051.</w:t>
      </w:r>
    </w:p>
  </w:footnote>
  <w:footnote w:id="11">
    <w:p w14:paraId="6EF8A6C9" w14:textId="57C963F3"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M </w:t>
      </w:r>
      <w:r w:rsidRPr="0097268C">
        <w:rPr>
          <w:rFonts w:cs="Calibri"/>
          <w:noProof/>
          <w:color w:val="000000" w:themeColor="text1"/>
          <w:sz w:val="20"/>
          <w:szCs w:val="20"/>
        </w:rPr>
        <w:t xml:space="preserve">Foucault, </w:t>
      </w:r>
      <w:r w:rsidRPr="0097268C">
        <w:rPr>
          <w:rFonts w:cs="Calibri"/>
          <w:i/>
          <w:noProof/>
          <w:color w:val="000000" w:themeColor="text1"/>
          <w:sz w:val="20"/>
          <w:szCs w:val="20"/>
        </w:rPr>
        <w:t>Discipline and Punish: The Birth of the Prison</w:t>
      </w:r>
      <w:r w:rsidRPr="0097268C">
        <w:rPr>
          <w:rFonts w:cs="Calibri"/>
          <w:noProof/>
          <w:color w:val="000000" w:themeColor="text1"/>
          <w:sz w:val="20"/>
          <w:szCs w:val="20"/>
        </w:rPr>
        <w:t xml:space="preserve"> (Peregrine 1979); C Smart, </w:t>
      </w:r>
      <w:r w:rsidRPr="0097268C">
        <w:rPr>
          <w:rFonts w:cs="Calibri"/>
          <w:i/>
          <w:noProof/>
          <w:color w:val="000000" w:themeColor="text1"/>
          <w:sz w:val="20"/>
          <w:szCs w:val="20"/>
        </w:rPr>
        <w:t>Feminism and the Power of Law</w:t>
      </w:r>
      <w:r w:rsidRPr="0097268C">
        <w:rPr>
          <w:rFonts w:cs="Calibri"/>
          <w:noProof/>
          <w:color w:val="000000" w:themeColor="text1"/>
          <w:sz w:val="20"/>
          <w:szCs w:val="20"/>
        </w:rPr>
        <w:t xml:space="preserve"> (Routledge 1989).</w:t>
      </w:r>
    </w:p>
  </w:footnote>
  <w:footnote w:id="12">
    <w:p w14:paraId="54234E47" w14:textId="7E54C389" w:rsidR="000C7019" w:rsidRPr="0097268C" w:rsidRDefault="000C7019" w:rsidP="000C7019">
      <w:pPr>
        <w:pStyle w:val="FootnoteText"/>
        <w:jc w:val="both"/>
        <w:rPr>
          <w:color w:val="000000" w:themeColor="text1"/>
          <w:sz w:val="20"/>
          <w:szCs w:val="20"/>
        </w:rPr>
      </w:pPr>
      <w:r w:rsidRPr="0097268C">
        <w:rPr>
          <w:rStyle w:val="FootnoteReference"/>
          <w:color w:val="000000" w:themeColor="text1"/>
          <w:sz w:val="20"/>
          <w:szCs w:val="20"/>
        </w:rPr>
        <w:footnoteRef/>
      </w:r>
      <w:r w:rsidRPr="0097268C">
        <w:rPr>
          <w:color w:val="000000" w:themeColor="text1"/>
          <w:sz w:val="20"/>
          <w:szCs w:val="20"/>
        </w:rPr>
        <w:t xml:space="preserve"> See H. L. A. Hart, </w:t>
      </w:r>
      <w:r w:rsidRPr="006C5459">
        <w:rPr>
          <w:i/>
          <w:iCs/>
          <w:color w:val="000000" w:themeColor="text1"/>
          <w:sz w:val="20"/>
          <w:szCs w:val="20"/>
        </w:rPr>
        <w:t>The Concept of Law</w:t>
      </w:r>
      <w:r w:rsidRPr="0097268C">
        <w:rPr>
          <w:color w:val="000000" w:themeColor="text1"/>
          <w:sz w:val="20"/>
          <w:szCs w:val="20"/>
        </w:rPr>
        <w:t xml:space="preserve"> </w:t>
      </w:r>
      <w:r>
        <w:rPr>
          <w:color w:val="000000" w:themeColor="text1"/>
          <w:sz w:val="20"/>
          <w:szCs w:val="20"/>
        </w:rPr>
        <w:t>(</w:t>
      </w:r>
      <w:r w:rsidRPr="0097268C">
        <w:rPr>
          <w:color w:val="000000" w:themeColor="text1"/>
          <w:sz w:val="20"/>
          <w:szCs w:val="20"/>
        </w:rPr>
        <w:t>Clarendon Press</w:t>
      </w:r>
      <w:r>
        <w:rPr>
          <w:color w:val="000000" w:themeColor="text1"/>
          <w:sz w:val="20"/>
          <w:szCs w:val="20"/>
        </w:rPr>
        <w:t xml:space="preserve"> </w:t>
      </w:r>
      <w:r w:rsidRPr="0097268C">
        <w:rPr>
          <w:color w:val="000000" w:themeColor="text1"/>
          <w:sz w:val="20"/>
          <w:szCs w:val="20"/>
        </w:rPr>
        <w:t>1994</w:t>
      </w:r>
      <w:r>
        <w:rPr>
          <w:color w:val="000000" w:themeColor="text1"/>
          <w:sz w:val="20"/>
          <w:szCs w:val="20"/>
        </w:rPr>
        <w:t>)</w:t>
      </w:r>
      <w:r w:rsidRPr="0097268C">
        <w:rPr>
          <w:color w:val="000000" w:themeColor="text1"/>
          <w:sz w:val="20"/>
          <w:szCs w:val="20"/>
        </w:rPr>
        <w:t xml:space="preserve">; </w:t>
      </w:r>
      <w:r w:rsidRPr="0097268C">
        <w:rPr>
          <w:rFonts w:cs="Calibri"/>
          <w:color w:val="000000" w:themeColor="text1"/>
          <w:sz w:val="20"/>
          <w:szCs w:val="20"/>
        </w:rPr>
        <w:t xml:space="preserve">R </w:t>
      </w:r>
      <w:r w:rsidRPr="0097268C">
        <w:rPr>
          <w:rFonts w:cs="Calibri"/>
          <w:color w:val="000000" w:themeColor="text1"/>
          <w:sz w:val="20"/>
          <w:szCs w:val="20"/>
          <w:lang w:val="en-GB"/>
        </w:rPr>
        <w:t xml:space="preserve">Dworkin, </w:t>
      </w:r>
      <w:r w:rsidRPr="0097268C">
        <w:rPr>
          <w:rFonts w:cs="Calibri"/>
          <w:i/>
          <w:iCs/>
          <w:color w:val="000000" w:themeColor="text1"/>
          <w:sz w:val="20"/>
          <w:szCs w:val="20"/>
          <w:lang w:val="en-GB"/>
        </w:rPr>
        <w:t>Taking Rights Seriously</w:t>
      </w:r>
      <w:r w:rsidRPr="0097268C">
        <w:rPr>
          <w:rFonts w:cs="Calibri"/>
          <w:color w:val="000000" w:themeColor="text1"/>
          <w:sz w:val="20"/>
          <w:szCs w:val="20"/>
          <w:lang w:val="en-GB"/>
        </w:rPr>
        <w:t xml:space="preserve">, </w:t>
      </w:r>
      <w:r>
        <w:rPr>
          <w:rFonts w:cs="Calibri"/>
          <w:color w:val="000000" w:themeColor="text1"/>
          <w:sz w:val="20"/>
          <w:szCs w:val="20"/>
          <w:lang w:val="en-GB"/>
        </w:rPr>
        <w:t>(Harvard University Press 1978)</w:t>
      </w:r>
      <w:r w:rsidRPr="0097268C">
        <w:rPr>
          <w:rFonts w:cs="Calibri"/>
          <w:color w:val="000000" w:themeColor="text1"/>
          <w:sz w:val="20"/>
          <w:szCs w:val="20"/>
          <w:lang w:val="en-GB"/>
        </w:rPr>
        <w:t xml:space="preserve">; R Dworkin, </w:t>
      </w:r>
      <w:r w:rsidRPr="0097268C">
        <w:rPr>
          <w:rFonts w:cs="Calibri"/>
          <w:i/>
          <w:iCs/>
          <w:color w:val="000000" w:themeColor="text1"/>
          <w:sz w:val="20"/>
          <w:szCs w:val="20"/>
          <w:lang w:val="en-GB"/>
        </w:rPr>
        <w:t>Law’s Empire</w:t>
      </w:r>
      <w:r w:rsidRPr="0097268C">
        <w:rPr>
          <w:rFonts w:cs="Calibri"/>
          <w:color w:val="000000" w:themeColor="text1"/>
          <w:sz w:val="20"/>
          <w:szCs w:val="20"/>
          <w:lang w:val="en-GB"/>
        </w:rPr>
        <w:t xml:space="preserve"> </w:t>
      </w:r>
      <w:r>
        <w:rPr>
          <w:rFonts w:cs="Calibri"/>
          <w:color w:val="000000" w:themeColor="text1"/>
          <w:sz w:val="20"/>
          <w:szCs w:val="20"/>
          <w:lang w:val="en-GB"/>
        </w:rPr>
        <w:t>(</w:t>
      </w:r>
      <w:r w:rsidRPr="0097268C">
        <w:rPr>
          <w:rFonts w:cs="Calibri"/>
          <w:color w:val="000000" w:themeColor="text1"/>
          <w:sz w:val="20"/>
          <w:szCs w:val="20"/>
          <w:lang w:val="en-GB"/>
        </w:rPr>
        <w:t>Harvard University Press</w:t>
      </w:r>
      <w:r>
        <w:rPr>
          <w:rFonts w:cs="Calibri"/>
          <w:color w:val="000000" w:themeColor="text1"/>
          <w:sz w:val="20"/>
          <w:szCs w:val="20"/>
          <w:lang w:val="en-GB"/>
        </w:rPr>
        <w:t xml:space="preserve"> 1986)</w:t>
      </w:r>
      <w:r w:rsidRPr="0097268C">
        <w:rPr>
          <w:rFonts w:cs="Calibri"/>
          <w:color w:val="000000" w:themeColor="text1"/>
          <w:sz w:val="20"/>
          <w:szCs w:val="20"/>
          <w:lang w:val="en-GB"/>
        </w:rPr>
        <w:t xml:space="preserve">. For an overview of this topic also see M Freeman, Lloyd’s Introduction to Jurisprudence </w:t>
      </w:r>
      <w:r>
        <w:rPr>
          <w:rFonts w:cs="Calibri"/>
          <w:color w:val="000000" w:themeColor="text1"/>
          <w:sz w:val="20"/>
          <w:szCs w:val="20"/>
          <w:lang w:val="en-GB"/>
        </w:rPr>
        <w:t>(</w:t>
      </w:r>
      <w:r w:rsidRPr="0097268C">
        <w:rPr>
          <w:rFonts w:cs="Calibri"/>
          <w:color w:val="000000" w:themeColor="text1"/>
          <w:sz w:val="20"/>
          <w:szCs w:val="20"/>
          <w:lang w:val="en-GB"/>
        </w:rPr>
        <w:t>Sweet and Maxwell</w:t>
      </w:r>
      <w:r>
        <w:rPr>
          <w:rFonts w:cs="Calibri"/>
          <w:color w:val="000000" w:themeColor="text1"/>
          <w:sz w:val="20"/>
          <w:szCs w:val="20"/>
          <w:lang w:val="en-GB"/>
        </w:rPr>
        <w:t xml:space="preserve"> 2014). </w:t>
      </w:r>
    </w:p>
  </w:footnote>
  <w:footnote w:id="13">
    <w:p w14:paraId="697ECAF0" w14:textId="5312A529" w:rsidR="000C7019" w:rsidRPr="0097268C" w:rsidRDefault="000C7019" w:rsidP="000C7019">
      <w:pPr>
        <w:pStyle w:val="FootnoteText"/>
        <w:jc w:val="both"/>
        <w:rPr>
          <w:color w:val="000000" w:themeColor="text1"/>
          <w:sz w:val="20"/>
          <w:szCs w:val="20"/>
        </w:rPr>
      </w:pPr>
      <w:r w:rsidRPr="0097268C">
        <w:rPr>
          <w:rStyle w:val="FootnoteReference"/>
          <w:color w:val="000000" w:themeColor="text1"/>
          <w:sz w:val="20"/>
          <w:szCs w:val="20"/>
        </w:rPr>
        <w:footnoteRef/>
      </w:r>
      <w:r w:rsidRPr="0097268C">
        <w:rPr>
          <w:color w:val="000000" w:themeColor="text1"/>
          <w:sz w:val="20"/>
          <w:szCs w:val="20"/>
        </w:rPr>
        <w:t xml:space="preserve"> Founded upon foundational arguments made by H. L. A. Hart, ibid.</w:t>
      </w:r>
    </w:p>
  </w:footnote>
  <w:footnote w:id="14">
    <w:p w14:paraId="403C4E87" w14:textId="5F25AF67" w:rsidR="000C7019" w:rsidRPr="0097268C" w:rsidRDefault="000C7019" w:rsidP="000C7019">
      <w:pPr>
        <w:pStyle w:val="FootnoteText"/>
        <w:jc w:val="both"/>
        <w:rPr>
          <w:rFonts w:cs="Calibri"/>
          <w:color w:val="000000" w:themeColor="text1"/>
          <w:sz w:val="20"/>
          <w:szCs w:val="20"/>
          <w:lang w:val="en-GB"/>
        </w:rPr>
      </w:pPr>
      <w:r w:rsidRPr="0097268C">
        <w:rPr>
          <w:rStyle w:val="FootnoteReference"/>
          <w:color w:val="000000" w:themeColor="text1"/>
          <w:sz w:val="20"/>
          <w:szCs w:val="20"/>
        </w:rPr>
        <w:footnoteRef/>
      </w:r>
      <w:r w:rsidRPr="0097268C">
        <w:rPr>
          <w:color w:val="000000" w:themeColor="text1"/>
          <w:sz w:val="20"/>
          <w:szCs w:val="20"/>
        </w:rPr>
        <w:t xml:space="preserve"> </w:t>
      </w:r>
      <w:r w:rsidRPr="0097268C">
        <w:rPr>
          <w:rFonts w:cs="Calibri"/>
          <w:color w:val="000000" w:themeColor="text1"/>
          <w:sz w:val="20"/>
          <w:szCs w:val="20"/>
        </w:rPr>
        <w:t xml:space="preserve">This is despite challenges from anti-positivists that it is law’s moral content that confers legitimacy, for further discussion see R </w:t>
      </w:r>
      <w:r w:rsidRPr="0097268C">
        <w:rPr>
          <w:rFonts w:cs="Calibri"/>
          <w:color w:val="000000" w:themeColor="text1"/>
          <w:sz w:val="20"/>
          <w:szCs w:val="20"/>
          <w:lang w:val="en-GB"/>
        </w:rPr>
        <w:t xml:space="preserve">Dworkin </w:t>
      </w:r>
      <w:r>
        <w:rPr>
          <w:rFonts w:cs="Calibri"/>
          <w:color w:val="000000" w:themeColor="text1"/>
          <w:sz w:val="20"/>
          <w:szCs w:val="20"/>
          <w:lang w:val="en-GB"/>
        </w:rPr>
        <w:t>(</w:t>
      </w:r>
      <w:r w:rsidRPr="0097268C">
        <w:rPr>
          <w:rFonts w:cs="Calibri"/>
          <w:color w:val="000000" w:themeColor="text1"/>
          <w:sz w:val="20"/>
          <w:szCs w:val="20"/>
          <w:lang w:val="en-GB"/>
        </w:rPr>
        <w:t>n</w:t>
      </w:r>
      <w:r w:rsidRPr="0097268C">
        <w:rPr>
          <w:rFonts w:cs="Calibri"/>
          <w:color w:val="000000" w:themeColor="text1"/>
          <w:sz w:val="20"/>
          <w:szCs w:val="20"/>
          <w:lang w:val="en-GB"/>
        </w:rPr>
        <w:fldChar w:fldCharType="begin"/>
      </w:r>
      <w:r w:rsidRPr="0097268C">
        <w:rPr>
          <w:rFonts w:cs="Calibri"/>
          <w:color w:val="000000" w:themeColor="text1"/>
          <w:sz w:val="20"/>
          <w:szCs w:val="20"/>
          <w:lang w:val="en-GB"/>
        </w:rPr>
        <w:instrText xml:space="preserve"> NOTEREF _Ref58407145 \h  \* MERGEFORMAT </w:instrText>
      </w:r>
      <w:r w:rsidRPr="0097268C">
        <w:rPr>
          <w:rFonts w:cs="Calibri"/>
          <w:color w:val="000000" w:themeColor="text1"/>
          <w:sz w:val="20"/>
          <w:szCs w:val="20"/>
          <w:lang w:val="en-GB"/>
        </w:rPr>
      </w:r>
      <w:r w:rsidRPr="0097268C">
        <w:rPr>
          <w:rFonts w:cs="Calibri"/>
          <w:color w:val="000000" w:themeColor="text1"/>
          <w:sz w:val="20"/>
          <w:szCs w:val="20"/>
          <w:lang w:val="en-GB"/>
        </w:rPr>
        <w:fldChar w:fldCharType="separate"/>
      </w:r>
      <w:r w:rsidR="004D19A9">
        <w:rPr>
          <w:rFonts w:cs="Calibri"/>
          <w:color w:val="000000" w:themeColor="text1"/>
          <w:sz w:val="20"/>
          <w:szCs w:val="20"/>
          <w:lang w:val="en-GB"/>
        </w:rPr>
        <w:t>12</w:t>
      </w:r>
      <w:r w:rsidRPr="0097268C">
        <w:rPr>
          <w:rFonts w:cs="Calibri"/>
          <w:color w:val="000000" w:themeColor="text1"/>
          <w:sz w:val="20"/>
          <w:szCs w:val="20"/>
          <w:lang w:val="en-GB"/>
        </w:rPr>
        <w:fldChar w:fldCharType="end"/>
      </w:r>
      <w:r>
        <w:rPr>
          <w:rFonts w:cs="Calibri"/>
          <w:color w:val="000000" w:themeColor="text1"/>
          <w:sz w:val="20"/>
          <w:szCs w:val="20"/>
          <w:lang w:val="en-GB"/>
        </w:rPr>
        <w:t>).</w:t>
      </w:r>
    </w:p>
  </w:footnote>
  <w:footnote w:id="15">
    <w:p w14:paraId="08FFC542" w14:textId="77777777" w:rsidR="006D7B63" w:rsidRPr="0097268C" w:rsidRDefault="006D7B63" w:rsidP="006D7B63">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TR </w:t>
      </w:r>
      <w:r w:rsidRPr="0097268C">
        <w:rPr>
          <w:rFonts w:cs="Calibri"/>
          <w:noProof/>
          <w:color w:val="000000" w:themeColor="text1"/>
          <w:sz w:val="20"/>
          <w:szCs w:val="20"/>
        </w:rPr>
        <w:t xml:space="preserve">Tyler, </w:t>
      </w:r>
      <w:r w:rsidRPr="0097268C">
        <w:rPr>
          <w:rFonts w:cs="Calibri"/>
          <w:i/>
          <w:noProof/>
          <w:color w:val="000000" w:themeColor="text1"/>
          <w:sz w:val="20"/>
          <w:szCs w:val="20"/>
        </w:rPr>
        <w:t>Why People Obey the Law</w:t>
      </w:r>
      <w:r w:rsidRPr="0097268C">
        <w:rPr>
          <w:rFonts w:cs="Calibri"/>
          <w:noProof/>
          <w:color w:val="000000" w:themeColor="text1"/>
          <w:sz w:val="20"/>
          <w:szCs w:val="20"/>
        </w:rPr>
        <w:t xml:space="preserve"> (Princeton University Press 2006b).</w:t>
      </w:r>
    </w:p>
  </w:footnote>
  <w:footnote w:id="16">
    <w:p w14:paraId="743ECB9D" w14:textId="43AB4BB8" w:rsidR="00B07B49" w:rsidRPr="006D7B63" w:rsidRDefault="00B07B49" w:rsidP="00B07B49">
      <w:pPr>
        <w:pStyle w:val="FootnoteText"/>
        <w:rPr>
          <w:sz w:val="20"/>
          <w:szCs w:val="20"/>
        </w:rPr>
      </w:pPr>
      <w:r w:rsidRPr="006D7B63">
        <w:rPr>
          <w:rStyle w:val="FootnoteReference"/>
          <w:sz w:val="20"/>
          <w:szCs w:val="20"/>
        </w:rPr>
        <w:footnoteRef/>
      </w:r>
      <w:r w:rsidRPr="006D7B63">
        <w:rPr>
          <w:sz w:val="20"/>
          <w:szCs w:val="20"/>
        </w:rPr>
        <w:t xml:space="preserve"> See Lindsey (n</w:t>
      </w:r>
      <w:r w:rsidRPr="006D7B63">
        <w:rPr>
          <w:sz w:val="20"/>
          <w:szCs w:val="20"/>
        </w:rPr>
        <w:fldChar w:fldCharType="begin"/>
      </w:r>
      <w:r w:rsidRPr="006D7B63">
        <w:rPr>
          <w:sz w:val="20"/>
          <w:szCs w:val="20"/>
        </w:rPr>
        <w:instrText xml:space="preserve"> NOTEREF _Ref58407175 \h </w:instrText>
      </w:r>
      <w:r>
        <w:rPr>
          <w:sz w:val="20"/>
          <w:szCs w:val="20"/>
        </w:rPr>
        <w:instrText xml:space="preserve"> \* MERGEFORMAT </w:instrText>
      </w:r>
      <w:r w:rsidRPr="006D7B63">
        <w:rPr>
          <w:sz w:val="20"/>
          <w:szCs w:val="20"/>
        </w:rPr>
      </w:r>
      <w:r w:rsidRPr="006D7B63">
        <w:rPr>
          <w:sz w:val="20"/>
          <w:szCs w:val="20"/>
        </w:rPr>
        <w:fldChar w:fldCharType="separate"/>
      </w:r>
      <w:r w:rsidR="004D19A9">
        <w:rPr>
          <w:sz w:val="20"/>
          <w:szCs w:val="20"/>
        </w:rPr>
        <w:t>8</w:t>
      </w:r>
      <w:r w:rsidRPr="006D7B63">
        <w:rPr>
          <w:sz w:val="20"/>
          <w:szCs w:val="20"/>
        </w:rPr>
        <w:fldChar w:fldCharType="end"/>
      </w:r>
      <w:r w:rsidRPr="006D7B63">
        <w:rPr>
          <w:sz w:val="20"/>
          <w:szCs w:val="20"/>
        </w:rPr>
        <w:t>)</w:t>
      </w:r>
      <w:r>
        <w:rPr>
          <w:sz w:val="20"/>
          <w:szCs w:val="20"/>
        </w:rPr>
        <w:t xml:space="preserve"> for a full justification of the argument that mental capacity law characterizes social work as a subjective knowledge claim. </w:t>
      </w:r>
    </w:p>
  </w:footnote>
  <w:footnote w:id="17">
    <w:p w14:paraId="02EF963F" w14:textId="36BF0749"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M </w:t>
      </w:r>
      <w:r w:rsidRPr="0097268C">
        <w:rPr>
          <w:rFonts w:cs="Calibri"/>
          <w:noProof/>
          <w:color w:val="000000" w:themeColor="text1"/>
          <w:sz w:val="20"/>
          <w:szCs w:val="20"/>
        </w:rPr>
        <w:t xml:space="preserve">Thomson, ‘Abortion Law and Professional Boundaries’(2013)  22 </w:t>
      </w:r>
      <w:r w:rsidRPr="00B022C2">
        <w:rPr>
          <w:rFonts w:cs="Calibri"/>
          <w:iCs/>
          <w:noProof/>
          <w:color w:val="000000" w:themeColor="text1"/>
          <w:sz w:val="20"/>
          <w:szCs w:val="20"/>
        </w:rPr>
        <w:t>Social &amp; Legal Studies</w:t>
      </w:r>
      <w:r w:rsidRPr="0097268C">
        <w:rPr>
          <w:rFonts w:cs="Calibri"/>
          <w:noProof/>
          <w:color w:val="000000" w:themeColor="text1"/>
          <w:sz w:val="20"/>
          <w:szCs w:val="20"/>
        </w:rPr>
        <w:t xml:space="preserve"> 191</w:t>
      </w:r>
      <w:r w:rsidRPr="0097268C">
        <w:rPr>
          <w:rFonts w:cs="Calibri"/>
          <w:color w:val="000000" w:themeColor="text1"/>
          <w:sz w:val="20"/>
          <w:szCs w:val="20"/>
        </w:rPr>
        <w:t>, 194.</w:t>
      </w:r>
    </w:p>
  </w:footnote>
  <w:footnote w:id="18">
    <w:p w14:paraId="3C63AD27" w14:textId="06D7BD72"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See the comparison between medical professionals and social work, </w:t>
      </w:r>
      <w:r w:rsidRPr="0097268C">
        <w:rPr>
          <w:rFonts w:cs="Calibri"/>
          <w:noProof/>
          <w:color w:val="000000" w:themeColor="text1"/>
          <w:sz w:val="20"/>
          <w:szCs w:val="20"/>
        </w:rPr>
        <w:t xml:space="preserve">J Lindsey (2020a) </w:t>
      </w:r>
      <w:r>
        <w:rPr>
          <w:rFonts w:cs="Calibri"/>
          <w:noProof/>
          <w:color w:val="000000" w:themeColor="text1"/>
          <w:sz w:val="20"/>
          <w:szCs w:val="20"/>
        </w:rPr>
        <w:t>(</w:t>
      </w:r>
      <w:r w:rsidRPr="0097268C">
        <w:rPr>
          <w:rFonts w:cs="Calibri"/>
          <w:noProof/>
          <w:color w:val="000000" w:themeColor="text1"/>
          <w:sz w:val="20"/>
          <w:szCs w:val="20"/>
        </w:rPr>
        <w:t>n</w:t>
      </w:r>
      <w:r w:rsidRPr="0097268C">
        <w:rPr>
          <w:rFonts w:cs="Calibri"/>
          <w:noProof/>
          <w:color w:val="000000" w:themeColor="text1"/>
          <w:sz w:val="20"/>
          <w:szCs w:val="20"/>
        </w:rPr>
        <w:fldChar w:fldCharType="begin"/>
      </w:r>
      <w:r w:rsidRPr="0097268C">
        <w:rPr>
          <w:rFonts w:cs="Calibri"/>
          <w:noProof/>
          <w:color w:val="000000" w:themeColor="text1"/>
          <w:sz w:val="20"/>
          <w:szCs w:val="20"/>
        </w:rPr>
        <w:instrText xml:space="preserve"> NOTEREF _Ref58407175 \h  \* MERGEFORMAT </w:instrText>
      </w:r>
      <w:r w:rsidRPr="0097268C">
        <w:rPr>
          <w:rFonts w:cs="Calibri"/>
          <w:noProof/>
          <w:color w:val="000000" w:themeColor="text1"/>
          <w:sz w:val="20"/>
          <w:szCs w:val="20"/>
        </w:rPr>
      </w:r>
      <w:r w:rsidRPr="0097268C">
        <w:rPr>
          <w:rFonts w:cs="Calibri"/>
          <w:noProof/>
          <w:color w:val="000000" w:themeColor="text1"/>
          <w:sz w:val="20"/>
          <w:szCs w:val="20"/>
        </w:rPr>
        <w:fldChar w:fldCharType="separate"/>
      </w:r>
      <w:r w:rsidR="004D19A9">
        <w:rPr>
          <w:rFonts w:cs="Calibri"/>
          <w:noProof/>
          <w:color w:val="000000" w:themeColor="text1"/>
          <w:sz w:val="20"/>
          <w:szCs w:val="20"/>
        </w:rPr>
        <w:t>8</w:t>
      </w:r>
      <w:r w:rsidRPr="0097268C">
        <w:rPr>
          <w:rFonts w:cs="Calibri"/>
          <w:noProof/>
          <w:color w:val="000000" w:themeColor="text1"/>
          <w:sz w:val="20"/>
          <w:szCs w:val="20"/>
        </w:rPr>
        <w:fldChar w:fldCharType="end"/>
      </w:r>
      <w:r>
        <w:rPr>
          <w:rFonts w:cs="Calibri"/>
          <w:noProof/>
          <w:color w:val="000000" w:themeColor="text1"/>
          <w:sz w:val="20"/>
          <w:szCs w:val="20"/>
        </w:rPr>
        <w:t>).</w:t>
      </w:r>
    </w:p>
  </w:footnote>
  <w:footnote w:id="19">
    <w:p w14:paraId="56F688D6" w14:textId="1D8B7F74" w:rsidR="000C7019" w:rsidRPr="000C7019" w:rsidRDefault="000C7019" w:rsidP="000C7019">
      <w:pPr>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International Federation of Social Workers (2014) </w:t>
      </w:r>
      <w:r w:rsidRPr="0097268C">
        <w:rPr>
          <w:rFonts w:cs="Calibri"/>
          <w:i/>
          <w:color w:val="000000" w:themeColor="text1"/>
          <w:sz w:val="20"/>
          <w:szCs w:val="20"/>
        </w:rPr>
        <w:t>Global Definition of Social Work</w:t>
      </w:r>
      <w:r w:rsidRPr="0097268C">
        <w:rPr>
          <w:rFonts w:cs="Calibri"/>
          <w:color w:val="000000" w:themeColor="text1"/>
          <w:sz w:val="20"/>
          <w:szCs w:val="20"/>
        </w:rPr>
        <w:t>,</w:t>
      </w:r>
      <w:r>
        <w:rPr>
          <w:rFonts w:cs="Calibri"/>
          <w:color w:val="000000" w:themeColor="text1"/>
          <w:sz w:val="20"/>
          <w:szCs w:val="20"/>
        </w:rPr>
        <w:t xml:space="preserve"> &lt;</w:t>
      </w:r>
      <w:hyperlink r:id="rId2" w:history="1">
        <w:r w:rsidRPr="0097268C">
          <w:rPr>
            <w:rStyle w:val="Hyperlink"/>
            <w:rFonts w:cs="Calibri"/>
            <w:color w:val="000000" w:themeColor="text1"/>
            <w:sz w:val="20"/>
            <w:szCs w:val="20"/>
          </w:rPr>
          <w:t>www.ifsw.org/policies/definition-of-social-work</w:t>
        </w:r>
      </w:hyperlink>
      <w:r>
        <w:rPr>
          <w:rStyle w:val="Hyperlink"/>
          <w:rFonts w:cs="Calibri"/>
          <w:color w:val="000000" w:themeColor="text1"/>
          <w:sz w:val="20"/>
          <w:szCs w:val="20"/>
        </w:rPr>
        <w:t>&gt;</w:t>
      </w:r>
      <w:r>
        <w:rPr>
          <w:rStyle w:val="Hyperlink"/>
          <w:rFonts w:cs="Calibri"/>
          <w:color w:val="000000" w:themeColor="text1"/>
          <w:sz w:val="20"/>
          <w:szCs w:val="20"/>
          <w:u w:val="none"/>
        </w:rPr>
        <w:t xml:space="preserve"> accessed 9 December 2020. </w:t>
      </w:r>
    </w:p>
  </w:footnote>
  <w:footnote w:id="20">
    <w:p w14:paraId="4AEC5827" w14:textId="13B8B540"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C </w:t>
      </w:r>
      <w:r w:rsidRPr="0097268C">
        <w:rPr>
          <w:rFonts w:cs="Calibri"/>
          <w:noProof/>
          <w:color w:val="000000" w:themeColor="text1"/>
          <w:sz w:val="20"/>
          <w:szCs w:val="20"/>
        </w:rPr>
        <w:t xml:space="preserve">Whittington, ‘The Promised Liberation of Adult Social Work under England’s 2014 Care Act: Genuine Prospect or False Prospectus?’ (2016) 46 </w:t>
      </w:r>
      <w:r w:rsidRPr="00B022C2">
        <w:rPr>
          <w:rFonts w:cs="Calibri"/>
          <w:iCs/>
          <w:noProof/>
          <w:color w:val="000000" w:themeColor="text1"/>
          <w:sz w:val="20"/>
          <w:szCs w:val="20"/>
        </w:rPr>
        <w:t>British Journal of Social Work</w:t>
      </w:r>
      <w:r w:rsidRPr="0097268C">
        <w:rPr>
          <w:rFonts w:cs="Calibri"/>
          <w:noProof/>
          <w:color w:val="000000" w:themeColor="text1"/>
          <w:sz w:val="20"/>
          <w:szCs w:val="20"/>
        </w:rPr>
        <w:t xml:space="preserve"> 1942</w:t>
      </w:r>
      <w:r w:rsidRPr="0097268C">
        <w:rPr>
          <w:rFonts w:cs="Calibri"/>
          <w:color w:val="000000" w:themeColor="text1"/>
          <w:sz w:val="20"/>
          <w:szCs w:val="20"/>
        </w:rPr>
        <w:t>, 1953.</w:t>
      </w:r>
    </w:p>
  </w:footnote>
  <w:footnote w:id="21">
    <w:p w14:paraId="67FEA4E9" w14:textId="5AA28E78" w:rsidR="000C7019" w:rsidRPr="0097268C" w:rsidRDefault="000C7019">
      <w:pPr>
        <w:pStyle w:val="FootnoteText"/>
        <w:rPr>
          <w:sz w:val="20"/>
          <w:szCs w:val="20"/>
        </w:rPr>
      </w:pPr>
      <w:r w:rsidRPr="0097268C">
        <w:rPr>
          <w:rStyle w:val="FootnoteReference"/>
          <w:sz w:val="20"/>
          <w:szCs w:val="20"/>
        </w:rPr>
        <w:footnoteRef/>
      </w:r>
      <w:r w:rsidRPr="0097268C">
        <w:rPr>
          <w:sz w:val="20"/>
          <w:szCs w:val="20"/>
        </w:rPr>
        <w:t xml:space="preserve"> </w:t>
      </w:r>
      <w:r w:rsidR="00717A86">
        <w:rPr>
          <w:sz w:val="20"/>
          <w:szCs w:val="20"/>
        </w:rPr>
        <w:t xml:space="preserve">See </w:t>
      </w:r>
      <w:r w:rsidRPr="0097268C">
        <w:rPr>
          <w:sz w:val="20"/>
          <w:szCs w:val="20"/>
        </w:rPr>
        <w:t xml:space="preserve">P </w:t>
      </w:r>
      <w:r w:rsidRPr="0097268C">
        <w:rPr>
          <w:noProof/>
          <w:sz w:val="20"/>
          <w:szCs w:val="20"/>
        </w:rPr>
        <w:t xml:space="preserve">Trevithick, </w:t>
      </w:r>
      <w:r w:rsidRPr="0097268C">
        <w:rPr>
          <w:i/>
          <w:noProof/>
          <w:sz w:val="20"/>
          <w:szCs w:val="20"/>
        </w:rPr>
        <w:t>Social Work Skills: A Practice Handbook</w:t>
      </w:r>
      <w:r w:rsidRPr="0097268C">
        <w:rPr>
          <w:noProof/>
          <w:sz w:val="20"/>
          <w:szCs w:val="20"/>
        </w:rPr>
        <w:t xml:space="preserve"> (Open University Press 2005); C Whittington, ‘The Promised Liberation of Adult Social Work under England’s 2014 Care Act: Genuine Prospect or False Prospectus?’ (2016) 46 </w:t>
      </w:r>
      <w:r w:rsidRPr="00B022C2">
        <w:rPr>
          <w:iCs/>
          <w:noProof/>
          <w:sz w:val="20"/>
          <w:szCs w:val="20"/>
        </w:rPr>
        <w:t>British Journal of Social Work 1942; A Keeling, ‘‘Organising objects’: Adult safeguarding practice and article 16 of the United Nations Convention on the Rights of Persons with Disabilities’ (2017) 53 International Journal of Law and Psychiatry 77.</w:t>
      </w:r>
    </w:p>
  </w:footnote>
  <w:footnote w:id="22">
    <w:p w14:paraId="2F096932" w14:textId="604B2B19"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noProof/>
          <w:color w:val="000000" w:themeColor="text1"/>
          <w:sz w:val="20"/>
          <w:szCs w:val="20"/>
        </w:rPr>
        <w:t xml:space="preserve"> J Lindsey (2020b) </w:t>
      </w:r>
      <w:r>
        <w:rPr>
          <w:rFonts w:cs="Calibri"/>
          <w:noProof/>
          <w:color w:val="000000" w:themeColor="text1"/>
          <w:sz w:val="20"/>
          <w:szCs w:val="20"/>
        </w:rPr>
        <w:t>(</w:t>
      </w:r>
      <w:r w:rsidRPr="0097268C">
        <w:rPr>
          <w:rFonts w:cs="Calibri"/>
          <w:noProof/>
          <w:color w:val="000000" w:themeColor="text1"/>
          <w:sz w:val="20"/>
          <w:szCs w:val="20"/>
        </w:rPr>
        <w:t>n</w:t>
      </w:r>
      <w:r w:rsidRPr="0097268C">
        <w:rPr>
          <w:rFonts w:cs="Calibri"/>
          <w:noProof/>
          <w:color w:val="000000" w:themeColor="text1"/>
          <w:sz w:val="20"/>
          <w:szCs w:val="20"/>
        </w:rPr>
        <w:fldChar w:fldCharType="begin"/>
      </w:r>
      <w:r w:rsidRPr="0097268C">
        <w:rPr>
          <w:rFonts w:cs="Calibri"/>
          <w:noProof/>
          <w:color w:val="000000" w:themeColor="text1"/>
          <w:sz w:val="20"/>
          <w:szCs w:val="20"/>
        </w:rPr>
        <w:instrText xml:space="preserve"> NOTEREF _Ref58407175 \h  \* MERGEFORMAT </w:instrText>
      </w:r>
      <w:r w:rsidRPr="0097268C">
        <w:rPr>
          <w:rFonts w:cs="Calibri"/>
          <w:noProof/>
          <w:color w:val="000000" w:themeColor="text1"/>
          <w:sz w:val="20"/>
          <w:szCs w:val="20"/>
        </w:rPr>
      </w:r>
      <w:r w:rsidRPr="0097268C">
        <w:rPr>
          <w:rFonts w:cs="Calibri"/>
          <w:noProof/>
          <w:color w:val="000000" w:themeColor="text1"/>
          <w:sz w:val="20"/>
          <w:szCs w:val="20"/>
        </w:rPr>
        <w:fldChar w:fldCharType="separate"/>
      </w:r>
      <w:r w:rsidR="004D19A9">
        <w:rPr>
          <w:rFonts w:cs="Calibri"/>
          <w:noProof/>
          <w:color w:val="000000" w:themeColor="text1"/>
          <w:sz w:val="20"/>
          <w:szCs w:val="20"/>
        </w:rPr>
        <w:t>8</w:t>
      </w:r>
      <w:r w:rsidRPr="0097268C">
        <w:rPr>
          <w:rFonts w:cs="Calibri"/>
          <w:noProof/>
          <w:color w:val="000000" w:themeColor="text1"/>
          <w:sz w:val="20"/>
          <w:szCs w:val="20"/>
        </w:rPr>
        <w:fldChar w:fldCharType="end"/>
      </w:r>
      <w:r>
        <w:rPr>
          <w:rFonts w:cs="Calibri"/>
          <w:noProof/>
          <w:color w:val="000000" w:themeColor="text1"/>
          <w:sz w:val="20"/>
          <w:szCs w:val="20"/>
        </w:rPr>
        <w:t xml:space="preserve">), </w:t>
      </w:r>
      <w:r w:rsidRPr="0097268C">
        <w:rPr>
          <w:rFonts w:cs="Calibri"/>
          <w:color w:val="000000" w:themeColor="text1"/>
          <w:sz w:val="20"/>
          <w:szCs w:val="20"/>
        </w:rPr>
        <w:t>2.</w:t>
      </w:r>
    </w:p>
  </w:footnote>
  <w:footnote w:id="23">
    <w:p w14:paraId="171561E2" w14:textId="77777777" w:rsidR="000C7019" w:rsidRPr="0097268C" w:rsidRDefault="000C7019" w:rsidP="000C7019">
      <w:pPr>
        <w:autoSpaceDE w:val="0"/>
        <w:autoSpaceDN w:val="0"/>
        <w:adjustRightInd w:val="0"/>
        <w:contextualSpacing/>
        <w:jc w:val="both"/>
        <w:rPr>
          <w:rFonts w:cs="Calibri"/>
          <w:color w:val="000000" w:themeColor="text1"/>
          <w:sz w:val="20"/>
          <w:szCs w:val="20"/>
          <w:lang w:val="en-US"/>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color w:val="000000" w:themeColor="text1"/>
          <w:sz w:val="20"/>
          <w:szCs w:val="20"/>
          <w:lang w:val="en-US"/>
        </w:rPr>
        <w:t>Sarah: qualified social worker. Experience in an adult safeguarding enquiry team for four years.</w:t>
      </w:r>
    </w:p>
  </w:footnote>
  <w:footnote w:id="24">
    <w:p w14:paraId="2A58CFDA" w14:textId="77777777" w:rsidR="000C7019" w:rsidRPr="0097268C" w:rsidRDefault="000C7019" w:rsidP="000C7019">
      <w:pPr>
        <w:autoSpaceDE w:val="0"/>
        <w:autoSpaceDN w:val="0"/>
        <w:adjustRightInd w:val="0"/>
        <w:contextualSpacing/>
        <w:jc w:val="both"/>
        <w:rPr>
          <w:rFonts w:cs="Calibri"/>
          <w:color w:val="000000" w:themeColor="text1"/>
          <w:sz w:val="20"/>
          <w:szCs w:val="20"/>
          <w:lang w:val="en-US"/>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color w:val="000000" w:themeColor="text1"/>
          <w:sz w:val="20"/>
          <w:szCs w:val="20"/>
          <w:lang w:val="en-US"/>
        </w:rPr>
        <w:t>David: qualified social worker since 2009 with experience of working primarily with older adults with mental health needs.</w:t>
      </w:r>
    </w:p>
  </w:footnote>
  <w:footnote w:id="25">
    <w:p w14:paraId="2C2AB33E" w14:textId="77777777" w:rsidR="000C7019" w:rsidRPr="0097268C" w:rsidRDefault="000C7019" w:rsidP="000C7019">
      <w:pPr>
        <w:autoSpaceDE w:val="0"/>
        <w:autoSpaceDN w:val="0"/>
        <w:adjustRightInd w:val="0"/>
        <w:contextualSpacing/>
        <w:jc w:val="both"/>
        <w:rPr>
          <w:rFonts w:cs="Calibri"/>
          <w:color w:val="000000" w:themeColor="text1"/>
          <w:sz w:val="20"/>
          <w:szCs w:val="20"/>
          <w:lang w:val="en-US"/>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color w:val="000000" w:themeColor="text1"/>
          <w:sz w:val="20"/>
          <w:szCs w:val="20"/>
          <w:lang w:val="en-US"/>
        </w:rPr>
        <w:t>Robert: qualified social worker. Manager of a learning disability team in a local authority for six years during which time the MCA came into force and subsequently a manager for a transition social work team for a local authority for 18 months.</w:t>
      </w:r>
    </w:p>
  </w:footnote>
  <w:footnote w:id="26">
    <w:p w14:paraId="7D2B0B37" w14:textId="3EC149C1"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Albeit that some have rightly questioned where this ‘empowering ethos’ came from given what the MCA actually does is to allow courts to intervene and make decisions on a person’s behalf, even against their wishes, see L </w:t>
      </w:r>
      <w:r w:rsidRPr="0097268C">
        <w:rPr>
          <w:rFonts w:cs="Calibri"/>
          <w:color w:val="000000" w:themeColor="text1"/>
          <w:sz w:val="20"/>
          <w:szCs w:val="20"/>
          <w:lang w:val="en-GB"/>
        </w:rPr>
        <w:t xml:space="preserve">Series, (2015) ‘Power and the Mental Capacity Act’, </w:t>
      </w:r>
      <w:r w:rsidRPr="0097268C">
        <w:rPr>
          <w:rFonts w:cs="Calibri"/>
          <w:i/>
          <w:color w:val="000000" w:themeColor="text1"/>
          <w:sz w:val="20"/>
          <w:szCs w:val="20"/>
          <w:lang w:val="en-GB"/>
        </w:rPr>
        <w:t>The Small Places</w:t>
      </w:r>
      <w:r w:rsidRPr="0097268C">
        <w:rPr>
          <w:rFonts w:cs="Calibri"/>
          <w:color w:val="000000" w:themeColor="text1"/>
          <w:sz w:val="20"/>
          <w:szCs w:val="20"/>
          <w:lang w:val="en-GB"/>
        </w:rPr>
        <w:t xml:space="preserve">, </w:t>
      </w:r>
      <w:r>
        <w:rPr>
          <w:rFonts w:cs="Calibri"/>
          <w:color w:val="000000" w:themeColor="text1"/>
          <w:sz w:val="20"/>
          <w:szCs w:val="20"/>
          <w:lang w:val="en-GB"/>
        </w:rPr>
        <w:t>&lt;</w:t>
      </w:r>
      <w:hyperlink r:id="rId3" w:history="1">
        <w:r w:rsidRPr="0097268C">
          <w:rPr>
            <w:rStyle w:val="Hyperlink"/>
            <w:rFonts w:cs="Calibri"/>
            <w:color w:val="000000" w:themeColor="text1"/>
            <w:sz w:val="20"/>
            <w:szCs w:val="20"/>
            <w:lang w:val="en-GB"/>
          </w:rPr>
          <w:t>www.thesmallplaces.wordpress.com/2015/02/18/power-and-the-mental-capacity-act</w:t>
        </w:r>
      </w:hyperlink>
      <w:r>
        <w:rPr>
          <w:rFonts w:cs="Calibri"/>
          <w:color w:val="000000" w:themeColor="text1"/>
          <w:sz w:val="20"/>
          <w:szCs w:val="20"/>
        </w:rPr>
        <w:t xml:space="preserve">&gt; accessed 9 December 2020. </w:t>
      </w:r>
    </w:p>
  </w:footnote>
  <w:footnote w:id="27">
    <w:p w14:paraId="775A37EF" w14:textId="77777777"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E </w:t>
      </w:r>
      <w:r w:rsidRPr="0097268C">
        <w:rPr>
          <w:rFonts w:cs="Calibri"/>
          <w:noProof/>
          <w:color w:val="000000" w:themeColor="text1"/>
          <w:sz w:val="20"/>
          <w:szCs w:val="20"/>
        </w:rPr>
        <w:t xml:space="preserve">Cave, (2015) ‘Determining Capacity to Make Medical Treatment Decisions: Problems Implementing the Mental Capacity Act 2005’ 36 </w:t>
      </w:r>
      <w:r w:rsidRPr="000C7019">
        <w:rPr>
          <w:rFonts w:cs="Calibri"/>
          <w:iCs/>
          <w:noProof/>
          <w:color w:val="000000" w:themeColor="text1"/>
          <w:sz w:val="20"/>
          <w:szCs w:val="20"/>
        </w:rPr>
        <w:t>Statute Law Review</w:t>
      </w:r>
      <w:r w:rsidRPr="0097268C">
        <w:rPr>
          <w:rFonts w:cs="Calibri"/>
          <w:noProof/>
          <w:color w:val="000000" w:themeColor="text1"/>
          <w:sz w:val="20"/>
          <w:szCs w:val="20"/>
        </w:rPr>
        <w:t xml:space="preserve"> 86.</w:t>
      </w:r>
    </w:p>
  </w:footnote>
  <w:footnote w:id="28">
    <w:p w14:paraId="5B20CEDF" w14:textId="77777777"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Excluding property and affairs and medical treatment decisions as different considerations apply. </w:t>
      </w:r>
    </w:p>
  </w:footnote>
  <w:footnote w:id="29">
    <w:p w14:paraId="14AD3561" w14:textId="1C5D2327"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noProof/>
          <w:color w:val="000000" w:themeColor="text1"/>
          <w:sz w:val="20"/>
          <w:szCs w:val="20"/>
        </w:rPr>
        <w:t xml:space="preserve">J Lindsey (2020b) </w:t>
      </w:r>
      <w:r>
        <w:rPr>
          <w:rFonts w:cs="Calibri"/>
          <w:noProof/>
          <w:color w:val="000000" w:themeColor="text1"/>
          <w:sz w:val="20"/>
          <w:szCs w:val="20"/>
        </w:rPr>
        <w:t>(</w:t>
      </w:r>
      <w:r w:rsidRPr="0097268C">
        <w:rPr>
          <w:rFonts w:cs="Calibri"/>
          <w:noProof/>
          <w:color w:val="000000" w:themeColor="text1"/>
          <w:sz w:val="20"/>
          <w:szCs w:val="20"/>
        </w:rPr>
        <w:t>n</w:t>
      </w:r>
      <w:r w:rsidRPr="0097268C">
        <w:rPr>
          <w:rFonts w:cs="Calibri"/>
          <w:noProof/>
          <w:color w:val="000000" w:themeColor="text1"/>
          <w:sz w:val="20"/>
          <w:szCs w:val="20"/>
        </w:rPr>
        <w:fldChar w:fldCharType="begin"/>
      </w:r>
      <w:r w:rsidRPr="0097268C">
        <w:rPr>
          <w:rFonts w:cs="Calibri"/>
          <w:noProof/>
          <w:color w:val="000000" w:themeColor="text1"/>
          <w:sz w:val="20"/>
          <w:szCs w:val="20"/>
        </w:rPr>
        <w:instrText xml:space="preserve"> NOTEREF _Ref58406840 \h  \* MERGEFORMAT </w:instrText>
      </w:r>
      <w:r w:rsidRPr="0097268C">
        <w:rPr>
          <w:rFonts w:cs="Calibri"/>
          <w:noProof/>
          <w:color w:val="000000" w:themeColor="text1"/>
          <w:sz w:val="20"/>
          <w:szCs w:val="20"/>
        </w:rPr>
      </w:r>
      <w:r w:rsidRPr="0097268C">
        <w:rPr>
          <w:rFonts w:cs="Calibri"/>
          <w:noProof/>
          <w:color w:val="000000" w:themeColor="text1"/>
          <w:sz w:val="20"/>
          <w:szCs w:val="20"/>
        </w:rPr>
        <w:fldChar w:fldCharType="separate"/>
      </w:r>
      <w:r w:rsidR="004D19A9">
        <w:rPr>
          <w:rFonts w:cs="Calibri"/>
          <w:noProof/>
          <w:color w:val="000000" w:themeColor="text1"/>
          <w:sz w:val="20"/>
          <w:szCs w:val="20"/>
        </w:rPr>
        <w:t>2</w:t>
      </w:r>
      <w:r w:rsidRPr="0097268C">
        <w:rPr>
          <w:rFonts w:cs="Calibri"/>
          <w:noProof/>
          <w:color w:val="000000" w:themeColor="text1"/>
          <w:sz w:val="20"/>
          <w:szCs w:val="20"/>
        </w:rPr>
        <w:fldChar w:fldCharType="end"/>
      </w:r>
      <w:r>
        <w:rPr>
          <w:rFonts w:cs="Calibri"/>
          <w:noProof/>
          <w:color w:val="000000" w:themeColor="text1"/>
          <w:sz w:val="20"/>
          <w:szCs w:val="20"/>
        </w:rPr>
        <w:t>).</w:t>
      </w:r>
    </w:p>
  </w:footnote>
  <w:footnote w:id="30">
    <w:p w14:paraId="53E58116" w14:textId="5BD3D70D" w:rsidR="000C7019" w:rsidRPr="00B022C2"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T </w:t>
      </w:r>
      <w:r w:rsidRPr="0097268C">
        <w:rPr>
          <w:rFonts w:cs="Calibri"/>
          <w:noProof/>
          <w:color w:val="000000" w:themeColor="text1"/>
          <w:sz w:val="20"/>
          <w:szCs w:val="20"/>
        </w:rPr>
        <w:t xml:space="preserve">Jingree, ‘Duty of Care, Safety, Normalisation and the Mental </w:t>
      </w:r>
      <w:r w:rsidRPr="00B022C2">
        <w:rPr>
          <w:rFonts w:cs="Calibri"/>
          <w:noProof/>
          <w:color w:val="000000" w:themeColor="text1"/>
          <w:sz w:val="20"/>
          <w:szCs w:val="20"/>
        </w:rPr>
        <w:t>Capacity Act: A Discourse Analysis of Staff Arguments about Facilitating Choices for People with Learning Disabilities in UK Services’ (2015) 25 Journal of Community &amp; Applied Social Psychology 138.</w:t>
      </w:r>
    </w:p>
  </w:footnote>
  <w:footnote w:id="31">
    <w:p w14:paraId="26960156" w14:textId="77777777" w:rsidR="000C7019" w:rsidRPr="0097268C" w:rsidRDefault="000C7019" w:rsidP="000C7019">
      <w:pPr>
        <w:autoSpaceDE w:val="0"/>
        <w:autoSpaceDN w:val="0"/>
        <w:adjustRightInd w:val="0"/>
        <w:contextualSpacing/>
        <w:jc w:val="both"/>
        <w:rPr>
          <w:rFonts w:cs="Calibri"/>
          <w:color w:val="000000" w:themeColor="text1"/>
          <w:sz w:val="20"/>
          <w:szCs w:val="20"/>
          <w:lang w:val="en-US"/>
        </w:rPr>
      </w:pPr>
      <w:r w:rsidRPr="00B022C2">
        <w:rPr>
          <w:rStyle w:val="FootnoteReference"/>
          <w:rFonts w:cs="Calibri"/>
          <w:color w:val="000000" w:themeColor="text1"/>
          <w:sz w:val="20"/>
          <w:szCs w:val="20"/>
        </w:rPr>
        <w:footnoteRef/>
      </w:r>
      <w:r w:rsidRPr="00B022C2">
        <w:rPr>
          <w:rFonts w:cs="Calibri"/>
          <w:color w:val="000000" w:themeColor="text1"/>
          <w:sz w:val="20"/>
          <w:szCs w:val="20"/>
        </w:rPr>
        <w:t xml:space="preserve"> </w:t>
      </w:r>
      <w:r w:rsidRPr="00B022C2">
        <w:rPr>
          <w:rFonts w:cs="Calibri"/>
          <w:color w:val="000000" w:themeColor="text1"/>
          <w:sz w:val="20"/>
          <w:szCs w:val="20"/>
          <w:lang w:val="en-US"/>
        </w:rPr>
        <w:t>Julia: qualified social worker. Experience as a local authority social worker with families where there was a child with a disability and role at time of interview was as a social worker</w:t>
      </w:r>
      <w:r w:rsidRPr="0097268C">
        <w:rPr>
          <w:rFonts w:cs="Calibri"/>
          <w:color w:val="000000" w:themeColor="text1"/>
          <w:sz w:val="20"/>
          <w:szCs w:val="20"/>
          <w:lang w:val="en-US"/>
        </w:rPr>
        <w:t xml:space="preserve"> at secure unit with inpatient and outpatient adults with mental health difficulties.</w:t>
      </w:r>
    </w:p>
  </w:footnote>
  <w:footnote w:id="32">
    <w:p w14:paraId="63BDF9A3" w14:textId="77777777" w:rsidR="000C7019" w:rsidRPr="0097268C" w:rsidRDefault="000C7019" w:rsidP="000C7019">
      <w:pPr>
        <w:autoSpaceDE w:val="0"/>
        <w:autoSpaceDN w:val="0"/>
        <w:adjustRightInd w:val="0"/>
        <w:contextualSpacing/>
        <w:jc w:val="both"/>
        <w:rPr>
          <w:rFonts w:cs="Calibri"/>
          <w:color w:val="000000" w:themeColor="text1"/>
          <w:sz w:val="20"/>
          <w:szCs w:val="20"/>
          <w:lang w:val="en-US"/>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color w:val="000000" w:themeColor="text1"/>
          <w:sz w:val="20"/>
          <w:szCs w:val="20"/>
          <w:lang w:val="en-US"/>
        </w:rPr>
        <w:t xml:space="preserve">Alice: qualified social worker. Experience in an adult safeguarding team for four to five years. </w:t>
      </w:r>
    </w:p>
  </w:footnote>
  <w:footnote w:id="33">
    <w:p w14:paraId="1A19C612" w14:textId="3C1A4378" w:rsidR="000C7019" w:rsidRPr="00220041" w:rsidRDefault="000C7019" w:rsidP="000C7019">
      <w:pPr>
        <w:pStyle w:val="FootnoteText"/>
        <w:contextualSpacing/>
        <w:jc w:val="both"/>
        <w:rPr>
          <w:rFonts w:cs="Calibri"/>
          <w:iCs/>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Pr>
          <w:rFonts w:cs="Calibri"/>
          <w:iCs/>
          <w:color w:val="000000" w:themeColor="text1"/>
          <w:sz w:val="20"/>
          <w:szCs w:val="20"/>
        </w:rPr>
        <w:t xml:space="preserve">For further detail on the cases see J Lindsey, Protecting and Empowering Vulnerable Adults: Mental Capacity </w:t>
      </w:r>
      <w:r w:rsidRPr="00220041">
        <w:rPr>
          <w:rFonts w:cs="Calibri"/>
          <w:iCs/>
          <w:color w:val="000000" w:themeColor="text1"/>
          <w:sz w:val="20"/>
          <w:szCs w:val="20"/>
        </w:rPr>
        <w:t>Law in Practice, &lt;</w:t>
      </w:r>
      <w:hyperlink r:id="rId4" w:history="1">
        <w:r w:rsidRPr="00220041">
          <w:rPr>
            <w:rStyle w:val="Hyperlink"/>
            <w:rFonts w:cs="Calibri"/>
            <w:iCs/>
            <w:sz w:val="20"/>
            <w:szCs w:val="20"/>
          </w:rPr>
          <w:t>https://etheses.bham.ac.uk/id/eprint/8527/</w:t>
        </w:r>
      </w:hyperlink>
      <w:r w:rsidRPr="00220041">
        <w:rPr>
          <w:rFonts w:cs="Calibri"/>
          <w:iCs/>
          <w:color w:val="000000" w:themeColor="text1"/>
          <w:sz w:val="20"/>
          <w:szCs w:val="20"/>
        </w:rPr>
        <w:t xml:space="preserve">&gt; accessed 9 December 2020. </w:t>
      </w:r>
    </w:p>
  </w:footnote>
  <w:footnote w:id="34">
    <w:p w14:paraId="69D05BF4" w14:textId="18C83E3A" w:rsidR="000C7019" w:rsidRPr="0097268C" w:rsidRDefault="000C7019" w:rsidP="00220041">
      <w:pPr>
        <w:autoSpaceDE w:val="0"/>
        <w:autoSpaceDN w:val="0"/>
        <w:adjustRightInd w:val="0"/>
        <w:jc w:val="both"/>
        <w:rPr>
          <w:rFonts w:cs="Times New Roman"/>
          <w:sz w:val="20"/>
          <w:szCs w:val="20"/>
        </w:rPr>
      </w:pPr>
      <w:r w:rsidRPr="00220041">
        <w:rPr>
          <w:rStyle w:val="FootnoteReference"/>
          <w:sz w:val="20"/>
          <w:szCs w:val="20"/>
        </w:rPr>
        <w:footnoteRef/>
      </w:r>
      <w:r w:rsidRPr="00220041">
        <w:rPr>
          <w:sz w:val="20"/>
          <w:szCs w:val="20"/>
        </w:rPr>
        <w:t xml:space="preserve"> See </w:t>
      </w:r>
      <w:r w:rsidRPr="00220041">
        <w:rPr>
          <w:noProof/>
          <w:sz w:val="20"/>
          <w:szCs w:val="20"/>
        </w:rPr>
        <w:t>J Lindsey (2020b) (n</w:t>
      </w:r>
      <w:r w:rsidRPr="00220041">
        <w:rPr>
          <w:noProof/>
          <w:sz w:val="20"/>
          <w:szCs w:val="20"/>
        </w:rPr>
        <w:fldChar w:fldCharType="begin"/>
      </w:r>
      <w:r w:rsidRPr="00220041">
        <w:rPr>
          <w:noProof/>
          <w:sz w:val="20"/>
          <w:szCs w:val="20"/>
        </w:rPr>
        <w:instrText xml:space="preserve"> NOTEREF _Ref58406840 \h  \* MERGEFORMAT </w:instrText>
      </w:r>
      <w:r w:rsidRPr="00220041">
        <w:rPr>
          <w:noProof/>
          <w:sz w:val="20"/>
          <w:szCs w:val="20"/>
        </w:rPr>
      </w:r>
      <w:r w:rsidRPr="00220041">
        <w:rPr>
          <w:noProof/>
          <w:sz w:val="20"/>
          <w:szCs w:val="20"/>
        </w:rPr>
        <w:fldChar w:fldCharType="separate"/>
      </w:r>
      <w:r w:rsidR="004D19A9">
        <w:rPr>
          <w:noProof/>
          <w:sz w:val="20"/>
          <w:szCs w:val="20"/>
        </w:rPr>
        <w:t>2</w:t>
      </w:r>
      <w:r w:rsidRPr="00220041">
        <w:rPr>
          <w:noProof/>
          <w:sz w:val="20"/>
          <w:szCs w:val="20"/>
        </w:rPr>
        <w:fldChar w:fldCharType="end"/>
      </w:r>
      <w:r w:rsidRPr="00220041">
        <w:rPr>
          <w:noProof/>
          <w:sz w:val="20"/>
          <w:szCs w:val="20"/>
        </w:rPr>
        <w:t xml:space="preserve">) </w:t>
      </w:r>
      <w:r w:rsidRPr="00220041">
        <w:rPr>
          <w:sz w:val="20"/>
          <w:szCs w:val="20"/>
        </w:rPr>
        <w:t>for justification of this argument</w:t>
      </w:r>
      <w:r w:rsidR="002B5498">
        <w:rPr>
          <w:sz w:val="20"/>
          <w:szCs w:val="20"/>
        </w:rPr>
        <w:t>. I</w:t>
      </w:r>
      <w:r w:rsidRPr="00220041">
        <w:rPr>
          <w:sz w:val="20"/>
          <w:szCs w:val="20"/>
        </w:rPr>
        <w:t>n addition</w:t>
      </w:r>
      <w:r w:rsidR="002B5498">
        <w:rPr>
          <w:sz w:val="20"/>
          <w:szCs w:val="20"/>
        </w:rPr>
        <w:t xml:space="preserve">, see a </w:t>
      </w:r>
      <w:r w:rsidR="00BE63FC">
        <w:rPr>
          <w:sz w:val="20"/>
          <w:szCs w:val="20"/>
        </w:rPr>
        <w:t xml:space="preserve">broad </w:t>
      </w:r>
      <w:r w:rsidR="002B5498">
        <w:rPr>
          <w:sz w:val="20"/>
          <w:szCs w:val="20"/>
        </w:rPr>
        <w:t>selection of</w:t>
      </w:r>
      <w:r w:rsidRPr="00220041">
        <w:rPr>
          <w:sz w:val="20"/>
          <w:szCs w:val="20"/>
        </w:rPr>
        <w:t xml:space="preserve"> cases</w:t>
      </w:r>
      <w:r w:rsidR="00BE63FC">
        <w:rPr>
          <w:sz w:val="20"/>
          <w:szCs w:val="20"/>
        </w:rPr>
        <w:t xml:space="preserve"> across the spectrum of health and welfare decision-making</w:t>
      </w:r>
      <w:r w:rsidR="00220041" w:rsidRPr="00220041">
        <w:rPr>
          <w:sz w:val="20"/>
          <w:szCs w:val="20"/>
        </w:rPr>
        <w:t xml:space="preserve"> which, although </w:t>
      </w:r>
      <w:r w:rsidR="00BE63FC">
        <w:rPr>
          <w:sz w:val="20"/>
          <w:szCs w:val="20"/>
        </w:rPr>
        <w:t xml:space="preserve">in some cases I would agree that </w:t>
      </w:r>
      <w:r w:rsidR="00220041" w:rsidRPr="00220041">
        <w:rPr>
          <w:sz w:val="20"/>
          <w:szCs w:val="20"/>
        </w:rPr>
        <w:t xml:space="preserve">the outcome may well </w:t>
      </w:r>
      <w:r w:rsidR="00BE63FC">
        <w:rPr>
          <w:sz w:val="20"/>
          <w:szCs w:val="20"/>
        </w:rPr>
        <w:t>have been</w:t>
      </w:r>
      <w:r w:rsidR="00220041" w:rsidRPr="00220041">
        <w:rPr>
          <w:sz w:val="20"/>
          <w:szCs w:val="20"/>
        </w:rPr>
        <w:t xml:space="preserve"> the right one </w:t>
      </w:r>
      <w:r w:rsidR="00BE63FC">
        <w:rPr>
          <w:sz w:val="20"/>
          <w:szCs w:val="20"/>
        </w:rPr>
        <w:t>on the facts</w:t>
      </w:r>
      <w:r w:rsidR="00220041" w:rsidRPr="00220041">
        <w:rPr>
          <w:sz w:val="20"/>
          <w:szCs w:val="20"/>
        </w:rPr>
        <w:t>,</w:t>
      </w:r>
      <w:r w:rsidR="002B5498">
        <w:rPr>
          <w:sz w:val="20"/>
          <w:szCs w:val="20"/>
        </w:rPr>
        <w:t xml:space="preserve"> all highlight the</w:t>
      </w:r>
      <w:r w:rsidR="00220041" w:rsidRPr="00220041">
        <w:rPr>
          <w:sz w:val="20"/>
          <w:szCs w:val="20"/>
        </w:rPr>
        <w:t xml:space="preserve"> coercive nature</w:t>
      </w:r>
      <w:r w:rsidR="002B5498">
        <w:rPr>
          <w:sz w:val="20"/>
          <w:szCs w:val="20"/>
        </w:rPr>
        <w:t xml:space="preserve"> of the law in this area,</w:t>
      </w:r>
      <w:r w:rsidR="00220041" w:rsidRPr="00220041">
        <w:rPr>
          <w:sz w:val="20"/>
          <w:szCs w:val="20"/>
        </w:rPr>
        <w:t xml:space="preserve"> in that they compel or prevent the person from doing something that they may otherwise wish to pursue</w:t>
      </w:r>
      <w:r w:rsidR="00BE63FC">
        <w:rPr>
          <w:sz w:val="20"/>
          <w:szCs w:val="20"/>
        </w:rPr>
        <w:t xml:space="preserve"> in the absence of court intervention:</w:t>
      </w:r>
      <w:r w:rsidRPr="00220041">
        <w:rPr>
          <w:sz w:val="20"/>
          <w:szCs w:val="20"/>
        </w:rPr>
        <w:t xml:space="preserve"> </w:t>
      </w:r>
      <w:r w:rsidR="00220041" w:rsidRPr="00220041">
        <w:rPr>
          <w:i/>
          <w:sz w:val="20"/>
          <w:szCs w:val="20"/>
        </w:rPr>
        <w:t xml:space="preserve">The London Borough of Tower Hamlets v TB and SA </w:t>
      </w:r>
      <w:r w:rsidR="00220041" w:rsidRPr="00220041">
        <w:rPr>
          <w:sz w:val="20"/>
          <w:szCs w:val="20"/>
        </w:rPr>
        <w:t xml:space="preserve">[2014] EWCOP 53; </w:t>
      </w:r>
      <w:r w:rsidRPr="00220041">
        <w:rPr>
          <w:rFonts w:cs="Times New Roman"/>
          <w:i/>
          <w:sz w:val="20"/>
          <w:szCs w:val="20"/>
        </w:rPr>
        <w:t xml:space="preserve">Re AG </w:t>
      </w:r>
      <w:r w:rsidRPr="00220041">
        <w:rPr>
          <w:rFonts w:cs="Times New Roman"/>
          <w:color w:val="000000" w:themeColor="text1"/>
          <w:sz w:val="20"/>
          <w:szCs w:val="20"/>
        </w:rPr>
        <w:t xml:space="preserve">[2015] EWCOP 78, </w:t>
      </w:r>
      <w:r w:rsidR="00BE63FC" w:rsidRPr="00BE63FC">
        <w:rPr>
          <w:rFonts w:cs="Times New Roman"/>
          <w:i/>
          <w:iCs/>
          <w:color w:val="000000" w:themeColor="text1"/>
          <w:sz w:val="20"/>
          <w:szCs w:val="20"/>
        </w:rPr>
        <w:t>Re CA</w:t>
      </w:r>
      <w:r w:rsidR="00BE63FC">
        <w:rPr>
          <w:rFonts w:cs="Times New Roman"/>
          <w:color w:val="000000" w:themeColor="text1"/>
          <w:sz w:val="20"/>
          <w:szCs w:val="20"/>
        </w:rPr>
        <w:t xml:space="preserve"> [2016] EWCOP 47; </w:t>
      </w:r>
      <w:r w:rsidRPr="00220041">
        <w:rPr>
          <w:rFonts w:cs="Times New Roman"/>
          <w:i/>
          <w:iCs/>
          <w:sz w:val="20"/>
          <w:szCs w:val="20"/>
        </w:rPr>
        <w:t>Southend on Sea Borough Council v Meyers</w:t>
      </w:r>
      <w:r w:rsidRPr="00220041">
        <w:rPr>
          <w:rFonts w:cs="Times New Roman"/>
          <w:sz w:val="20"/>
          <w:szCs w:val="20"/>
        </w:rPr>
        <w:t xml:space="preserve"> [2019] EWHC 399 (Fam)</w:t>
      </w:r>
      <w:r w:rsidR="00220041" w:rsidRPr="00220041">
        <w:rPr>
          <w:rFonts w:cs="Times New Roman"/>
          <w:sz w:val="20"/>
          <w:szCs w:val="20"/>
        </w:rPr>
        <w:t xml:space="preserve">; </w:t>
      </w:r>
      <w:r w:rsidR="00220041" w:rsidRPr="00220041">
        <w:rPr>
          <w:rFonts w:cstheme="minorHAnsi"/>
          <w:i/>
          <w:iCs/>
          <w:color w:val="000000" w:themeColor="text1"/>
          <w:sz w:val="20"/>
          <w:szCs w:val="20"/>
        </w:rPr>
        <w:t>A Local Authority v JB</w:t>
      </w:r>
      <w:r w:rsidR="00220041" w:rsidRPr="00220041">
        <w:rPr>
          <w:sz w:val="20"/>
          <w:szCs w:val="20"/>
        </w:rPr>
        <w:t xml:space="preserve"> [2020] EWCA </w:t>
      </w:r>
      <w:proofErr w:type="spellStart"/>
      <w:r w:rsidR="00220041" w:rsidRPr="00220041">
        <w:rPr>
          <w:sz w:val="20"/>
          <w:szCs w:val="20"/>
        </w:rPr>
        <w:t>Civ</w:t>
      </w:r>
      <w:proofErr w:type="spellEnd"/>
      <w:r w:rsidR="00220041" w:rsidRPr="00220041">
        <w:rPr>
          <w:sz w:val="20"/>
          <w:szCs w:val="20"/>
        </w:rPr>
        <w:t xml:space="preserve"> 735.</w:t>
      </w:r>
    </w:p>
  </w:footnote>
  <w:footnote w:id="35">
    <w:p w14:paraId="7964A16A" w14:textId="47A864CD" w:rsidR="000C7019" w:rsidRPr="00997A5B" w:rsidRDefault="000C7019" w:rsidP="00997A5B">
      <w:pPr>
        <w:pStyle w:val="FootnoteText"/>
        <w:jc w:val="both"/>
        <w:rPr>
          <w:rFonts w:cstheme="minorHAnsi"/>
          <w:sz w:val="20"/>
          <w:szCs w:val="20"/>
          <w:lang w:val="en-GB"/>
        </w:rPr>
      </w:pPr>
      <w:r w:rsidRPr="00AB0C2D">
        <w:rPr>
          <w:rStyle w:val="FootnoteReference"/>
          <w:sz w:val="20"/>
          <w:szCs w:val="20"/>
        </w:rPr>
        <w:footnoteRef/>
      </w:r>
      <w:r w:rsidRPr="00AB0C2D">
        <w:rPr>
          <w:sz w:val="20"/>
          <w:szCs w:val="20"/>
        </w:rPr>
        <w:t xml:space="preserve"> See for example </w:t>
      </w:r>
      <w:r w:rsidR="00AB0C2D" w:rsidRPr="00AB0C2D">
        <w:rPr>
          <w:rFonts w:ascii="Calibri" w:eastAsia="Times New Roman" w:hAnsi="Calibri" w:cs="Calibri"/>
          <w:i/>
          <w:iCs/>
          <w:color w:val="000000"/>
          <w:sz w:val="20"/>
          <w:szCs w:val="20"/>
          <w:lang w:eastAsia="en-GB"/>
        </w:rPr>
        <w:t>Re GC</w:t>
      </w:r>
      <w:r w:rsidR="00AB0C2D" w:rsidRPr="00AB0C2D">
        <w:rPr>
          <w:rFonts w:ascii="Calibri" w:eastAsia="Times New Roman" w:hAnsi="Calibri" w:cs="Calibri"/>
          <w:color w:val="000000"/>
          <w:sz w:val="20"/>
          <w:szCs w:val="20"/>
          <w:shd w:val="clear" w:color="auto" w:fill="FFFFFF"/>
          <w:lang w:eastAsia="en-GB"/>
        </w:rPr>
        <w:t> [2008] EWHC 3402 (Fam)</w:t>
      </w:r>
      <w:r w:rsidR="00B85105">
        <w:rPr>
          <w:rFonts w:ascii="Calibri" w:eastAsia="Times New Roman" w:hAnsi="Calibri" w:cs="Calibri"/>
          <w:color w:val="000000"/>
          <w:sz w:val="20"/>
          <w:szCs w:val="20"/>
          <w:shd w:val="clear" w:color="auto" w:fill="FFFFFF"/>
          <w:lang w:eastAsia="en-GB"/>
        </w:rPr>
        <w:t xml:space="preserve"> and</w:t>
      </w:r>
      <w:r w:rsidR="00B85105" w:rsidRPr="00B85105">
        <w:rPr>
          <w:rFonts w:cstheme="minorHAnsi"/>
          <w:i/>
          <w:iCs/>
          <w:color w:val="000000" w:themeColor="text1"/>
          <w:sz w:val="22"/>
          <w:szCs w:val="22"/>
        </w:rPr>
        <w:t xml:space="preserve"> </w:t>
      </w:r>
      <w:r w:rsidR="00B85105" w:rsidRPr="00C5257B">
        <w:rPr>
          <w:rFonts w:cstheme="minorHAnsi"/>
          <w:i/>
          <w:iCs/>
          <w:color w:val="000000" w:themeColor="text1"/>
          <w:sz w:val="22"/>
          <w:szCs w:val="22"/>
        </w:rPr>
        <w:t>Wye Valley NHS Trust v B</w:t>
      </w:r>
      <w:r w:rsidR="00B85105">
        <w:rPr>
          <w:rFonts w:cstheme="minorHAnsi"/>
          <w:i/>
          <w:iCs/>
          <w:color w:val="000000" w:themeColor="text1"/>
          <w:sz w:val="22"/>
          <w:szCs w:val="22"/>
        </w:rPr>
        <w:t xml:space="preserve"> </w:t>
      </w:r>
      <w:r w:rsidR="00B85105">
        <w:rPr>
          <w:rFonts w:cstheme="minorHAnsi"/>
          <w:color w:val="000000" w:themeColor="text1"/>
          <w:sz w:val="22"/>
          <w:szCs w:val="22"/>
        </w:rPr>
        <w:t>[2015] EWCOP 60</w:t>
      </w:r>
      <w:r w:rsidR="00AB0C2D" w:rsidRPr="00AB0C2D">
        <w:rPr>
          <w:rFonts w:ascii="Calibri" w:eastAsia="Times New Roman" w:hAnsi="Calibri" w:cs="Calibri"/>
          <w:color w:val="000000"/>
          <w:sz w:val="20"/>
          <w:szCs w:val="20"/>
          <w:shd w:val="clear" w:color="auto" w:fill="FFFFFF"/>
          <w:lang w:eastAsia="en-GB"/>
        </w:rPr>
        <w:t xml:space="preserve"> as well as </w:t>
      </w:r>
      <w:r w:rsidRPr="00AB0C2D">
        <w:rPr>
          <w:sz w:val="20"/>
          <w:szCs w:val="20"/>
        </w:rPr>
        <w:t>a number</w:t>
      </w:r>
      <w:r w:rsidRPr="0097268C">
        <w:rPr>
          <w:sz w:val="20"/>
          <w:szCs w:val="20"/>
        </w:rPr>
        <w:t xml:space="preserve"> of cases arising from the Covid-19 pandemic where individuals who lack capacity have been permitted to return home or see loved ones where local authorities or other institutions might otherwise have been reluctant to permit such contact: </w:t>
      </w:r>
      <w:r w:rsidRPr="0097268C">
        <w:rPr>
          <w:rFonts w:cstheme="minorHAnsi"/>
          <w:i/>
          <w:iCs/>
          <w:sz w:val="20"/>
          <w:szCs w:val="20"/>
        </w:rPr>
        <w:t>BP v Surrey County Council &amp; RP</w:t>
      </w:r>
      <w:r w:rsidRPr="0097268C">
        <w:rPr>
          <w:rFonts w:cstheme="minorHAnsi"/>
          <w:sz w:val="20"/>
          <w:szCs w:val="20"/>
        </w:rPr>
        <w:t xml:space="preserve"> [2020] EWCOP 20 and </w:t>
      </w:r>
      <w:r w:rsidRPr="0097268C">
        <w:rPr>
          <w:rFonts w:cstheme="minorHAnsi"/>
          <w:i/>
          <w:iCs/>
          <w:sz w:val="20"/>
          <w:szCs w:val="20"/>
        </w:rPr>
        <w:t>VE v AO, The Royal borough of Greenwich and South East London CCG</w:t>
      </w:r>
      <w:r w:rsidRPr="0097268C">
        <w:rPr>
          <w:rFonts w:cstheme="minorHAnsi"/>
          <w:sz w:val="20"/>
          <w:szCs w:val="20"/>
        </w:rPr>
        <w:t xml:space="preserve"> [2020] EWCOP 23, </w:t>
      </w:r>
      <w:r w:rsidRPr="0097268C">
        <w:rPr>
          <w:i/>
          <w:iCs/>
          <w:sz w:val="20"/>
          <w:szCs w:val="20"/>
        </w:rPr>
        <w:t xml:space="preserve">Michelle Davies (by her Litigation </w:t>
      </w:r>
      <w:r w:rsidRPr="00997A5B">
        <w:rPr>
          <w:rFonts w:cstheme="minorHAnsi"/>
          <w:i/>
          <w:iCs/>
          <w:sz w:val="20"/>
          <w:szCs w:val="20"/>
        </w:rPr>
        <w:t>Friend John Davies) v (1) Wigan Council and (2) NHS Wigan Clinical Commissioning Group</w:t>
      </w:r>
      <w:r w:rsidRPr="00997A5B">
        <w:rPr>
          <w:rFonts w:cstheme="minorHAnsi"/>
          <w:sz w:val="20"/>
          <w:szCs w:val="20"/>
        </w:rPr>
        <w:t xml:space="preserve"> [2020] EWCOP 60.</w:t>
      </w:r>
    </w:p>
  </w:footnote>
  <w:footnote w:id="36">
    <w:p w14:paraId="2491506D" w14:textId="3741BA10" w:rsidR="000C7019" w:rsidRPr="00997A5B" w:rsidRDefault="000C7019" w:rsidP="00997A5B">
      <w:pPr>
        <w:autoSpaceDE w:val="0"/>
        <w:autoSpaceDN w:val="0"/>
        <w:adjustRightInd w:val="0"/>
        <w:jc w:val="both"/>
        <w:rPr>
          <w:rFonts w:ascii="Helvetica" w:hAnsi="Helvetica" w:cs="Helvetica"/>
          <w:color w:val="000000"/>
        </w:rPr>
      </w:pPr>
      <w:r w:rsidRPr="005D0968">
        <w:rPr>
          <w:rStyle w:val="FootnoteReference"/>
          <w:rFonts w:cstheme="minorHAnsi"/>
          <w:sz w:val="20"/>
          <w:szCs w:val="20"/>
        </w:rPr>
        <w:footnoteRef/>
      </w:r>
      <w:r w:rsidR="00021611" w:rsidRPr="005D0968">
        <w:rPr>
          <w:rFonts w:cstheme="minorHAnsi"/>
          <w:color w:val="000000" w:themeColor="text1"/>
          <w:sz w:val="20"/>
          <w:szCs w:val="20"/>
        </w:rPr>
        <w:t xml:space="preserve"> </w:t>
      </w:r>
      <w:r w:rsidR="008109EF" w:rsidRPr="005D0968">
        <w:rPr>
          <w:rFonts w:cstheme="minorHAnsi"/>
          <w:color w:val="000000" w:themeColor="text1"/>
          <w:sz w:val="20"/>
          <w:szCs w:val="20"/>
        </w:rPr>
        <w:t xml:space="preserve">See for example </w:t>
      </w:r>
      <w:r w:rsidR="005D0968" w:rsidRPr="005D0968">
        <w:rPr>
          <w:rFonts w:cstheme="minorHAnsi"/>
          <w:i/>
          <w:iCs/>
          <w:color w:val="000000" w:themeColor="text1"/>
          <w:sz w:val="20"/>
          <w:szCs w:val="20"/>
        </w:rPr>
        <w:t>WBC v Z</w:t>
      </w:r>
      <w:r w:rsidR="005D0968" w:rsidRPr="005D0968">
        <w:rPr>
          <w:rFonts w:cstheme="minorHAnsi"/>
          <w:color w:val="000000" w:themeColor="text1"/>
          <w:sz w:val="20"/>
          <w:szCs w:val="20"/>
        </w:rPr>
        <w:t xml:space="preserve"> [2016] EWCOP 4 and </w:t>
      </w:r>
      <w:r w:rsidR="00B85105" w:rsidRPr="005D0968">
        <w:rPr>
          <w:rFonts w:cstheme="minorHAnsi"/>
          <w:i/>
          <w:color w:val="000000" w:themeColor="text1"/>
          <w:sz w:val="20"/>
          <w:szCs w:val="20"/>
        </w:rPr>
        <w:t xml:space="preserve">Re CH (by his Litigation Friend, the Official Solicitor) </w:t>
      </w:r>
      <w:r w:rsidR="00B85105" w:rsidRPr="005D0968">
        <w:rPr>
          <w:rFonts w:cstheme="minorHAnsi"/>
          <w:color w:val="000000" w:themeColor="text1"/>
          <w:sz w:val="20"/>
          <w:szCs w:val="20"/>
        </w:rPr>
        <w:t>v</w:t>
      </w:r>
      <w:r w:rsidR="00B85105" w:rsidRPr="005D0968">
        <w:rPr>
          <w:rFonts w:cstheme="minorHAnsi"/>
          <w:i/>
          <w:color w:val="000000" w:themeColor="text1"/>
          <w:sz w:val="20"/>
          <w:szCs w:val="20"/>
        </w:rPr>
        <w:t xml:space="preserve"> A Metropolitan Council</w:t>
      </w:r>
      <w:r w:rsidR="00B85105" w:rsidRPr="005D0968">
        <w:rPr>
          <w:rFonts w:cstheme="minorHAnsi"/>
          <w:color w:val="000000" w:themeColor="text1"/>
          <w:sz w:val="20"/>
          <w:szCs w:val="20"/>
        </w:rPr>
        <w:t xml:space="preserve"> [2017] EWCOP 12</w:t>
      </w:r>
      <w:r w:rsidR="005D0968" w:rsidRPr="005D0968">
        <w:rPr>
          <w:rFonts w:cstheme="minorHAnsi"/>
          <w:color w:val="000000" w:themeColor="text1"/>
          <w:sz w:val="20"/>
          <w:szCs w:val="20"/>
        </w:rPr>
        <w:t>.</w:t>
      </w:r>
      <w:r w:rsidR="005D0968">
        <w:rPr>
          <w:rFonts w:cstheme="minorHAnsi"/>
          <w:color w:val="000000" w:themeColor="text1"/>
          <w:sz w:val="20"/>
          <w:szCs w:val="20"/>
        </w:rPr>
        <w:t xml:space="preserve"> F</w:t>
      </w:r>
      <w:r w:rsidR="00997A5B" w:rsidRPr="00997A5B">
        <w:rPr>
          <w:rFonts w:cstheme="minorHAnsi"/>
          <w:color w:val="000000" w:themeColor="text1"/>
          <w:sz w:val="20"/>
          <w:szCs w:val="20"/>
        </w:rPr>
        <w:t>or an important overview of case law</w:t>
      </w:r>
      <w:r w:rsidR="005D0968">
        <w:rPr>
          <w:rFonts w:cstheme="minorHAnsi"/>
          <w:color w:val="000000" w:themeColor="text1"/>
          <w:sz w:val="20"/>
          <w:szCs w:val="20"/>
        </w:rPr>
        <w:t xml:space="preserve"> relating to capacity disputes</w:t>
      </w:r>
      <w:r w:rsidR="00997A5B" w:rsidRPr="00997A5B">
        <w:rPr>
          <w:rFonts w:cstheme="minorHAnsi"/>
          <w:color w:val="000000" w:themeColor="text1"/>
          <w:sz w:val="20"/>
          <w:szCs w:val="20"/>
        </w:rPr>
        <w:t xml:space="preserve"> see A </w:t>
      </w:r>
      <w:r w:rsidR="00997A5B" w:rsidRPr="00997A5B">
        <w:rPr>
          <w:rFonts w:cstheme="minorHAnsi"/>
          <w:color w:val="000000"/>
          <w:sz w:val="20"/>
          <w:szCs w:val="20"/>
        </w:rPr>
        <w:t xml:space="preserve">Ruck Keene, NB Kane, SYH Kim and GS Owen ‘Taking capacity seriously? Ten years of mental capacity disputes before England's Court of Protection’ (2019) 62 </w:t>
      </w:r>
      <w:r w:rsidR="00997A5B" w:rsidRPr="007500F4">
        <w:rPr>
          <w:rFonts w:cstheme="minorHAnsi"/>
          <w:color w:val="000000"/>
          <w:sz w:val="20"/>
          <w:szCs w:val="20"/>
        </w:rPr>
        <w:t>International Journal of Law and Psychiatry</w:t>
      </w:r>
      <w:r w:rsidR="00997A5B" w:rsidRPr="00997A5B">
        <w:rPr>
          <w:rFonts w:cstheme="minorHAnsi"/>
          <w:color w:val="000000"/>
          <w:sz w:val="20"/>
          <w:szCs w:val="20"/>
        </w:rPr>
        <w:t xml:space="preserve"> 56.</w:t>
      </w:r>
    </w:p>
  </w:footnote>
  <w:footnote w:id="37">
    <w:p w14:paraId="75C7353E" w14:textId="4626DC0F"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noProof/>
          <w:color w:val="000000" w:themeColor="text1"/>
          <w:sz w:val="20"/>
          <w:szCs w:val="20"/>
        </w:rPr>
        <w:t xml:space="preserve">J Lindsey </w:t>
      </w:r>
      <w:r>
        <w:rPr>
          <w:rFonts w:cs="Calibri"/>
          <w:noProof/>
          <w:color w:val="000000" w:themeColor="text1"/>
          <w:sz w:val="20"/>
          <w:szCs w:val="20"/>
        </w:rPr>
        <w:t>(</w:t>
      </w:r>
      <w:r w:rsidRPr="0097268C">
        <w:rPr>
          <w:rFonts w:cs="Calibri"/>
          <w:noProof/>
          <w:color w:val="000000" w:themeColor="text1"/>
          <w:sz w:val="20"/>
          <w:szCs w:val="20"/>
        </w:rPr>
        <w:t>n</w:t>
      </w:r>
      <w:r w:rsidRPr="0097268C">
        <w:rPr>
          <w:rFonts w:cs="Calibri"/>
          <w:noProof/>
          <w:color w:val="000000" w:themeColor="text1"/>
          <w:sz w:val="20"/>
          <w:szCs w:val="20"/>
        </w:rPr>
        <w:fldChar w:fldCharType="begin"/>
      </w:r>
      <w:r w:rsidRPr="0097268C">
        <w:rPr>
          <w:rFonts w:cs="Calibri"/>
          <w:noProof/>
          <w:color w:val="000000" w:themeColor="text1"/>
          <w:sz w:val="20"/>
          <w:szCs w:val="20"/>
        </w:rPr>
        <w:instrText xml:space="preserve"> NOTEREF _Ref58406840 \h  \* MERGEFORMAT </w:instrText>
      </w:r>
      <w:r w:rsidRPr="0097268C">
        <w:rPr>
          <w:rFonts w:cs="Calibri"/>
          <w:noProof/>
          <w:color w:val="000000" w:themeColor="text1"/>
          <w:sz w:val="20"/>
          <w:szCs w:val="20"/>
        </w:rPr>
      </w:r>
      <w:r w:rsidRPr="0097268C">
        <w:rPr>
          <w:rFonts w:cs="Calibri"/>
          <w:noProof/>
          <w:color w:val="000000" w:themeColor="text1"/>
          <w:sz w:val="20"/>
          <w:szCs w:val="20"/>
        </w:rPr>
        <w:fldChar w:fldCharType="separate"/>
      </w:r>
      <w:r w:rsidR="004D19A9">
        <w:rPr>
          <w:rFonts w:cs="Calibri"/>
          <w:noProof/>
          <w:color w:val="000000" w:themeColor="text1"/>
          <w:sz w:val="20"/>
          <w:szCs w:val="20"/>
        </w:rPr>
        <w:t>2</w:t>
      </w:r>
      <w:r w:rsidRPr="0097268C">
        <w:rPr>
          <w:rFonts w:cs="Calibri"/>
          <w:noProof/>
          <w:color w:val="000000" w:themeColor="text1"/>
          <w:sz w:val="20"/>
          <w:szCs w:val="20"/>
        </w:rPr>
        <w:fldChar w:fldCharType="end"/>
      </w:r>
      <w:r>
        <w:rPr>
          <w:rFonts w:cs="Calibri"/>
          <w:noProof/>
          <w:color w:val="000000" w:themeColor="text1"/>
          <w:sz w:val="20"/>
          <w:szCs w:val="20"/>
        </w:rPr>
        <w:t>,</w:t>
      </w:r>
      <w:r w:rsidRPr="0097268C">
        <w:rPr>
          <w:rFonts w:cs="Calibri"/>
          <w:noProof/>
          <w:color w:val="000000" w:themeColor="text1"/>
          <w:sz w:val="20"/>
          <w:szCs w:val="20"/>
        </w:rPr>
        <w:t xml:space="preserve"> n</w:t>
      </w:r>
      <w:r w:rsidRPr="0097268C">
        <w:rPr>
          <w:rFonts w:cs="Calibri"/>
          <w:noProof/>
          <w:color w:val="000000" w:themeColor="text1"/>
          <w:sz w:val="20"/>
          <w:szCs w:val="20"/>
        </w:rPr>
        <w:fldChar w:fldCharType="begin"/>
      </w:r>
      <w:r w:rsidRPr="0097268C">
        <w:rPr>
          <w:rFonts w:cs="Calibri"/>
          <w:noProof/>
          <w:color w:val="000000" w:themeColor="text1"/>
          <w:sz w:val="20"/>
          <w:szCs w:val="20"/>
        </w:rPr>
        <w:instrText xml:space="preserve"> NOTEREF _Ref58407313 \h  \* MERGEFORMAT </w:instrText>
      </w:r>
      <w:r w:rsidRPr="0097268C">
        <w:rPr>
          <w:rFonts w:cs="Calibri"/>
          <w:noProof/>
          <w:color w:val="000000" w:themeColor="text1"/>
          <w:sz w:val="20"/>
          <w:szCs w:val="20"/>
        </w:rPr>
      </w:r>
      <w:r w:rsidRPr="0097268C">
        <w:rPr>
          <w:rFonts w:cs="Calibri"/>
          <w:noProof/>
          <w:color w:val="000000" w:themeColor="text1"/>
          <w:sz w:val="20"/>
          <w:szCs w:val="20"/>
        </w:rPr>
        <w:fldChar w:fldCharType="separate"/>
      </w:r>
      <w:r w:rsidR="004D19A9">
        <w:rPr>
          <w:rFonts w:cs="Calibri"/>
          <w:noProof/>
          <w:color w:val="000000" w:themeColor="text1"/>
          <w:sz w:val="20"/>
          <w:szCs w:val="20"/>
        </w:rPr>
        <w:t>5</w:t>
      </w:r>
      <w:r w:rsidRPr="0097268C">
        <w:rPr>
          <w:rFonts w:cs="Calibri"/>
          <w:noProof/>
          <w:color w:val="000000" w:themeColor="text1"/>
          <w:sz w:val="20"/>
          <w:szCs w:val="20"/>
        </w:rPr>
        <w:fldChar w:fldCharType="end"/>
      </w:r>
      <w:r>
        <w:rPr>
          <w:rFonts w:cs="Calibri"/>
          <w:noProof/>
          <w:color w:val="000000" w:themeColor="text1"/>
          <w:sz w:val="20"/>
          <w:szCs w:val="20"/>
        </w:rPr>
        <w:t>).</w:t>
      </w:r>
    </w:p>
  </w:footnote>
  <w:footnote w:id="38">
    <w:p w14:paraId="76528EF2" w14:textId="3B29B549" w:rsidR="000C7019" w:rsidRPr="0097268C" w:rsidRDefault="000C7019" w:rsidP="000C7019">
      <w:pPr>
        <w:widowControl w:val="0"/>
        <w:autoSpaceDE w:val="0"/>
        <w:autoSpaceDN w:val="0"/>
        <w:adjustRightInd w:val="0"/>
        <w:contextualSpacing/>
        <w:jc w:val="both"/>
        <w:rPr>
          <w:rFonts w:cs="Calibri"/>
          <w:color w:val="000000" w:themeColor="text1"/>
          <w:sz w:val="20"/>
          <w:szCs w:val="20"/>
          <w:lang w:val="en-US"/>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These criteria are different from but influenced by those set out in C </w:t>
      </w:r>
      <w:r w:rsidRPr="0097268C">
        <w:rPr>
          <w:rFonts w:cs="Calibri"/>
          <w:noProof/>
          <w:color w:val="000000" w:themeColor="text1"/>
          <w:sz w:val="20"/>
          <w:szCs w:val="20"/>
        </w:rPr>
        <w:t xml:space="preserve">Mackenzie, ‘The Importance of Relational Autonomy and Capabilities for an Ethics of Vulnerability’ in C Mackenzie, W Rogers, W and S Dodds, (eds), </w:t>
      </w:r>
      <w:r w:rsidRPr="0097268C">
        <w:rPr>
          <w:rFonts w:cs="Calibri"/>
          <w:i/>
          <w:noProof/>
          <w:color w:val="000000" w:themeColor="text1"/>
          <w:sz w:val="20"/>
          <w:szCs w:val="20"/>
        </w:rPr>
        <w:t>Vulnerability: New Essays in Ethics and Feminist Philosophy</w:t>
      </w:r>
      <w:r w:rsidRPr="0097268C">
        <w:rPr>
          <w:rFonts w:cs="Calibri"/>
          <w:noProof/>
          <w:color w:val="000000" w:themeColor="text1"/>
          <w:sz w:val="20"/>
          <w:szCs w:val="20"/>
        </w:rPr>
        <w:t xml:space="preserve"> (Oxford University Press, 2014)</w:t>
      </w:r>
      <w:r w:rsidRPr="0097268C">
        <w:rPr>
          <w:rFonts w:cs="Calibri"/>
          <w:color w:val="000000" w:themeColor="text1"/>
          <w:sz w:val="20"/>
          <w:szCs w:val="20"/>
        </w:rPr>
        <w:t xml:space="preserve">. The criteria also take into account the principles set out in similar Scottish legislation, see Adult Support and Protection (Scotland) Act 2007 </w:t>
      </w:r>
      <w:r w:rsidR="00E32E72" w:rsidRPr="0097268C">
        <w:rPr>
          <w:rFonts w:cs="Calibri"/>
          <w:color w:val="000000" w:themeColor="text1"/>
          <w:sz w:val="20"/>
          <w:szCs w:val="20"/>
        </w:rPr>
        <w:t xml:space="preserve">s 1 </w:t>
      </w:r>
      <w:r w:rsidRPr="0097268C">
        <w:rPr>
          <w:rFonts w:cs="Calibri"/>
          <w:color w:val="000000" w:themeColor="text1"/>
          <w:sz w:val="20"/>
          <w:szCs w:val="20"/>
        </w:rPr>
        <w:t xml:space="preserve">which states </w:t>
      </w:r>
      <w:r>
        <w:rPr>
          <w:rFonts w:cs="Calibri"/>
          <w:color w:val="000000" w:themeColor="text1"/>
          <w:sz w:val="20"/>
          <w:szCs w:val="20"/>
        </w:rPr>
        <w:t>‘</w:t>
      </w:r>
      <w:r w:rsidRPr="0097268C">
        <w:rPr>
          <w:rFonts w:cs="Calibri"/>
          <w:color w:val="000000" w:themeColor="text1"/>
          <w:sz w:val="20"/>
          <w:szCs w:val="20"/>
          <w:lang w:val="en-US"/>
        </w:rPr>
        <w:t xml:space="preserve">The general principle on intervention in an adult's affairs is that a person may intervene, or </w:t>
      </w:r>
      <w:proofErr w:type="spellStart"/>
      <w:r w:rsidRPr="0097268C">
        <w:rPr>
          <w:rFonts w:cs="Calibri"/>
          <w:color w:val="000000" w:themeColor="text1"/>
          <w:sz w:val="20"/>
          <w:szCs w:val="20"/>
          <w:lang w:val="en-US"/>
        </w:rPr>
        <w:t>authorise</w:t>
      </w:r>
      <w:proofErr w:type="spellEnd"/>
      <w:r w:rsidRPr="0097268C">
        <w:rPr>
          <w:rFonts w:cs="Calibri"/>
          <w:color w:val="000000" w:themeColor="text1"/>
          <w:sz w:val="20"/>
          <w:szCs w:val="20"/>
          <w:lang w:val="en-US"/>
        </w:rPr>
        <w:t xml:space="preserve"> an intervention, only if satisfied that the intervention— (a) will provide benefit to the adult which could not reasonably be provided without intervening in the adult's affairs, and (b) is, of the range of options likely to fulfil the object of the intervention, the least restrictive to the adult's freedom.</w:t>
      </w:r>
      <w:r>
        <w:rPr>
          <w:rFonts w:cs="Calibri"/>
          <w:color w:val="000000" w:themeColor="text1"/>
          <w:sz w:val="20"/>
          <w:szCs w:val="20"/>
          <w:lang w:val="en-US"/>
        </w:rPr>
        <w:t>’</w:t>
      </w:r>
      <w:r w:rsidRPr="0097268C">
        <w:rPr>
          <w:rFonts w:cs="Calibri"/>
          <w:color w:val="000000" w:themeColor="text1"/>
          <w:sz w:val="20"/>
          <w:szCs w:val="20"/>
        </w:rPr>
        <w:t xml:space="preserve"> However, the principles I set out here are narrower and focused on responding to abuse rather than incorporating what is, essentially, a proportionality approach which risks overriding the wishes of </w:t>
      </w:r>
      <w:r w:rsidR="00953B74">
        <w:rPr>
          <w:rFonts w:cs="Calibri"/>
          <w:color w:val="000000" w:themeColor="text1"/>
          <w:sz w:val="20"/>
          <w:szCs w:val="20"/>
        </w:rPr>
        <w:t xml:space="preserve">the adult </w:t>
      </w:r>
      <w:r w:rsidRPr="0097268C">
        <w:rPr>
          <w:rFonts w:cs="Calibri"/>
          <w:color w:val="000000" w:themeColor="text1"/>
          <w:sz w:val="20"/>
          <w:szCs w:val="20"/>
        </w:rPr>
        <w:t xml:space="preserve">and coercing her in cases where the risks are sufficiently high.  </w:t>
      </w:r>
    </w:p>
  </w:footnote>
  <w:footnote w:id="39">
    <w:p w14:paraId="5842CAD4" w14:textId="2C50A4CF" w:rsidR="000C7019" w:rsidRPr="00B022C2" w:rsidRDefault="000C7019" w:rsidP="000C7019">
      <w:pPr>
        <w:pStyle w:val="FootnoteText"/>
        <w:jc w:val="both"/>
        <w:rPr>
          <w:color w:val="000000" w:themeColor="text1"/>
          <w:sz w:val="20"/>
          <w:szCs w:val="20"/>
        </w:rPr>
      </w:pPr>
      <w:r w:rsidRPr="00B022C2">
        <w:rPr>
          <w:rStyle w:val="FootnoteReference"/>
          <w:color w:val="000000" w:themeColor="text1"/>
          <w:sz w:val="20"/>
          <w:szCs w:val="20"/>
        </w:rPr>
        <w:footnoteRef/>
      </w:r>
      <w:r w:rsidRPr="00B022C2">
        <w:rPr>
          <w:color w:val="000000" w:themeColor="text1"/>
          <w:sz w:val="20"/>
          <w:szCs w:val="20"/>
        </w:rPr>
        <w:t xml:space="preserve"> P </w:t>
      </w:r>
      <w:r w:rsidRPr="00B022C2">
        <w:rPr>
          <w:noProof/>
          <w:color w:val="000000" w:themeColor="text1"/>
          <w:sz w:val="20"/>
          <w:szCs w:val="20"/>
        </w:rPr>
        <w:t>Gooding, ‘Supported Decision-Making: A Rights-Based Disability Concept and its Implications for Mental Health Law’ (2013) 20 Psychiatry, Psychology and Law 431; E Flynn and A Arstein-Kerslake, ‘Legislating personhood: realising the right to support in exercising legal capacity’ (2014) 10 International Journal of Law in Context 81; P Bartlett and M Schulze, ‘Urgently awaiting implementation: The right to be free from exploitation, violence and abuse in Article 16 of the Convention on the Rights of Persons with Disabilities (CRPD)’ (2017) 53 International Journal of Law and Psychiatry 2; R Harding and E Tascioglu,</w:t>
      </w:r>
      <w:r>
        <w:rPr>
          <w:noProof/>
          <w:color w:val="000000" w:themeColor="text1"/>
          <w:sz w:val="20"/>
          <w:szCs w:val="20"/>
        </w:rPr>
        <w:t xml:space="preserve"> </w:t>
      </w:r>
      <w:r w:rsidRPr="00B022C2">
        <w:rPr>
          <w:noProof/>
          <w:color w:val="000000" w:themeColor="text1"/>
          <w:sz w:val="20"/>
          <w:szCs w:val="20"/>
        </w:rPr>
        <w:t xml:space="preserve">Everyday decisions project report: supporting legal capacity through care, support and empowerment </w:t>
      </w:r>
      <w:r>
        <w:rPr>
          <w:noProof/>
          <w:color w:val="000000" w:themeColor="text1"/>
          <w:sz w:val="20"/>
          <w:szCs w:val="20"/>
        </w:rPr>
        <w:t>(University of Birmingham 2019).</w:t>
      </w:r>
    </w:p>
  </w:footnote>
  <w:footnote w:id="40">
    <w:p w14:paraId="156C1D08" w14:textId="1524C5F9" w:rsidR="000C7019" w:rsidRPr="0097268C" w:rsidRDefault="000C7019" w:rsidP="000C7019">
      <w:pPr>
        <w:pStyle w:val="FootnoteText"/>
        <w:contextualSpacing/>
        <w:jc w:val="both"/>
        <w:rPr>
          <w:rFonts w:cs="Calibri"/>
          <w:noProof/>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A </w:t>
      </w:r>
      <w:r w:rsidRPr="0097268C">
        <w:rPr>
          <w:rFonts w:cs="Calibri"/>
          <w:noProof/>
          <w:color w:val="000000" w:themeColor="text1"/>
          <w:sz w:val="20"/>
          <w:szCs w:val="20"/>
        </w:rPr>
        <w:t xml:space="preserve">Dhanda, ‘Legal Capacity in the Disability Rights Convention: Stranglehold of </w:t>
      </w:r>
      <w:r w:rsidRPr="00B022C2">
        <w:rPr>
          <w:rFonts w:cs="Calibri"/>
          <w:noProof/>
          <w:color w:val="000000" w:themeColor="text1"/>
          <w:sz w:val="20"/>
          <w:szCs w:val="20"/>
        </w:rPr>
        <w:t xml:space="preserve">the Past or Lodestar for the Future?’ </w:t>
      </w:r>
      <w:r>
        <w:rPr>
          <w:rFonts w:cs="Calibri"/>
          <w:noProof/>
          <w:color w:val="000000" w:themeColor="text1"/>
          <w:sz w:val="20"/>
          <w:szCs w:val="20"/>
        </w:rPr>
        <w:t>(</w:t>
      </w:r>
      <w:r w:rsidRPr="00B022C2">
        <w:rPr>
          <w:rFonts w:cs="Calibri"/>
          <w:noProof/>
          <w:color w:val="000000" w:themeColor="text1"/>
          <w:sz w:val="20"/>
          <w:szCs w:val="20"/>
        </w:rPr>
        <w:t xml:space="preserve">2006) 34 Syracuse Journal of International Law and Commerce 429; P Bartlett, ‘The United Nations Convention on the Rights of Persons with Disabilities and Mental Health Law’ (2012) 75 Modern Law Review 752; E Flynn and A Arstein-Kerslake, ibid; R Harding and E Tascioglu, ibid; A Keeling </w:t>
      </w:r>
      <w:r>
        <w:rPr>
          <w:rFonts w:cs="Calibri"/>
          <w:noProof/>
          <w:color w:val="000000" w:themeColor="text1"/>
          <w:sz w:val="20"/>
          <w:szCs w:val="20"/>
        </w:rPr>
        <w:t>(</w:t>
      </w:r>
      <w:r w:rsidRPr="00B022C2">
        <w:rPr>
          <w:rFonts w:cs="Calibri"/>
          <w:noProof/>
          <w:color w:val="000000" w:themeColor="text1"/>
          <w:sz w:val="20"/>
          <w:szCs w:val="20"/>
        </w:rPr>
        <w:t>n</w:t>
      </w:r>
      <w:r w:rsidR="004D19A9">
        <w:rPr>
          <w:rFonts w:cs="Calibri"/>
          <w:noProof/>
          <w:color w:val="000000" w:themeColor="text1"/>
          <w:sz w:val="20"/>
          <w:szCs w:val="20"/>
        </w:rPr>
        <w:fldChar w:fldCharType="begin"/>
      </w:r>
      <w:r w:rsidR="004D19A9">
        <w:rPr>
          <w:rFonts w:cs="Calibri"/>
          <w:noProof/>
          <w:color w:val="000000" w:themeColor="text1"/>
          <w:sz w:val="20"/>
          <w:szCs w:val="20"/>
        </w:rPr>
        <w:instrText xml:space="preserve"> NOTEREF _Ref58407576 \h </w:instrText>
      </w:r>
      <w:r w:rsidR="004D19A9">
        <w:rPr>
          <w:rFonts w:cs="Calibri"/>
          <w:noProof/>
          <w:color w:val="000000" w:themeColor="text1"/>
          <w:sz w:val="20"/>
          <w:szCs w:val="20"/>
        </w:rPr>
      </w:r>
      <w:r w:rsidR="004D19A9">
        <w:rPr>
          <w:rFonts w:cs="Calibri"/>
          <w:noProof/>
          <w:color w:val="000000" w:themeColor="text1"/>
          <w:sz w:val="20"/>
          <w:szCs w:val="20"/>
        </w:rPr>
        <w:fldChar w:fldCharType="separate"/>
      </w:r>
      <w:r w:rsidR="004D19A9">
        <w:rPr>
          <w:rFonts w:cs="Calibri"/>
          <w:noProof/>
          <w:color w:val="000000" w:themeColor="text1"/>
          <w:sz w:val="20"/>
          <w:szCs w:val="20"/>
        </w:rPr>
        <w:t>21</w:t>
      </w:r>
      <w:r w:rsidR="004D19A9">
        <w:rPr>
          <w:rFonts w:cs="Calibri"/>
          <w:noProof/>
          <w:color w:val="000000" w:themeColor="text1"/>
          <w:sz w:val="20"/>
          <w:szCs w:val="20"/>
        </w:rPr>
        <w:fldChar w:fldCharType="end"/>
      </w:r>
      <w:r>
        <w:rPr>
          <w:rFonts w:cs="Calibri"/>
          <w:noProof/>
          <w:color w:val="000000" w:themeColor="text1"/>
          <w:sz w:val="20"/>
          <w:szCs w:val="20"/>
        </w:rPr>
        <w:t xml:space="preserve">). </w:t>
      </w:r>
    </w:p>
  </w:footnote>
  <w:footnote w:id="41">
    <w:p w14:paraId="46136EB6" w14:textId="24D81295" w:rsidR="000C7019" w:rsidRPr="004D19A9" w:rsidRDefault="000C7019" w:rsidP="000C7019">
      <w:pPr>
        <w:pStyle w:val="FootnoteText"/>
        <w:contextualSpacing/>
        <w:jc w:val="both"/>
        <w:rPr>
          <w:rFonts w:cs="Calibri"/>
          <w:caps/>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P </w:t>
      </w:r>
      <w:r w:rsidRPr="0097268C">
        <w:rPr>
          <w:rFonts w:cs="Calibri"/>
          <w:noProof/>
          <w:color w:val="000000" w:themeColor="text1"/>
          <w:sz w:val="20"/>
          <w:szCs w:val="20"/>
        </w:rPr>
        <w:t xml:space="preserve">Bartlett and M Schulze (2017) </w:t>
      </w:r>
      <w:r>
        <w:rPr>
          <w:rFonts w:cs="Calibri"/>
          <w:noProof/>
          <w:color w:val="000000" w:themeColor="text1"/>
          <w:sz w:val="20"/>
          <w:szCs w:val="20"/>
        </w:rPr>
        <w:t>(</w:t>
      </w:r>
      <w:r w:rsidRPr="0097268C">
        <w:rPr>
          <w:rFonts w:cs="Calibri"/>
          <w:noProof/>
          <w:color w:val="000000" w:themeColor="text1"/>
          <w:sz w:val="20"/>
          <w:szCs w:val="20"/>
        </w:rPr>
        <w:t>n</w:t>
      </w:r>
      <w:r w:rsidRPr="0097268C">
        <w:rPr>
          <w:rFonts w:cs="Calibri"/>
          <w:noProof/>
          <w:color w:val="000000" w:themeColor="text1"/>
          <w:sz w:val="20"/>
          <w:szCs w:val="20"/>
        </w:rPr>
        <w:fldChar w:fldCharType="begin"/>
      </w:r>
      <w:r w:rsidRPr="0097268C">
        <w:rPr>
          <w:rFonts w:cs="Calibri"/>
          <w:noProof/>
          <w:color w:val="000000" w:themeColor="text1"/>
          <w:sz w:val="20"/>
          <w:szCs w:val="20"/>
        </w:rPr>
        <w:instrText xml:space="preserve"> NOTEREF _Ref58407612 \h  \* MERGEFORMAT </w:instrText>
      </w:r>
      <w:r w:rsidRPr="0097268C">
        <w:rPr>
          <w:rFonts w:cs="Calibri"/>
          <w:noProof/>
          <w:color w:val="000000" w:themeColor="text1"/>
          <w:sz w:val="20"/>
          <w:szCs w:val="20"/>
        </w:rPr>
      </w:r>
      <w:r w:rsidRPr="0097268C">
        <w:rPr>
          <w:rFonts w:cs="Calibri"/>
          <w:noProof/>
          <w:color w:val="000000" w:themeColor="text1"/>
          <w:sz w:val="20"/>
          <w:szCs w:val="20"/>
        </w:rPr>
        <w:fldChar w:fldCharType="separate"/>
      </w:r>
      <w:r w:rsidR="004D19A9">
        <w:rPr>
          <w:rFonts w:cs="Calibri"/>
          <w:noProof/>
          <w:color w:val="000000" w:themeColor="text1"/>
          <w:sz w:val="20"/>
          <w:szCs w:val="20"/>
        </w:rPr>
        <w:t>39</w:t>
      </w:r>
      <w:r w:rsidRPr="0097268C">
        <w:rPr>
          <w:rFonts w:cs="Calibri"/>
          <w:noProof/>
          <w:color w:val="000000" w:themeColor="text1"/>
          <w:sz w:val="20"/>
          <w:szCs w:val="20"/>
        </w:rPr>
        <w:fldChar w:fldCharType="end"/>
      </w:r>
      <w:r>
        <w:rPr>
          <w:rFonts w:cs="Calibri"/>
          <w:noProof/>
          <w:color w:val="000000" w:themeColor="text1"/>
          <w:sz w:val="20"/>
          <w:szCs w:val="20"/>
        </w:rPr>
        <w:t>).</w:t>
      </w:r>
    </w:p>
  </w:footnote>
  <w:footnote w:id="42">
    <w:p w14:paraId="728B2431" w14:textId="0D671B7F"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noProof/>
          <w:color w:val="000000" w:themeColor="text1"/>
          <w:sz w:val="20"/>
          <w:szCs w:val="20"/>
        </w:rPr>
        <w:t xml:space="preserve">A Keeling </w:t>
      </w:r>
      <w:r>
        <w:rPr>
          <w:rFonts w:cs="Calibri"/>
          <w:noProof/>
          <w:color w:val="000000" w:themeColor="text1"/>
          <w:sz w:val="20"/>
          <w:szCs w:val="20"/>
        </w:rPr>
        <w:t>(</w:t>
      </w:r>
      <w:r w:rsidRPr="0097268C">
        <w:rPr>
          <w:rFonts w:cs="Calibri"/>
          <w:noProof/>
          <w:color w:val="000000" w:themeColor="text1"/>
          <w:sz w:val="20"/>
          <w:szCs w:val="20"/>
        </w:rPr>
        <w:t>n</w:t>
      </w:r>
      <w:r w:rsidR="004D19A9">
        <w:rPr>
          <w:rFonts w:cs="Calibri"/>
          <w:noProof/>
          <w:color w:val="000000" w:themeColor="text1"/>
          <w:sz w:val="20"/>
          <w:szCs w:val="20"/>
        </w:rPr>
        <w:fldChar w:fldCharType="begin"/>
      </w:r>
      <w:r w:rsidR="004D19A9">
        <w:rPr>
          <w:rFonts w:cs="Calibri"/>
          <w:noProof/>
          <w:color w:val="000000" w:themeColor="text1"/>
          <w:sz w:val="20"/>
          <w:szCs w:val="20"/>
        </w:rPr>
        <w:instrText xml:space="preserve"> NOTEREF _Ref58407576 \h </w:instrText>
      </w:r>
      <w:r w:rsidR="004D19A9">
        <w:rPr>
          <w:rFonts w:cs="Calibri"/>
          <w:noProof/>
          <w:color w:val="000000" w:themeColor="text1"/>
          <w:sz w:val="20"/>
          <w:szCs w:val="20"/>
        </w:rPr>
      </w:r>
      <w:r w:rsidR="004D19A9">
        <w:rPr>
          <w:rFonts w:cs="Calibri"/>
          <w:noProof/>
          <w:color w:val="000000" w:themeColor="text1"/>
          <w:sz w:val="20"/>
          <w:szCs w:val="20"/>
        </w:rPr>
        <w:fldChar w:fldCharType="separate"/>
      </w:r>
      <w:r w:rsidR="004D19A9">
        <w:rPr>
          <w:rFonts w:cs="Calibri"/>
          <w:noProof/>
          <w:color w:val="000000" w:themeColor="text1"/>
          <w:sz w:val="20"/>
          <w:szCs w:val="20"/>
        </w:rPr>
        <w:t>21</w:t>
      </w:r>
      <w:r w:rsidR="004D19A9">
        <w:rPr>
          <w:rFonts w:cs="Calibri"/>
          <w:noProof/>
          <w:color w:val="000000" w:themeColor="text1"/>
          <w:sz w:val="20"/>
          <w:szCs w:val="20"/>
        </w:rPr>
        <w:fldChar w:fldCharType="end"/>
      </w:r>
      <w:r>
        <w:rPr>
          <w:rFonts w:cs="Calibri"/>
          <w:noProof/>
          <w:color w:val="000000" w:themeColor="text1"/>
          <w:sz w:val="20"/>
          <w:szCs w:val="20"/>
        </w:rPr>
        <w:t>).</w:t>
      </w:r>
    </w:p>
  </w:footnote>
  <w:footnote w:id="43">
    <w:p w14:paraId="5EF8511A" w14:textId="5A8368F7"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J </w:t>
      </w:r>
      <w:r w:rsidRPr="0097268C">
        <w:rPr>
          <w:rFonts w:cs="Calibri"/>
          <w:noProof/>
          <w:color w:val="000000" w:themeColor="text1"/>
          <w:sz w:val="20"/>
          <w:szCs w:val="20"/>
        </w:rPr>
        <w:t>Montgomery, ‘Law and the Demoralisation of Medicine’</w:t>
      </w:r>
      <w:r>
        <w:rPr>
          <w:rFonts w:cs="Calibri"/>
          <w:noProof/>
          <w:color w:val="000000" w:themeColor="text1"/>
          <w:sz w:val="20"/>
          <w:szCs w:val="20"/>
        </w:rPr>
        <w:t xml:space="preserve"> </w:t>
      </w:r>
      <w:r w:rsidRPr="0097268C">
        <w:rPr>
          <w:rFonts w:cs="Calibri"/>
          <w:noProof/>
          <w:color w:val="000000" w:themeColor="text1"/>
          <w:sz w:val="20"/>
          <w:szCs w:val="20"/>
        </w:rPr>
        <w:t xml:space="preserve">(2006)  26 </w:t>
      </w:r>
      <w:r w:rsidRPr="00B022C2">
        <w:rPr>
          <w:rFonts w:cs="Calibri"/>
          <w:iCs/>
          <w:noProof/>
          <w:color w:val="000000" w:themeColor="text1"/>
          <w:sz w:val="20"/>
          <w:szCs w:val="20"/>
        </w:rPr>
        <w:t>Legal Studies 185</w:t>
      </w:r>
      <w:r w:rsidRPr="0097268C">
        <w:rPr>
          <w:rFonts w:cs="Calibri"/>
          <w:noProof/>
          <w:color w:val="000000" w:themeColor="text1"/>
          <w:sz w:val="20"/>
          <w:szCs w:val="20"/>
        </w:rPr>
        <w:t>.</w:t>
      </w:r>
    </w:p>
  </w:footnote>
  <w:footnote w:id="44">
    <w:p w14:paraId="774C4276" w14:textId="77777777"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noProof/>
          <w:color w:val="000000" w:themeColor="text1"/>
          <w:sz w:val="20"/>
          <w:szCs w:val="20"/>
        </w:rPr>
        <w:t>Ibid</w:t>
      </w:r>
      <w:r w:rsidRPr="0097268C">
        <w:rPr>
          <w:rFonts w:cs="Calibri"/>
          <w:color w:val="000000" w:themeColor="text1"/>
          <w:sz w:val="20"/>
          <w:szCs w:val="20"/>
        </w:rPr>
        <w:t>, 186.</w:t>
      </w:r>
    </w:p>
  </w:footnote>
  <w:footnote w:id="45">
    <w:p w14:paraId="439E97E9" w14:textId="47969DA5"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See Social Work England (2019), </w:t>
      </w:r>
      <w:r w:rsidRPr="0097268C">
        <w:rPr>
          <w:rFonts w:cs="Calibri"/>
          <w:i/>
          <w:iCs/>
          <w:color w:val="000000" w:themeColor="text1"/>
          <w:sz w:val="20"/>
          <w:szCs w:val="20"/>
        </w:rPr>
        <w:t>Professional Standards</w:t>
      </w:r>
      <w:r w:rsidRPr="0097268C">
        <w:rPr>
          <w:rFonts w:cs="Calibri"/>
          <w:color w:val="000000" w:themeColor="text1"/>
          <w:sz w:val="20"/>
          <w:szCs w:val="20"/>
        </w:rPr>
        <w:t xml:space="preserve">, </w:t>
      </w:r>
      <w:r>
        <w:rPr>
          <w:rFonts w:cs="Calibri"/>
          <w:color w:val="000000" w:themeColor="text1"/>
          <w:sz w:val="20"/>
          <w:szCs w:val="20"/>
        </w:rPr>
        <w:t>&lt;</w:t>
      </w:r>
      <w:hyperlink r:id="rId5" w:history="1">
        <w:r w:rsidRPr="0044196E">
          <w:rPr>
            <w:rStyle w:val="Hyperlink"/>
            <w:rFonts w:cs="Calibri"/>
            <w:sz w:val="20"/>
            <w:szCs w:val="20"/>
          </w:rPr>
          <w:t>www.socialworkengland.org.uk/media/1640/1227_socialworkengland_standards_prof_standards_final-aw.pdf</w:t>
        </w:r>
      </w:hyperlink>
      <w:r>
        <w:rPr>
          <w:rFonts w:cs="Calibri"/>
          <w:color w:val="000000" w:themeColor="text1"/>
          <w:sz w:val="20"/>
          <w:szCs w:val="20"/>
        </w:rPr>
        <w:t xml:space="preserve">&gt; accessed 9 December 2020. </w:t>
      </w:r>
    </w:p>
  </w:footnote>
  <w:footnote w:id="46">
    <w:p w14:paraId="3636A6FA" w14:textId="155D5B60"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Such as medicine, see J </w:t>
      </w:r>
      <w:r w:rsidRPr="0097268C">
        <w:rPr>
          <w:rFonts w:cs="Calibri"/>
          <w:noProof/>
          <w:color w:val="000000" w:themeColor="text1"/>
          <w:sz w:val="20"/>
          <w:szCs w:val="20"/>
        </w:rPr>
        <w:t xml:space="preserve">Montgomery </w:t>
      </w:r>
      <w:r>
        <w:rPr>
          <w:rFonts w:cs="Calibri"/>
          <w:noProof/>
          <w:color w:val="000000" w:themeColor="text1"/>
          <w:sz w:val="20"/>
          <w:szCs w:val="20"/>
        </w:rPr>
        <w:t>(</w:t>
      </w:r>
      <w:r w:rsidRPr="0097268C">
        <w:rPr>
          <w:rFonts w:cs="Calibri"/>
          <w:noProof/>
          <w:color w:val="000000" w:themeColor="text1"/>
          <w:sz w:val="20"/>
          <w:szCs w:val="20"/>
        </w:rPr>
        <w:t>n</w:t>
      </w:r>
      <w:r w:rsidRPr="0097268C">
        <w:rPr>
          <w:rFonts w:cs="Calibri"/>
          <w:noProof/>
          <w:color w:val="000000" w:themeColor="text1"/>
          <w:sz w:val="20"/>
          <w:szCs w:val="20"/>
        </w:rPr>
        <w:fldChar w:fldCharType="begin"/>
      </w:r>
      <w:r w:rsidRPr="0097268C">
        <w:rPr>
          <w:rFonts w:cs="Calibri"/>
          <w:noProof/>
          <w:color w:val="000000" w:themeColor="text1"/>
          <w:sz w:val="20"/>
          <w:szCs w:val="20"/>
        </w:rPr>
        <w:instrText xml:space="preserve"> NOTEREF _Ref37855607 \h  \* MERGEFORMAT </w:instrText>
      </w:r>
      <w:r w:rsidRPr="0097268C">
        <w:rPr>
          <w:rFonts w:cs="Calibri"/>
          <w:noProof/>
          <w:color w:val="000000" w:themeColor="text1"/>
          <w:sz w:val="20"/>
          <w:szCs w:val="20"/>
        </w:rPr>
      </w:r>
      <w:r w:rsidRPr="0097268C">
        <w:rPr>
          <w:rFonts w:cs="Calibri"/>
          <w:noProof/>
          <w:color w:val="000000" w:themeColor="text1"/>
          <w:sz w:val="20"/>
          <w:szCs w:val="20"/>
        </w:rPr>
        <w:fldChar w:fldCharType="separate"/>
      </w:r>
      <w:r w:rsidR="004D19A9">
        <w:rPr>
          <w:rFonts w:cs="Calibri"/>
          <w:noProof/>
          <w:color w:val="000000" w:themeColor="text1"/>
          <w:sz w:val="20"/>
          <w:szCs w:val="20"/>
        </w:rPr>
        <w:t>43</w:t>
      </w:r>
      <w:r w:rsidRPr="0097268C">
        <w:rPr>
          <w:rFonts w:cs="Calibri"/>
          <w:noProof/>
          <w:color w:val="000000" w:themeColor="text1"/>
          <w:sz w:val="20"/>
          <w:szCs w:val="20"/>
        </w:rPr>
        <w:fldChar w:fldCharType="end"/>
      </w:r>
      <w:r>
        <w:rPr>
          <w:rFonts w:cs="Calibri"/>
          <w:noProof/>
          <w:color w:val="000000" w:themeColor="text1"/>
          <w:sz w:val="20"/>
          <w:szCs w:val="20"/>
        </w:rPr>
        <w:t xml:space="preserve">). </w:t>
      </w:r>
    </w:p>
  </w:footnote>
  <w:footnote w:id="47">
    <w:p w14:paraId="69B09CC9" w14:textId="001AD017"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D </w:t>
      </w:r>
      <w:r w:rsidRPr="0097268C">
        <w:rPr>
          <w:rFonts w:cs="Calibri"/>
          <w:noProof/>
          <w:color w:val="000000" w:themeColor="text1"/>
          <w:sz w:val="20"/>
          <w:szCs w:val="20"/>
        </w:rPr>
        <w:t xml:space="preserve">Platt, ‘Care or Control? The Effects of Investigations and Initial Assessments on the Social Worker–Parent Relationship’ </w:t>
      </w:r>
      <w:r>
        <w:rPr>
          <w:rFonts w:cs="Calibri"/>
          <w:noProof/>
          <w:color w:val="000000" w:themeColor="text1"/>
          <w:sz w:val="20"/>
          <w:szCs w:val="20"/>
        </w:rPr>
        <w:t xml:space="preserve">(2008) </w:t>
      </w:r>
      <w:r w:rsidRPr="00B022C2">
        <w:rPr>
          <w:rFonts w:cs="Calibri"/>
          <w:noProof/>
          <w:color w:val="000000" w:themeColor="text1"/>
          <w:sz w:val="20"/>
          <w:szCs w:val="20"/>
        </w:rPr>
        <w:t>22 Journal of Social Work Practice 301</w:t>
      </w:r>
      <w:r w:rsidRPr="00B022C2">
        <w:rPr>
          <w:rFonts w:cs="Calibri"/>
          <w:color w:val="000000" w:themeColor="text1"/>
          <w:sz w:val="20"/>
          <w:szCs w:val="20"/>
        </w:rPr>
        <w:t>, 304</w:t>
      </w:r>
      <w:r w:rsidRPr="0097268C">
        <w:rPr>
          <w:rFonts w:cs="Calibri"/>
          <w:color w:val="000000" w:themeColor="text1"/>
          <w:sz w:val="20"/>
          <w:szCs w:val="20"/>
        </w:rPr>
        <w:t>.</w:t>
      </w:r>
    </w:p>
  </w:footnote>
  <w:footnote w:id="48">
    <w:p w14:paraId="377BAE4D" w14:textId="39872C3F"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L Series, P Fennell, J Doughty and A Mercer (2017), </w:t>
      </w:r>
      <w:r w:rsidRPr="0097268C">
        <w:rPr>
          <w:rFonts w:cs="Calibri"/>
          <w:i/>
          <w:iCs/>
          <w:color w:val="000000" w:themeColor="text1"/>
          <w:sz w:val="20"/>
          <w:szCs w:val="20"/>
        </w:rPr>
        <w:t>Welfare Cases in the Court of Protection: A Statistical Overview</w:t>
      </w:r>
      <w:r w:rsidRPr="0097268C">
        <w:rPr>
          <w:rFonts w:cs="Calibri"/>
          <w:color w:val="000000" w:themeColor="text1"/>
          <w:sz w:val="20"/>
          <w:szCs w:val="20"/>
        </w:rPr>
        <w:t>,</w:t>
      </w:r>
      <w:r>
        <w:rPr>
          <w:rFonts w:cs="Calibri"/>
          <w:color w:val="000000" w:themeColor="text1"/>
          <w:sz w:val="20"/>
          <w:szCs w:val="20"/>
        </w:rPr>
        <w:t xml:space="preserve"> &lt;</w:t>
      </w:r>
      <w:hyperlink r:id="rId6" w:history="1">
        <w:r w:rsidRPr="0097268C">
          <w:rPr>
            <w:rStyle w:val="Hyperlink"/>
            <w:rFonts w:cs="Calibri"/>
            <w:color w:val="000000" w:themeColor="text1"/>
            <w:sz w:val="20"/>
            <w:szCs w:val="20"/>
          </w:rPr>
          <w:t>www.sites.cardiff.ac.uk/wccop/new-research-an-overview-of-welfare-cases-in-the-court-of-protection/</w:t>
        </w:r>
      </w:hyperlink>
      <w:r>
        <w:rPr>
          <w:rFonts w:cs="Calibri"/>
          <w:color w:val="000000" w:themeColor="text1"/>
          <w:sz w:val="20"/>
          <w:szCs w:val="20"/>
        </w:rPr>
        <w:t xml:space="preserve">&gt; accessed 9 December 2020. </w:t>
      </w:r>
    </w:p>
  </w:footnote>
  <w:footnote w:id="49">
    <w:p w14:paraId="1EDA8D4D" w14:textId="77777777"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Sch 2 Care Act 2014.</w:t>
      </w:r>
    </w:p>
  </w:footnote>
  <w:footnote w:id="50">
    <w:p w14:paraId="416B87D5" w14:textId="08F8607C"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noProof/>
          <w:color w:val="000000" w:themeColor="text1"/>
          <w:sz w:val="20"/>
          <w:szCs w:val="20"/>
        </w:rPr>
        <w:t xml:space="preserve">J Lindsey (2016) </w:t>
      </w:r>
      <w:r>
        <w:rPr>
          <w:rFonts w:cs="Calibri"/>
          <w:noProof/>
          <w:color w:val="000000" w:themeColor="text1"/>
          <w:sz w:val="20"/>
          <w:szCs w:val="20"/>
        </w:rPr>
        <w:t>(</w:t>
      </w:r>
      <w:r w:rsidRPr="0097268C">
        <w:rPr>
          <w:rFonts w:cs="Calibri"/>
          <w:noProof/>
          <w:color w:val="000000" w:themeColor="text1"/>
          <w:sz w:val="20"/>
          <w:szCs w:val="20"/>
        </w:rPr>
        <w:t>n</w:t>
      </w:r>
      <w:r w:rsidRPr="0097268C">
        <w:rPr>
          <w:rFonts w:cs="Calibri"/>
          <w:noProof/>
          <w:color w:val="000000" w:themeColor="text1"/>
          <w:sz w:val="20"/>
          <w:szCs w:val="20"/>
        </w:rPr>
        <w:fldChar w:fldCharType="begin"/>
      </w:r>
      <w:r w:rsidRPr="0097268C">
        <w:rPr>
          <w:rFonts w:cs="Calibri"/>
          <w:noProof/>
          <w:color w:val="000000" w:themeColor="text1"/>
          <w:sz w:val="20"/>
          <w:szCs w:val="20"/>
        </w:rPr>
        <w:instrText xml:space="preserve"> NOTEREF _Ref58407313 \h  \* MERGEFORMAT </w:instrText>
      </w:r>
      <w:r w:rsidRPr="0097268C">
        <w:rPr>
          <w:rFonts w:cs="Calibri"/>
          <w:noProof/>
          <w:color w:val="000000" w:themeColor="text1"/>
          <w:sz w:val="20"/>
          <w:szCs w:val="20"/>
        </w:rPr>
      </w:r>
      <w:r w:rsidRPr="0097268C">
        <w:rPr>
          <w:rFonts w:cs="Calibri"/>
          <w:noProof/>
          <w:color w:val="000000" w:themeColor="text1"/>
          <w:sz w:val="20"/>
          <w:szCs w:val="20"/>
        </w:rPr>
        <w:fldChar w:fldCharType="separate"/>
      </w:r>
      <w:r w:rsidR="004D19A9">
        <w:rPr>
          <w:rFonts w:cs="Calibri"/>
          <w:noProof/>
          <w:color w:val="000000" w:themeColor="text1"/>
          <w:sz w:val="20"/>
          <w:szCs w:val="20"/>
        </w:rPr>
        <w:t>5</w:t>
      </w:r>
      <w:r w:rsidRPr="0097268C">
        <w:rPr>
          <w:rFonts w:cs="Calibri"/>
          <w:noProof/>
          <w:color w:val="000000" w:themeColor="text1"/>
          <w:sz w:val="20"/>
          <w:szCs w:val="20"/>
        </w:rPr>
        <w:fldChar w:fldCharType="end"/>
      </w:r>
      <w:r>
        <w:rPr>
          <w:rFonts w:cs="Calibri"/>
          <w:noProof/>
          <w:color w:val="000000" w:themeColor="text1"/>
          <w:sz w:val="20"/>
          <w:szCs w:val="20"/>
        </w:rPr>
        <w:t>)</w:t>
      </w:r>
      <w:r w:rsidRPr="0097268C">
        <w:rPr>
          <w:rFonts w:cs="Calibri"/>
          <w:noProof/>
          <w:color w:val="000000" w:themeColor="text1"/>
          <w:sz w:val="20"/>
          <w:szCs w:val="20"/>
        </w:rPr>
        <w:t>.</w:t>
      </w:r>
    </w:p>
  </w:footnote>
  <w:footnote w:id="51">
    <w:p w14:paraId="5546CD72" w14:textId="77777777"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Ibid, 476.</w:t>
      </w:r>
    </w:p>
  </w:footnote>
  <w:footnote w:id="52">
    <w:p w14:paraId="18446ACE" w14:textId="21BE6920"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noProof/>
          <w:color w:val="000000" w:themeColor="text1"/>
          <w:sz w:val="20"/>
          <w:szCs w:val="20"/>
        </w:rPr>
        <w:t xml:space="preserve">A Keeling </w:t>
      </w:r>
      <w:r>
        <w:rPr>
          <w:rFonts w:cs="Calibri"/>
          <w:noProof/>
          <w:color w:val="000000" w:themeColor="text1"/>
          <w:sz w:val="20"/>
          <w:szCs w:val="20"/>
        </w:rPr>
        <w:t>(</w:t>
      </w:r>
      <w:r w:rsidRPr="0097268C">
        <w:rPr>
          <w:rFonts w:cs="Calibri"/>
          <w:noProof/>
          <w:color w:val="000000" w:themeColor="text1"/>
          <w:sz w:val="20"/>
          <w:szCs w:val="20"/>
        </w:rPr>
        <w:t>n</w:t>
      </w:r>
      <w:r w:rsidR="004D19A9">
        <w:rPr>
          <w:rFonts w:cs="Calibri"/>
          <w:noProof/>
          <w:color w:val="000000" w:themeColor="text1"/>
          <w:sz w:val="20"/>
          <w:szCs w:val="20"/>
        </w:rPr>
        <w:fldChar w:fldCharType="begin"/>
      </w:r>
      <w:r w:rsidR="004D19A9">
        <w:rPr>
          <w:rFonts w:cs="Calibri"/>
          <w:noProof/>
          <w:color w:val="000000" w:themeColor="text1"/>
          <w:sz w:val="20"/>
          <w:szCs w:val="20"/>
        </w:rPr>
        <w:instrText xml:space="preserve"> NOTEREF _Ref58407576 \h </w:instrText>
      </w:r>
      <w:r w:rsidR="004D19A9">
        <w:rPr>
          <w:rFonts w:cs="Calibri"/>
          <w:noProof/>
          <w:color w:val="000000" w:themeColor="text1"/>
          <w:sz w:val="20"/>
          <w:szCs w:val="20"/>
        </w:rPr>
      </w:r>
      <w:r w:rsidR="004D19A9">
        <w:rPr>
          <w:rFonts w:cs="Calibri"/>
          <w:noProof/>
          <w:color w:val="000000" w:themeColor="text1"/>
          <w:sz w:val="20"/>
          <w:szCs w:val="20"/>
        </w:rPr>
        <w:fldChar w:fldCharType="separate"/>
      </w:r>
      <w:r w:rsidR="004D19A9">
        <w:rPr>
          <w:rFonts w:cs="Calibri"/>
          <w:noProof/>
          <w:color w:val="000000" w:themeColor="text1"/>
          <w:sz w:val="20"/>
          <w:szCs w:val="20"/>
        </w:rPr>
        <w:t>21</w:t>
      </w:r>
      <w:r w:rsidR="004D19A9">
        <w:rPr>
          <w:rFonts w:cs="Calibri"/>
          <w:noProof/>
          <w:color w:val="000000" w:themeColor="text1"/>
          <w:sz w:val="20"/>
          <w:szCs w:val="20"/>
        </w:rPr>
        <w:fldChar w:fldCharType="end"/>
      </w:r>
      <w:r>
        <w:rPr>
          <w:rFonts w:cs="Calibri"/>
          <w:noProof/>
          <w:color w:val="000000" w:themeColor="text1"/>
          <w:sz w:val="20"/>
          <w:szCs w:val="20"/>
        </w:rPr>
        <w:t>)</w:t>
      </w:r>
      <w:r w:rsidRPr="0097268C">
        <w:rPr>
          <w:rFonts w:cs="Calibri"/>
          <w:noProof/>
          <w:color w:val="000000" w:themeColor="text1"/>
          <w:sz w:val="20"/>
          <w:szCs w:val="20"/>
        </w:rPr>
        <w:t>.</w:t>
      </w:r>
    </w:p>
  </w:footnote>
  <w:footnote w:id="53">
    <w:p w14:paraId="175B7532" w14:textId="20D3ACB8" w:rsidR="000C7019" w:rsidRPr="0097268C" w:rsidRDefault="000C7019" w:rsidP="000C7019">
      <w:pPr>
        <w:autoSpaceDE w:val="0"/>
        <w:autoSpaceDN w:val="0"/>
        <w:adjustRightInd w:val="0"/>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Making safeguarding personal is a Local Government Association initiative which brings together various local authorities to agree on an approach which, in essence, ensures that safeguarding is done with the person rather than following a procedural approach. See Association of Directors of Adult Social Services (2017) </w:t>
      </w:r>
      <w:r w:rsidRPr="0097268C">
        <w:rPr>
          <w:rFonts w:cs="Calibri"/>
          <w:i/>
          <w:color w:val="000000" w:themeColor="text1"/>
          <w:sz w:val="20"/>
          <w:szCs w:val="20"/>
        </w:rPr>
        <w:t>Making Safeguarding Personal</w:t>
      </w:r>
      <w:r w:rsidRPr="0097268C">
        <w:rPr>
          <w:rFonts w:cs="Calibri"/>
          <w:color w:val="000000" w:themeColor="text1"/>
          <w:sz w:val="20"/>
          <w:szCs w:val="20"/>
        </w:rPr>
        <w:t xml:space="preserve">, </w:t>
      </w:r>
      <w:r>
        <w:rPr>
          <w:rFonts w:cs="Calibri"/>
          <w:color w:val="000000" w:themeColor="text1"/>
          <w:sz w:val="20"/>
          <w:szCs w:val="20"/>
        </w:rPr>
        <w:t>&lt;</w:t>
      </w:r>
      <w:hyperlink r:id="rId7" w:history="1">
        <w:r w:rsidRPr="0044196E">
          <w:rPr>
            <w:rStyle w:val="Hyperlink"/>
            <w:rFonts w:cs="Calibri"/>
            <w:sz w:val="20"/>
            <w:szCs w:val="20"/>
          </w:rPr>
          <w:t>www.adass.org.uk/making-safeguarding-personal-publications</w:t>
        </w:r>
      </w:hyperlink>
      <w:r>
        <w:rPr>
          <w:rFonts w:cs="Calibri"/>
          <w:color w:val="000000" w:themeColor="text1"/>
          <w:sz w:val="20"/>
          <w:szCs w:val="20"/>
        </w:rPr>
        <w:t xml:space="preserve">&gt; accessed 9 December 2020. </w:t>
      </w:r>
    </w:p>
  </w:footnote>
  <w:footnote w:id="54">
    <w:p w14:paraId="2AABB3C4" w14:textId="572F28B7" w:rsidR="000C7019" w:rsidRPr="0097268C" w:rsidRDefault="000C7019" w:rsidP="000C7019">
      <w:pPr>
        <w:pStyle w:val="FootnoteText"/>
        <w:contextualSpacing/>
        <w:jc w:val="both"/>
        <w:rPr>
          <w:rFonts w:cs="Calibri"/>
          <w:color w:val="000000" w:themeColor="text1"/>
          <w:sz w:val="20"/>
          <w:szCs w:val="20"/>
          <w:lang w:val="en-GB"/>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w:t>
      </w:r>
      <w:r w:rsidRPr="0097268C">
        <w:rPr>
          <w:rFonts w:cs="Calibri"/>
          <w:noProof/>
          <w:color w:val="000000" w:themeColor="text1"/>
          <w:sz w:val="20"/>
          <w:szCs w:val="20"/>
        </w:rPr>
        <w:t xml:space="preserve">J Lindsey (2016) </w:t>
      </w:r>
      <w:r>
        <w:rPr>
          <w:rFonts w:cs="Calibri"/>
          <w:noProof/>
          <w:color w:val="000000" w:themeColor="text1"/>
          <w:sz w:val="20"/>
          <w:szCs w:val="20"/>
        </w:rPr>
        <w:t>(</w:t>
      </w:r>
      <w:r w:rsidRPr="0097268C">
        <w:rPr>
          <w:rFonts w:cs="Calibri"/>
          <w:noProof/>
          <w:color w:val="000000" w:themeColor="text1"/>
          <w:sz w:val="20"/>
          <w:szCs w:val="20"/>
        </w:rPr>
        <w:t>n</w:t>
      </w:r>
      <w:r w:rsidRPr="0097268C">
        <w:rPr>
          <w:rFonts w:cs="Calibri"/>
          <w:noProof/>
          <w:color w:val="000000" w:themeColor="text1"/>
          <w:sz w:val="20"/>
          <w:szCs w:val="20"/>
        </w:rPr>
        <w:fldChar w:fldCharType="begin"/>
      </w:r>
      <w:r w:rsidRPr="0097268C">
        <w:rPr>
          <w:rFonts w:cs="Calibri"/>
          <w:noProof/>
          <w:color w:val="000000" w:themeColor="text1"/>
          <w:sz w:val="20"/>
          <w:szCs w:val="20"/>
        </w:rPr>
        <w:instrText xml:space="preserve"> NOTEREF _Ref58407313 \h  \* MERGEFORMAT </w:instrText>
      </w:r>
      <w:r w:rsidRPr="0097268C">
        <w:rPr>
          <w:rFonts w:cs="Calibri"/>
          <w:noProof/>
          <w:color w:val="000000" w:themeColor="text1"/>
          <w:sz w:val="20"/>
          <w:szCs w:val="20"/>
        </w:rPr>
      </w:r>
      <w:r w:rsidRPr="0097268C">
        <w:rPr>
          <w:rFonts w:cs="Calibri"/>
          <w:noProof/>
          <w:color w:val="000000" w:themeColor="text1"/>
          <w:sz w:val="20"/>
          <w:szCs w:val="20"/>
        </w:rPr>
        <w:fldChar w:fldCharType="separate"/>
      </w:r>
      <w:r w:rsidR="004D19A9">
        <w:rPr>
          <w:rFonts w:cs="Calibri"/>
          <w:noProof/>
          <w:color w:val="000000" w:themeColor="text1"/>
          <w:sz w:val="20"/>
          <w:szCs w:val="20"/>
        </w:rPr>
        <w:t>5</w:t>
      </w:r>
      <w:r w:rsidRPr="0097268C">
        <w:rPr>
          <w:rFonts w:cs="Calibri"/>
          <w:noProof/>
          <w:color w:val="000000" w:themeColor="text1"/>
          <w:sz w:val="20"/>
          <w:szCs w:val="20"/>
        </w:rPr>
        <w:fldChar w:fldCharType="end"/>
      </w:r>
      <w:r>
        <w:rPr>
          <w:rFonts w:cs="Calibri"/>
          <w:noProof/>
          <w:color w:val="000000" w:themeColor="text1"/>
          <w:sz w:val="20"/>
          <w:szCs w:val="20"/>
        </w:rPr>
        <w:t>)</w:t>
      </w:r>
      <w:r w:rsidRPr="0097268C">
        <w:rPr>
          <w:rFonts w:cs="Calibri"/>
          <w:noProof/>
          <w:color w:val="000000" w:themeColor="text1"/>
          <w:sz w:val="20"/>
          <w:szCs w:val="20"/>
        </w:rPr>
        <w:t>.</w:t>
      </w:r>
    </w:p>
  </w:footnote>
  <w:footnote w:id="55">
    <w:p w14:paraId="181C2D50" w14:textId="77777777" w:rsidR="000C7019" w:rsidRPr="0097268C" w:rsidRDefault="000C7019" w:rsidP="000C7019">
      <w:pPr>
        <w:pStyle w:val="FootnoteText"/>
        <w:contextualSpacing/>
        <w:jc w:val="both"/>
        <w:rPr>
          <w:rFonts w:cs="Calibri"/>
          <w:color w:val="000000" w:themeColor="text1"/>
          <w:sz w:val="20"/>
          <w:szCs w:val="20"/>
        </w:rPr>
      </w:pPr>
      <w:r w:rsidRPr="0097268C">
        <w:rPr>
          <w:rStyle w:val="FootnoteReference"/>
          <w:rFonts w:cs="Calibri"/>
          <w:color w:val="000000" w:themeColor="text1"/>
          <w:sz w:val="20"/>
          <w:szCs w:val="20"/>
        </w:rPr>
        <w:footnoteRef/>
      </w:r>
      <w:r w:rsidRPr="0097268C">
        <w:rPr>
          <w:rFonts w:cs="Calibri"/>
          <w:color w:val="000000" w:themeColor="text1"/>
          <w:sz w:val="20"/>
          <w:szCs w:val="20"/>
        </w:rPr>
        <w:t xml:space="preserve"> [2010] EWHC 1549.</w:t>
      </w:r>
    </w:p>
  </w:footnote>
  <w:footnote w:id="56">
    <w:p w14:paraId="6DBC8BD8" w14:textId="30200613" w:rsidR="000C7019" w:rsidRPr="00B35BFC" w:rsidRDefault="000C7019" w:rsidP="000C7019">
      <w:pPr>
        <w:pStyle w:val="FootnoteText"/>
        <w:jc w:val="both"/>
        <w:rPr>
          <w:lang w:val="en-GB"/>
        </w:rPr>
      </w:pPr>
      <w:r w:rsidRPr="0097268C">
        <w:rPr>
          <w:rStyle w:val="FootnoteReference"/>
          <w:color w:val="000000" w:themeColor="text1"/>
          <w:sz w:val="20"/>
          <w:szCs w:val="20"/>
        </w:rPr>
        <w:footnoteRef/>
      </w:r>
      <w:r w:rsidRPr="0097268C">
        <w:rPr>
          <w:color w:val="000000" w:themeColor="text1"/>
          <w:sz w:val="20"/>
          <w:szCs w:val="20"/>
        </w:rPr>
        <w:t xml:space="preserve"> C </w:t>
      </w:r>
      <w:r w:rsidRPr="0097268C">
        <w:rPr>
          <w:rFonts w:cs="Helvetica"/>
          <w:color w:val="000000" w:themeColor="text1"/>
          <w:sz w:val="20"/>
          <w:szCs w:val="20"/>
        </w:rPr>
        <w:t>Kong, J Coggon, M Dunn and A Ruck Keene, (Forthcoming) ‘An Aide Memoire for a Balancing Act? Critiquing the ‘Balance Sheet’ Approach to Best Interests</w:t>
      </w:r>
      <w:r w:rsidRPr="00025AC1">
        <w:rPr>
          <w:rFonts w:cs="Helvetica"/>
          <w:color w:val="000000" w:themeColor="text1"/>
          <w:sz w:val="20"/>
          <w:szCs w:val="20"/>
        </w:rPr>
        <w:t xml:space="preserve"> Decision-Making’ </w:t>
      </w:r>
      <w:r w:rsidRPr="00025AC1">
        <w:rPr>
          <w:rFonts w:cs="Helvetica"/>
          <w:i/>
          <w:iCs/>
          <w:color w:val="000000" w:themeColor="text1"/>
          <w:sz w:val="20"/>
          <w:szCs w:val="20"/>
        </w:rPr>
        <w:t>Medical Law Review.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286C87"/>
    <w:multiLevelType w:val="hybridMultilevel"/>
    <w:tmpl w:val="4B8A675A"/>
    <w:lvl w:ilvl="0" w:tplc="7068B8E8">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17BC1"/>
    <w:multiLevelType w:val="multilevel"/>
    <w:tmpl w:val="81F41470"/>
    <w:lvl w:ilvl="0">
      <w:start w:val="1"/>
      <w:numFmt w:val="decimal"/>
      <w:lvlText w:val="%1."/>
      <w:lvlJc w:val="left"/>
      <w:pPr>
        <w:ind w:left="360" w:hanging="360"/>
      </w:pPr>
      <w:rPr>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A4315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08081A"/>
    <w:multiLevelType w:val="hybridMultilevel"/>
    <w:tmpl w:val="039845DA"/>
    <w:lvl w:ilvl="0" w:tplc="E06C149C">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22A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E553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AA252F"/>
    <w:multiLevelType w:val="hybridMultilevel"/>
    <w:tmpl w:val="659C7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12734"/>
    <w:multiLevelType w:val="hybridMultilevel"/>
    <w:tmpl w:val="4C887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3363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9B155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1748ED"/>
    <w:multiLevelType w:val="hybridMultilevel"/>
    <w:tmpl w:val="6F4C4BD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F62083"/>
    <w:multiLevelType w:val="multilevel"/>
    <w:tmpl w:val="DB34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F868A8"/>
    <w:multiLevelType w:val="hybridMultilevel"/>
    <w:tmpl w:val="4E848C9A"/>
    <w:lvl w:ilvl="0" w:tplc="CD5E39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6E21CB"/>
    <w:multiLevelType w:val="multilevel"/>
    <w:tmpl w:val="43BE5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17E0C6B"/>
    <w:multiLevelType w:val="multilevel"/>
    <w:tmpl w:val="447EE540"/>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416AA0"/>
    <w:multiLevelType w:val="multilevel"/>
    <w:tmpl w:val="A8B0E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9D5ECF"/>
    <w:multiLevelType w:val="multilevel"/>
    <w:tmpl w:val="DC3C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034413"/>
    <w:multiLevelType w:val="multilevel"/>
    <w:tmpl w:val="90A44CD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3459DD"/>
    <w:multiLevelType w:val="hybridMultilevel"/>
    <w:tmpl w:val="4C887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0AA3503"/>
    <w:multiLevelType w:val="multilevel"/>
    <w:tmpl w:val="A9FCA890"/>
    <w:lvl w:ilvl="0">
      <w:start w:val="1"/>
      <w:numFmt w:val="decimal"/>
      <w:pStyle w:val="Head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3D409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DE7CC0"/>
    <w:multiLevelType w:val="hybridMultilevel"/>
    <w:tmpl w:val="5F54A3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C4679B6"/>
    <w:multiLevelType w:val="hybridMultilevel"/>
    <w:tmpl w:val="9CB4294A"/>
    <w:lvl w:ilvl="0" w:tplc="868E9EAE">
      <w:start w:val="1"/>
      <w:numFmt w:val="decimal"/>
      <w:lvlText w:val="%1."/>
      <w:lvlJc w:val="left"/>
      <w:pPr>
        <w:ind w:left="785" w:hanging="360"/>
      </w:pPr>
      <w:rPr>
        <w:rFonts w:hint="default"/>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AD78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FB2695"/>
    <w:multiLevelType w:val="hybridMultilevel"/>
    <w:tmpl w:val="2BCA41D8"/>
    <w:lvl w:ilvl="0" w:tplc="8452B22C">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235473"/>
    <w:multiLevelType w:val="multilevel"/>
    <w:tmpl w:val="33907D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533494"/>
    <w:multiLevelType w:val="multilevel"/>
    <w:tmpl w:val="A8147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8F5668"/>
    <w:multiLevelType w:val="hybridMultilevel"/>
    <w:tmpl w:val="2984F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117EF6"/>
    <w:multiLevelType w:val="hybridMultilevel"/>
    <w:tmpl w:val="6F4C4BD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B848E1"/>
    <w:multiLevelType w:val="multilevel"/>
    <w:tmpl w:val="AC888F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98D3B9F"/>
    <w:multiLevelType w:val="hybridMultilevel"/>
    <w:tmpl w:val="FCCA84A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15:restartNumberingAfterBreak="0">
    <w:nsid w:val="5C2243D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71316F"/>
    <w:multiLevelType w:val="hybridMultilevel"/>
    <w:tmpl w:val="1C8C775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C90BD2"/>
    <w:multiLevelType w:val="hybridMultilevel"/>
    <w:tmpl w:val="2DB85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093205F"/>
    <w:multiLevelType w:val="hybridMultilevel"/>
    <w:tmpl w:val="659C70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643F4D"/>
    <w:multiLevelType w:val="hybridMultilevel"/>
    <w:tmpl w:val="403C9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C5C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A8254BA"/>
    <w:multiLevelType w:val="hybridMultilevel"/>
    <w:tmpl w:val="661241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CED7FE6"/>
    <w:multiLevelType w:val="multilevel"/>
    <w:tmpl w:val="42CAA2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D965E02"/>
    <w:multiLevelType w:val="hybridMultilevel"/>
    <w:tmpl w:val="2BCA41D8"/>
    <w:lvl w:ilvl="0" w:tplc="8452B22C">
      <w:start w:val="1"/>
      <w:numFmt w:val="decimal"/>
      <w:lvlText w:val="%1."/>
      <w:lvlJc w:val="left"/>
      <w:pPr>
        <w:ind w:left="720" w:hanging="360"/>
      </w:pPr>
      <w:rPr>
        <w:rFonts w:ascii="Arial" w:hAnsi="Arial" w:cs="Arial" w:hint="default"/>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CD7CF6"/>
    <w:multiLevelType w:val="hybridMultilevel"/>
    <w:tmpl w:val="4C887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32005D"/>
    <w:multiLevelType w:val="hybridMultilevel"/>
    <w:tmpl w:val="1BCA8C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44" w15:restartNumberingAfterBreak="0">
    <w:nsid w:val="77972336"/>
    <w:multiLevelType w:val="hybridMultilevel"/>
    <w:tmpl w:val="442A8C0E"/>
    <w:lvl w:ilvl="0" w:tplc="D2AE0A5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905F09"/>
    <w:multiLevelType w:val="hybridMultilevel"/>
    <w:tmpl w:val="4C8870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AA5091"/>
    <w:multiLevelType w:val="multilevel"/>
    <w:tmpl w:val="FF3EB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9F38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3"/>
  </w:num>
  <w:num w:numId="2">
    <w:abstractNumId w:val="42"/>
  </w:num>
  <w:num w:numId="3">
    <w:abstractNumId w:val="39"/>
  </w:num>
  <w:num w:numId="4">
    <w:abstractNumId w:val="6"/>
  </w:num>
  <w:num w:numId="5">
    <w:abstractNumId w:val="19"/>
  </w:num>
  <w:num w:numId="6">
    <w:abstractNumId w:val="45"/>
  </w:num>
  <w:num w:numId="7">
    <w:abstractNumId w:val="10"/>
  </w:num>
  <w:num w:numId="8">
    <w:abstractNumId w:val="9"/>
  </w:num>
  <w:num w:numId="9">
    <w:abstractNumId w:val="25"/>
  </w:num>
  <w:num w:numId="10">
    <w:abstractNumId w:val="0"/>
  </w:num>
  <w:num w:numId="11">
    <w:abstractNumId w:val="36"/>
  </w:num>
  <w:num w:numId="12">
    <w:abstractNumId w:val="40"/>
  </w:num>
  <w:num w:numId="13">
    <w:abstractNumId w:val="2"/>
  </w:num>
  <w:num w:numId="14">
    <w:abstractNumId w:val="20"/>
  </w:num>
  <w:num w:numId="15">
    <w:abstractNumId w:val="37"/>
  </w:num>
  <w:num w:numId="16">
    <w:abstractNumId w:val="3"/>
  </w:num>
  <w:num w:numId="17">
    <w:abstractNumId w:val="27"/>
  </w:num>
  <w:num w:numId="18">
    <w:abstractNumId w:val="15"/>
  </w:num>
  <w:num w:numId="19">
    <w:abstractNumId w:val="16"/>
  </w:num>
  <w:num w:numId="20">
    <w:abstractNumId w:val="46"/>
  </w:num>
  <w:num w:numId="21">
    <w:abstractNumId w:val="23"/>
  </w:num>
  <w:num w:numId="22">
    <w:abstractNumId w:val="47"/>
  </w:num>
  <w:num w:numId="23">
    <w:abstractNumId w:val="32"/>
  </w:num>
  <w:num w:numId="24">
    <w:abstractNumId w:val="24"/>
  </w:num>
  <w:num w:numId="25">
    <w:abstractNumId w:val="31"/>
  </w:num>
  <w:num w:numId="26">
    <w:abstractNumId w:val="4"/>
  </w:num>
  <w:num w:numId="27">
    <w:abstractNumId w:val="22"/>
  </w:num>
  <w:num w:numId="28">
    <w:abstractNumId w:val="12"/>
  </w:num>
  <w:num w:numId="29">
    <w:abstractNumId w:val="26"/>
  </w:num>
  <w:num w:numId="30">
    <w:abstractNumId w:val="30"/>
  </w:num>
  <w:num w:numId="31">
    <w:abstractNumId w:val="5"/>
  </w:num>
  <w:num w:numId="32">
    <w:abstractNumId w:val="18"/>
  </w:num>
  <w:num w:numId="33">
    <w:abstractNumId w:val="34"/>
  </w:num>
  <w:num w:numId="34">
    <w:abstractNumId w:val="8"/>
  </w:num>
  <w:num w:numId="35">
    <w:abstractNumId w:val="21"/>
  </w:num>
  <w:num w:numId="36">
    <w:abstractNumId w:val="28"/>
  </w:num>
  <w:num w:numId="37">
    <w:abstractNumId w:val="35"/>
  </w:num>
  <w:num w:numId="38">
    <w:abstractNumId w:val="7"/>
  </w:num>
  <w:num w:numId="39">
    <w:abstractNumId w:val="41"/>
  </w:num>
  <w:num w:numId="40">
    <w:abstractNumId w:val="14"/>
    <w:lvlOverride w:ilvl="0">
      <w:startOverride w:val="3"/>
    </w:lvlOverride>
  </w:num>
  <w:num w:numId="41">
    <w:abstractNumId w:val="38"/>
  </w:num>
  <w:num w:numId="42">
    <w:abstractNumId w:val="13"/>
  </w:num>
  <w:num w:numId="43">
    <w:abstractNumId w:val="44"/>
  </w:num>
  <w:num w:numId="44">
    <w:abstractNumId w:val="29"/>
  </w:num>
  <w:num w:numId="45">
    <w:abstractNumId w:val="11"/>
  </w:num>
  <w:num w:numId="46">
    <w:abstractNumId w:val="33"/>
  </w:num>
  <w:num w:numId="47">
    <w:abstractNumId w:val="1"/>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0E0EC5"/>
    <w:rsid w:val="00002531"/>
    <w:rsid w:val="00003DEF"/>
    <w:rsid w:val="00004E8C"/>
    <w:rsid w:val="000070A7"/>
    <w:rsid w:val="0001600D"/>
    <w:rsid w:val="000178B2"/>
    <w:rsid w:val="00017F4C"/>
    <w:rsid w:val="00021611"/>
    <w:rsid w:val="00034A87"/>
    <w:rsid w:val="00037C45"/>
    <w:rsid w:val="0004129F"/>
    <w:rsid w:val="00041A94"/>
    <w:rsid w:val="0004295A"/>
    <w:rsid w:val="0005210B"/>
    <w:rsid w:val="00053B26"/>
    <w:rsid w:val="000633CA"/>
    <w:rsid w:val="00065363"/>
    <w:rsid w:val="00067216"/>
    <w:rsid w:val="00072358"/>
    <w:rsid w:val="00076CA2"/>
    <w:rsid w:val="00083AA2"/>
    <w:rsid w:val="0008696C"/>
    <w:rsid w:val="00096340"/>
    <w:rsid w:val="000A6DD8"/>
    <w:rsid w:val="000A73A7"/>
    <w:rsid w:val="000C7019"/>
    <w:rsid w:val="000E0EC5"/>
    <w:rsid w:val="000E32AA"/>
    <w:rsid w:val="000F31A0"/>
    <w:rsid w:val="000F3AF0"/>
    <w:rsid w:val="000F3BC5"/>
    <w:rsid w:val="000F516D"/>
    <w:rsid w:val="000F5769"/>
    <w:rsid w:val="000F7EF5"/>
    <w:rsid w:val="00101A2B"/>
    <w:rsid w:val="00107EDD"/>
    <w:rsid w:val="0012077A"/>
    <w:rsid w:val="00122689"/>
    <w:rsid w:val="00123FB3"/>
    <w:rsid w:val="00124690"/>
    <w:rsid w:val="00130D62"/>
    <w:rsid w:val="00135AE5"/>
    <w:rsid w:val="00137116"/>
    <w:rsid w:val="00140FC8"/>
    <w:rsid w:val="00141EDC"/>
    <w:rsid w:val="00141F79"/>
    <w:rsid w:val="001562CB"/>
    <w:rsid w:val="001747E7"/>
    <w:rsid w:val="00176380"/>
    <w:rsid w:val="00182CAD"/>
    <w:rsid w:val="001858BB"/>
    <w:rsid w:val="00185D37"/>
    <w:rsid w:val="00191DBD"/>
    <w:rsid w:val="001A06EA"/>
    <w:rsid w:val="001A1327"/>
    <w:rsid w:val="001A3799"/>
    <w:rsid w:val="001B0838"/>
    <w:rsid w:val="001B71EF"/>
    <w:rsid w:val="001C49A2"/>
    <w:rsid w:val="001C49D6"/>
    <w:rsid w:val="001C4BD1"/>
    <w:rsid w:val="001C4F72"/>
    <w:rsid w:val="001C55D2"/>
    <w:rsid w:val="001C71A1"/>
    <w:rsid w:val="001D09D1"/>
    <w:rsid w:val="001D53A1"/>
    <w:rsid w:val="001D5ECB"/>
    <w:rsid w:val="001D7BFB"/>
    <w:rsid w:val="001E2632"/>
    <w:rsid w:val="001F0B51"/>
    <w:rsid w:val="001F2567"/>
    <w:rsid w:val="001F28D4"/>
    <w:rsid w:val="001F6112"/>
    <w:rsid w:val="00210000"/>
    <w:rsid w:val="00215F2A"/>
    <w:rsid w:val="00217872"/>
    <w:rsid w:val="00220041"/>
    <w:rsid w:val="00227054"/>
    <w:rsid w:val="00227A43"/>
    <w:rsid w:val="00227C22"/>
    <w:rsid w:val="00230D6F"/>
    <w:rsid w:val="00240A9E"/>
    <w:rsid w:val="00242789"/>
    <w:rsid w:val="002521B7"/>
    <w:rsid w:val="002663C8"/>
    <w:rsid w:val="0026720B"/>
    <w:rsid w:val="00267C29"/>
    <w:rsid w:val="0027203F"/>
    <w:rsid w:val="00272977"/>
    <w:rsid w:val="00273A82"/>
    <w:rsid w:val="00274019"/>
    <w:rsid w:val="0027665D"/>
    <w:rsid w:val="002816D3"/>
    <w:rsid w:val="002865B9"/>
    <w:rsid w:val="00295308"/>
    <w:rsid w:val="002A2956"/>
    <w:rsid w:val="002B01D1"/>
    <w:rsid w:val="002B070E"/>
    <w:rsid w:val="002B1122"/>
    <w:rsid w:val="002B2CB4"/>
    <w:rsid w:val="002B3F58"/>
    <w:rsid w:val="002B5498"/>
    <w:rsid w:val="002C25A9"/>
    <w:rsid w:val="002D6AFA"/>
    <w:rsid w:val="002E128F"/>
    <w:rsid w:val="002E1BAD"/>
    <w:rsid w:val="002E246E"/>
    <w:rsid w:val="002E592A"/>
    <w:rsid w:val="003045A0"/>
    <w:rsid w:val="00311046"/>
    <w:rsid w:val="00320F13"/>
    <w:rsid w:val="00321301"/>
    <w:rsid w:val="003234CC"/>
    <w:rsid w:val="00327F51"/>
    <w:rsid w:val="003301B2"/>
    <w:rsid w:val="00331D5E"/>
    <w:rsid w:val="003343BA"/>
    <w:rsid w:val="003410F5"/>
    <w:rsid w:val="00344F52"/>
    <w:rsid w:val="00347F53"/>
    <w:rsid w:val="00351E7B"/>
    <w:rsid w:val="0036191F"/>
    <w:rsid w:val="0036222E"/>
    <w:rsid w:val="00363380"/>
    <w:rsid w:val="0036411A"/>
    <w:rsid w:val="003645D6"/>
    <w:rsid w:val="00373968"/>
    <w:rsid w:val="00377364"/>
    <w:rsid w:val="00381029"/>
    <w:rsid w:val="0038478F"/>
    <w:rsid w:val="00391178"/>
    <w:rsid w:val="00394669"/>
    <w:rsid w:val="00394DCA"/>
    <w:rsid w:val="00397804"/>
    <w:rsid w:val="003A0A4E"/>
    <w:rsid w:val="003A28DA"/>
    <w:rsid w:val="003A5363"/>
    <w:rsid w:val="003A58E9"/>
    <w:rsid w:val="003B2D4F"/>
    <w:rsid w:val="003B5755"/>
    <w:rsid w:val="003B6861"/>
    <w:rsid w:val="003C1870"/>
    <w:rsid w:val="003C36CA"/>
    <w:rsid w:val="003C5212"/>
    <w:rsid w:val="003D3DA9"/>
    <w:rsid w:val="003D5176"/>
    <w:rsid w:val="003E758C"/>
    <w:rsid w:val="003F0266"/>
    <w:rsid w:val="003F452D"/>
    <w:rsid w:val="003F59EC"/>
    <w:rsid w:val="004025DA"/>
    <w:rsid w:val="00410D8F"/>
    <w:rsid w:val="00425E25"/>
    <w:rsid w:val="00430ADB"/>
    <w:rsid w:val="00431153"/>
    <w:rsid w:val="00435959"/>
    <w:rsid w:val="004379E5"/>
    <w:rsid w:val="00443810"/>
    <w:rsid w:val="004443F3"/>
    <w:rsid w:val="00450413"/>
    <w:rsid w:val="00456C1A"/>
    <w:rsid w:val="00464F1A"/>
    <w:rsid w:val="00464F81"/>
    <w:rsid w:val="0047014C"/>
    <w:rsid w:val="004716C0"/>
    <w:rsid w:val="00473FBC"/>
    <w:rsid w:val="00490B40"/>
    <w:rsid w:val="00492A33"/>
    <w:rsid w:val="004A3E83"/>
    <w:rsid w:val="004A4775"/>
    <w:rsid w:val="004A654F"/>
    <w:rsid w:val="004A7896"/>
    <w:rsid w:val="004B608F"/>
    <w:rsid w:val="004C5FA4"/>
    <w:rsid w:val="004D19A9"/>
    <w:rsid w:val="004D2609"/>
    <w:rsid w:val="004D4EE8"/>
    <w:rsid w:val="004F1306"/>
    <w:rsid w:val="004F64FC"/>
    <w:rsid w:val="005039A3"/>
    <w:rsid w:val="00516EFB"/>
    <w:rsid w:val="005210E3"/>
    <w:rsid w:val="00530227"/>
    <w:rsid w:val="00530DB4"/>
    <w:rsid w:val="00531DFE"/>
    <w:rsid w:val="00531EF9"/>
    <w:rsid w:val="005370ED"/>
    <w:rsid w:val="005407C4"/>
    <w:rsid w:val="00547921"/>
    <w:rsid w:val="005510AB"/>
    <w:rsid w:val="005548F7"/>
    <w:rsid w:val="00554930"/>
    <w:rsid w:val="00556497"/>
    <w:rsid w:val="00561CBE"/>
    <w:rsid w:val="00572C5D"/>
    <w:rsid w:val="00573F98"/>
    <w:rsid w:val="005743CC"/>
    <w:rsid w:val="005754DD"/>
    <w:rsid w:val="005855A4"/>
    <w:rsid w:val="005961F8"/>
    <w:rsid w:val="005A2ADD"/>
    <w:rsid w:val="005A3A11"/>
    <w:rsid w:val="005B6C88"/>
    <w:rsid w:val="005C0087"/>
    <w:rsid w:val="005C2193"/>
    <w:rsid w:val="005C2990"/>
    <w:rsid w:val="005C2C0E"/>
    <w:rsid w:val="005C7B46"/>
    <w:rsid w:val="005D0968"/>
    <w:rsid w:val="005D3C89"/>
    <w:rsid w:val="005E4DC1"/>
    <w:rsid w:val="00605FE3"/>
    <w:rsid w:val="00606613"/>
    <w:rsid w:val="00613057"/>
    <w:rsid w:val="00614C28"/>
    <w:rsid w:val="006238DF"/>
    <w:rsid w:val="00625787"/>
    <w:rsid w:val="006264AE"/>
    <w:rsid w:val="00640B4E"/>
    <w:rsid w:val="00642320"/>
    <w:rsid w:val="00642CDF"/>
    <w:rsid w:val="006455E7"/>
    <w:rsid w:val="00650413"/>
    <w:rsid w:val="006549EB"/>
    <w:rsid w:val="00655E6B"/>
    <w:rsid w:val="006601A8"/>
    <w:rsid w:val="00661C79"/>
    <w:rsid w:val="00667359"/>
    <w:rsid w:val="00670CF6"/>
    <w:rsid w:val="00671B6E"/>
    <w:rsid w:val="006744E8"/>
    <w:rsid w:val="00674EDA"/>
    <w:rsid w:val="0068548C"/>
    <w:rsid w:val="00691FE3"/>
    <w:rsid w:val="00692922"/>
    <w:rsid w:val="00693B5E"/>
    <w:rsid w:val="00695C1B"/>
    <w:rsid w:val="0069643C"/>
    <w:rsid w:val="006A57EC"/>
    <w:rsid w:val="006B0FC4"/>
    <w:rsid w:val="006B49F1"/>
    <w:rsid w:val="006C025E"/>
    <w:rsid w:val="006C3F5B"/>
    <w:rsid w:val="006C5459"/>
    <w:rsid w:val="006C5BE5"/>
    <w:rsid w:val="006C5FBC"/>
    <w:rsid w:val="006D1101"/>
    <w:rsid w:val="006D3880"/>
    <w:rsid w:val="006D3922"/>
    <w:rsid w:val="006D7B63"/>
    <w:rsid w:val="006F050D"/>
    <w:rsid w:val="00700205"/>
    <w:rsid w:val="00700D84"/>
    <w:rsid w:val="0070273C"/>
    <w:rsid w:val="00702DEA"/>
    <w:rsid w:val="00710AC3"/>
    <w:rsid w:val="0071474C"/>
    <w:rsid w:val="0071600E"/>
    <w:rsid w:val="00716CFD"/>
    <w:rsid w:val="00717A86"/>
    <w:rsid w:val="00722D0C"/>
    <w:rsid w:val="0072336D"/>
    <w:rsid w:val="0073426B"/>
    <w:rsid w:val="00737E52"/>
    <w:rsid w:val="00744210"/>
    <w:rsid w:val="00745E6F"/>
    <w:rsid w:val="0074617D"/>
    <w:rsid w:val="007500F4"/>
    <w:rsid w:val="00753773"/>
    <w:rsid w:val="00754506"/>
    <w:rsid w:val="00754DE7"/>
    <w:rsid w:val="00754E8A"/>
    <w:rsid w:val="00762408"/>
    <w:rsid w:val="00767B4D"/>
    <w:rsid w:val="007704E4"/>
    <w:rsid w:val="00772265"/>
    <w:rsid w:val="00773906"/>
    <w:rsid w:val="007742D9"/>
    <w:rsid w:val="00784BD9"/>
    <w:rsid w:val="00785989"/>
    <w:rsid w:val="00791273"/>
    <w:rsid w:val="00793BB8"/>
    <w:rsid w:val="00794F02"/>
    <w:rsid w:val="007B329C"/>
    <w:rsid w:val="007B492B"/>
    <w:rsid w:val="007B60EE"/>
    <w:rsid w:val="007B6DDF"/>
    <w:rsid w:val="007B77EA"/>
    <w:rsid w:val="007C5696"/>
    <w:rsid w:val="007C6A21"/>
    <w:rsid w:val="007D32C6"/>
    <w:rsid w:val="007D54B3"/>
    <w:rsid w:val="007D7506"/>
    <w:rsid w:val="007E0C72"/>
    <w:rsid w:val="007E4B18"/>
    <w:rsid w:val="007F7D47"/>
    <w:rsid w:val="008027B3"/>
    <w:rsid w:val="008064A2"/>
    <w:rsid w:val="0080723A"/>
    <w:rsid w:val="008109EF"/>
    <w:rsid w:val="0081619D"/>
    <w:rsid w:val="00821D74"/>
    <w:rsid w:val="0082284D"/>
    <w:rsid w:val="0083360D"/>
    <w:rsid w:val="008410BF"/>
    <w:rsid w:val="00842E91"/>
    <w:rsid w:val="00850111"/>
    <w:rsid w:val="00850B54"/>
    <w:rsid w:val="00854E69"/>
    <w:rsid w:val="00855DEB"/>
    <w:rsid w:val="0086674C"/>
    <w:rsid w:val="00866F9E"/>
    <w:rsid w:val="008753A7"/>
    <w:rsid w:val="00896E8A"/>
    <w:rsid w:val="008A4CB5"/>
    <w:rsid w:val="008A76E2"/>
    <w:rsid w:val="008C03C2"/>
    <w:rsid w:val="008C72B8"/>
    <w:rsid w:val="008D2434"/>
    <w:rsid w:val="008D35C7"/>
    <w:rsid w:val="008D585A"/>
    <w:rsid w:val="008D5F90"/>
    <w:rsid w:val="00901681"/>
    <w:rsid w:val="00915955"/>
    <w:rsid w:val="00920F53"/>
    <w:rsid w:val="009224E7"/>
    <w:rsid w:val="0092459F"/>
    <w:rsid w:val="00927385"/>
    <w:rsid w:val="0093291C"/>
    <w:rsid w:val="009428F7"/>
    <w:rsid w:val="00946377"/>
    <w:rsid w:val="0094719A"/>
    <w:rsid w:val="009515DE"/>
    <w:rsid w:val="00953B74"/>
    <w:rsid w:val="00956264"/>
    <w:rsid w:val="00966926"/>
    <w:rsid w:val="009722FE"/>
    <w:rsid w:val="0097268C"/>
    <w:rsid w:val="00974730"/>
    <w:rsid w:val="00974E7A"/>
    <w:rsid w:val="00976CBB"/>
    <w:rsid w:val="00980379"/>
    <w:rsid w:val="009813C4"/>
    <w:rsid w:val="00992970"/>
    <w:rsid w:val="0099497E"/>
    <w:rsid w:val="00995E09"/>
    <w:rsid w:val="00997A5B"/>
    <w:rsid w:val="009A15AF"/>
    <w:rsid w:val="009A7E76"/>
    <w:rsid w:val="009B0316"/>
    <w:rsid w:val="009B0CAA"/>
    <w:rsid w:val="009B1084"/>
    <w:rsid w:val="009B20AD"/>
    <w:rsid w:val="009C2F2E"/>
    <w:rsid w:val="009D237A"/>
    <w:rsid w:val="009D38FF"/>
    <w:rsid w:val="009D5067"/>
    <w:rsid w:val="009D55E0"/>
    <w:rsid w:val="009D5BCC"/>
    <w:rsid w:val="009D696F"/>
    <w:rsid w:val="009E1E54"/>
    <w:rsid w:val="009E1FCF"/>
    <w:rsid w:val="009E476C"/>
    <w:rsid w:val="009E688D"/>
    <w:rsid w:val="00A11F78"/>
    <w:rsid w:val="00A1254E"/>
    <w:rsid w:val="00A167AD"/>
    <w:rsid w:val="00A16A9E"/>
    <w:rsid w:val="00A239CF"/>
    <w:rsid w:val="00A23B7B"/>
    <w:rsid w:val="00A2540C"/>
    <w:rsid w:val="00A27C04"/>
    <w:rsid w:val="00A30ECD"/>
    <w:rsid w:val="00A31754"/>
    <w:rsid w:val="00A3678D"/>
    <w:rsid w:val="00A36A9E"/>
    <w:rsid w:val="00A43A36"/>
    <w:rsid w:val="00A43DF7"/>
    <w:rsid w:val="00A60785"/>
    <w:rsid w:val="00A66281"/>
    <w:rsid w:val="00A700B1"/>
    <w:rsid w:val="00A70420"/>
    <w:rsid w:val="00A72B8D"/>
    <w:rsid w:val="00A72D7A"/>
    <w:rsid w:val="00A76C81"/>
    <w:rsid w:val="00A830DD"/>
    <w:rsid w:val="00A84EB7"/>
    <w:rsid w:val="00A867F0"/>
    <w:rsid w:val="00A9379B"/>
    <w:rsid w:val="00A93A6E"/>
    <w:rsid w:val="00A94285"/>
    <w:rsid w:val="00A944A5"/>
    <w:rsid w:val="00A9771E"/>
    <w:rsid w:val="00AA070D"/>
    <w:rsid w:val="00AA63F3"/>
    <w:rsid w:val="00AA694E"/>
    <w:rsid w:val="00AA7576"/>
    <w:rsid w:val="00AB0C2D"/>
    <w:rsid w:val="00AB2061"/>
    <w:rsid w:val="00AB2908"/>
    <w:rsid w:val="00AB4D4F"/>
    <w:rsid w:val="00AC7009"/>
    <w:rsid w:val="00AD12E7"/>
    <w:rsid w:val="00AD17B7"/>
    <w:rsid w:val="00AF0123"/>
    <w:rsid w:val="00AF0E06"/>
    <w:rsid w:val="00AF15ED"/>
    <w:rsid w:val="00AF46D5"/>
    <w:rsid w:val="00AF48A4"/>
    <w:rsid w:val="00AF4ADC"/>
    <w:rsid w:val="00AF7578"/>
    <w:rsid w:val="00B022C2"/>
    <w:rsid w:val="00B03604"/>
    <w:rsid w:val="00B04504"/>
    <w:rsid w:val="00B05108"/>
    <w:rsid w:val="00B07B49"/>
    <w:rsid w:val="00B20B43"/>
    <w:rsid w:val="00B2187B"/>
    <w:rsid w:val="00B22BDD"/>
    <w:rsid w:val="00B22E0A"/>
    <w:rsid w:val="00B3375F"/>
    <w:rsid w:val="00B3481E"/>
    <w:rsid w:val="00B36101"/>
    <w:rsid w:val="00B42A36"/>
    <w:rsid w:val="00B44E9A"/>
    <w:rsid w:val="00B47332"/>
    <w:rsid w:val="00B555A4"/>
    <w:rsid w:val="00B61049"/>
    <w:rsid w:val="00B614FA"/>
    <w:rsid w:val="00B67EEA"/>
    <w:rsid w:val="00B73F41"/>
    <w:rsid w:val="00B81041"/>
    <w:rsid w:val="00B85105"/>
    <w:rsid w:val="00B87387"/>
    <w:rsid w:val="00BA0135"/>
    <w:rsid w:val="00BA0E38"/>
    <w:rsid w:val="00BA53E9"/>
    <w:rsid w:val="00BB2FC1"/>
    <w:rsid w:val="00BB455C"/>
    <w:rsid w:val="00BB6C85"/>
    <w:rsid w:val="00BC119F"/>
    <w:rsid w:val="00BC3266"/>
    <w:rsid w:val="00BC4F17"/>
    <w:rsid w:val="00BC54D9"/>
    <w:rsid w:val="00BD0D45"/>
    <w:rsid w:val="00BD52F4"/>
    <w:rsid w:val="00BE2632"/>
    <w:rsid w:val="00BE30CC"/>
    <w:rsid w:val="00BE63FC"/>
    <w:rsid w:val="00BF4851"/>
    <w:rsid w:val="00C041A4"/>
    <w:rsid w:val="00C05557"/>
    <w:rsid w:val="00C10695"/>
    <w:rsid w:val="00C1201B"/>
    <w:rsid w:val="00C12529"/>
    <w:rsid w:val="00C1322F"/>
    <w:rsid w:val="00C1364F"/>
    <w:rsid w:val="00C15239"/>
    <w:rsid w:val="00C2007D"/>
    <w:rsid w:val="00C212F8"/>
    <w:rsid w:val="00C2184A"/>
    <w:rsid w:val="00C222F1"/>
    <w:rsid w:val="00C241D0"/>
    <w:rsid w:val="00C35D9F"/>
    <w:rsid w:val="00C37209"/>
    <w:rsid w:val="00C402BF"/>
    <w:rsid w:val="00C40CBC"/>
    <w:rsid w:val="00C468F9"/>
    <w:rsid w:val="00C4798E"/>
    <w:rsid w:val="00C54B19"/>
    <w:rsid w:val="00C61DB9"/>
    <w:rsid w:val="00C66EDC"/>
    <w:rsid w:val="00C76112"/>
    <w:rsid w:val="00C8254D"/>
    <w:rsid w:val="00C901ED"/>
    <w:rsid w:val="00C93BC7"/>
    <w:rsid w:val="00C9637C"/>
    <w:rsid w:val="00CA2022"/>
    <w:rsid w:val="00CA286A"/>
    <w:rsid w:val="00CA57C9"/>
    <w:rsid w:val="00CA6438"/>
    <w:rsid w:val="00CB339B"/>
    <w:rsid w:val="00CB5D37"/>
    <w:rsid w:val="00CD1F82"/>
    <w:rsid w:val="00CD62D7"/>
    <w:rsid w:val="00CE0765"/>
    <w:rsid w:val="00CF2C10"/>
    <w:rsid w:val="00CF2E25"/>
    <w:rsid w:val="00CF3702"/>
    <w:rsid w:val="00CF4064"/>
    <w:rsid w:val="00D017B0"/>
    <w:rsid w:val="00D023F7"/>
    <w:rsid w:val="00D03523"/>
    <w:rsid w:val="00D13625"/>
    <w:rsid w:val="00D154DB"/>
    <w:rsid w:val="00D1576C"/>
    <w:rsid w:val="00D16B00"/>
    <w:rsid w:val="00D24D4D"/>
    <w:rsid w:val="00D2576A"/>
    <w:rsid w:val="00D31FE6"/>
    <w:rsid w:val="00D45525"/>
    <w:rsid w:val="00D51465"/>
    <w:rsid w:val="00D52115"/>
    <w:rsid w:val="00D60613"/>
    <w:rsid w:val="00D6071A"/>
    <w:rsid w:val="00D63BA9"/>
    <w:rsid w:val="00D67846"/>
    <w:rsid w:val="00D74568"/>
    <w:rsid w:val="00D74B46"/>
    <w:rsid w:val="00D75003"/>
    <w:rsid w:val="00D8640B"/>
    <w:rsid w:val="00D86A7D"/>
    <w:rsid w:val="00D92779"/>
    <w:rsid w:val="00D927C0"/>
    <w:rsid w:val="00D94ACF"/>
    <w:rsid w:val="00D954A4"/>
    <w:rsid w:val="00DB181F"/>
    <w:rsid w:val="00DB6348"/>
    <w:rsid w:val="00DB6614"/>
    <w:rsid w:val="00DC07B4"/>
    <w:rsid w:val="00DC163D"/>
    <w:rsid w:val="00DC2777"/>
    <w:rsid w:val="00DC6EA3"/>
    <w:rsid w:val="00DC732F"/>
    <w:rsid w:val="00DD3BD4"/>
    <w:rsid w:val="00DD40D9"/>
    <w:rsid w:val="00DD452F"/>
    <w:rsid w:val="00DE24AC"/>
    <w:rsid w:val="00DE78D5"/>
    <w:rsid w:val="00DF7935"/>
    <w:rsid w:val="00E031A6"/>
    <w:rsid w:val="00E1037F"/>
    <w:rsid w:val="00E13AC3"/>
    <w:rsid w:val="00E14B59"/>
    <w:rsid w:val="00E15CF1"/>
    <w:rsid w:val="00E20599"/>
    <w:rsid w:val="00E226E1"/>
    <w:rsid w:val="00E32136"/>
    <w:rsid w:val="00E32DAC"/>
    <w:rsid w:val="00E32E72"/>
    <w:rsid w:val="00E330E6"/>
    <w:rsid w:val="00E4082F"/>
    <w:rsid w:val="00E4087F"/>
    <w:rsid w:val="00E42389"/>
    <w:rsid w:val="00E44CE6"/>
    <w:rsid w:val="00E47CD1"/>
    <w:rsid w:val="00E602B8"/>
    <w:rsid w:val="00E60C7F"/>
    <w:rsid w:val="00E71361"/>
    <w:rsid w:val="00E753FF"/>
    <w:rsid w:val="00E754B3"/>
    <w:rsid w:val="00E85C30"/>
    <w:rsid w:val="00E866F5"/>
    <w:rsid w:val="00E90BE2"/>
    <w:rsid w:val="00E90DE4"/>
    <w:rsid w:val="00E91EA8"/>
    <w:rsid w:val="00EA23C7"/>
    <w:rsid w:val="00EA4582"/>
    <w:rsid w:val="00EB4105"/>
    <w:rsid w:val="00EB598E"/>
    <w:rsid w:val="00EC127B"/>
    <w:rsid w:val="00EC4CD9"/>
    <w:rsid w:val="00EC507C"/>
    <w:rsid w:val="00EC67B6"/>
    <w:rsid w:val="00ED32BB"/>
    <w:rsid w:val="00ED35D5"/>
    <w:rsid w:val="00EE0E18"/>
    <w:rsid w:val="00EE5973"/>
    <w:rsid w:val="00EE7C28"/>
    <w:rsid w:val="00EF0745"/>
    <w:rsid w:val="00EF1435"/>
    <w:rsid w:val="00EF1E3A"/>
    <w:rsid w:val="00EF64E4"/>
    <w:rsid w:val="00F02436"/>
    <w:rsid w:val="00F04098"/>
    <w:rsid w:val="00F0595A"/>
    <w:rsid w:val="00F12BFC"/>
    <w:rsid w:val="00F14095"/>
    <w:rsid w:val="00F17607"/>
    <w:rsid w:val="00F20C92"/>
    <w:rsid w:val="00F23119"/>
    <w:rsid w:val="00F24D54"/>
    <w:rsid w:val="00F256CC"/>
    <w:rsid w:val="00F27F37"/>
    <w:rsid w:val="00F4147C"/>
    <w:rsid w:val="00F418B3"/>
    <w:rsid w:val="00F515CE"/>
    <w:rsid w:val="00F610D7"/>
    <w:rsid w:val="00F62873"/>
    <w:rsid w:val="00F64125"/>
    <w:rsid w:val="00F65B42"/>
    <w:rsid w:val="00F7171D"/>
    <w:rsid w:val="00F7648F"/>
    <w:rsid w:val="00F85B92"/>
    <w:rsid w:val="00F87C7A"/>
    <w:rsid w:val="00F90CB9"/>
    <w:rsid w:val="00F97F25"/>
    <w:rsid w:val="00FA25EE"/>
    <w:rsid w:val="00FA729E"/>
    <w:rsid w:val="00FB2BB5"/>
    <w:rsid w:val="00FB2D2B"/>
    <w:rsid w:val="00FB3E28"/>
    <w:rsid w:val="00FB4D49"/>
    <w:rsid w:val="00FB6030"/>
    <w:rsid w:val="00FC2119"/>
    <w:rsid w:val="00FC3072"/>
    <w:rsid w:val="00FC5D4C"/>
    <w:rsid w:val="00FD0B0C"/>
    <w:rsid w:val="00FD0D78"/>
    <w:rsid w:val="00FD71AD"/>
    <w:rsid w:val="00FE0A77"/>
    <w:rsid w:val="00FE4EF2"/>
    <w:rsid w:val="00FE6CCC"/>
    <w:rsid w:val="00FF1389"/>
    <w:rsid w:val="00FF15CD"/>
    <w:rsid w:val="00FF1A00"/>
    <w:rsid w:val="00FF6595"/>
    <w:rsid w:val="00FF68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465C"/>
  <w15:chartTrackingRefBased/>
  <w15:docId w15:val="{B1319231-2018-264A-B770-B4078FFC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C5"/>
  </w:style>
  <w:style w:type="paragraph" w:styleId="Heading1">
    <w:name w:val="heading 1"/>
    <w:basedOn w:val="Normal"/>
    <w:next w:val="Normal"/>
    <w:link w:val="Heading1Char"/>
    <w:uiPriority w:val="9"/>
    <w:qFormat/>
    <w:rsid w:val="000E0EC5"/>
    <w:pPr>
      <w:keepNext/>
      <w:keepLines/>
      <w:spacing w:before="480"/>
      <w:outlineLvl w:val="0"/>
    </w:pPr>
    <w:rPr>
      <w:rFonts w:asciiTheme="majorHAnsi" w:eastAsiaTheme="majorEastAsia" w:hAnsiTheme="majorHAnsi" w:cstheme="majorBidi"/>
      <w:b/>
      <w:bCs/>
      <w:color w:val="2D4F8E" w:themeColor="accent1" w:themeShade="B5"/>
      <w:sz w:val="32"/>
      <w:szCs w:val="32"/>
    </w:rPr>
  </w:style>
  <w:style w:type="paragraph" w:styleId="Heading2">
    <w:name w:val="heading 2"/>
    <w:basedOn w:val="Normal"/>
    <w:next w:val="Normal"/>
    <w:link w:val="Heading2Char"/>
    <w:uiPriority w:val="9"/>
    <w:qFormat/>
    <w:rsid w:val="000E0EC5"/>
    <w:pPr>
      <w:spacing w:before="240" w:after="80" w:line="276" w:lineRule="auto"/>
      <w:outlineLvl w:val="1"/>
    </w:pPr>
    <w:rPr>
      <w:rFonts w:ascii="Calibri" w:eastAsia="Times New Roman" w:hAnsi="Calibri" w:cs="Times New Roman"/>
      <w:smallCaps/>
      <w:spacing w:val="5"/>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EC5"/>
    <w:rPr>
      <w:rFonts w:asciiTheme="majorHAnsi" w:eastAsiaTheme="majorEastAsia" w:hAnsiTheme="majorHAnsi" w:cstheme="majorBidi"/>
      <w:b/>
      <w:bCs/>
      <w:color w:val="2D4F8E" w:themeColor="accent1" w:themeShade="B5"/>
      <w:sz w:val="32"/>
      <w:szCs w:val="32"/>
    </w:rPr>
  </w:style>
  <w:style w:type="character" w:customStyle="1" w:styleId="Heading2Char">
    <w:name w:val="Heading 2 Char"/>
    <w:basedOn w:val="DefaultParagraphFont"/>
    <w:link w:val="Heading2"/>
    <w:uiPriority w:val="9"/>
    <w:rsid w:val="000E0EC5"/>
    <w:rPr>
      <w:rFonts w:ascii="Calibri" w:eastAsia="Times New Roman" w:hAnsi="Calibri" w:cs="Times New Roman"/>
      <w:smallCaps/>
      <w:spacing w:val="5"/>
      <w:sz w:val="28"/>
      <w:szCs w:val="28"/>
      <w:lang w:val="x-none" w:eastAsia="x-none"/>
    </w:rPr>
  </w:style>
  <w:style w:type="paragraph" w:customStyle="1" w:styleId="xmsonormal">
    <w:name w:val="x_msonormal"/>
    <w:basedOn w:val="Normal"/>
    <w:rsid w:val="000E0EC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0E0EC5"/>
  </w:style>
  <w:style w:type="paragraph" w:styleId="FootnoteText">
    <w:name w:val="footnote text"/>
    <w:basedOn w:val="Normal"/>
    <w:link w:val="FootnoteTextChar"/>
    <w:uiPriority w:val="99"/>
    <w:unhideWhenUsed/>
    <w:rsid w:val="000E0EC5"/>
    <w:rPr>
      <w:rFonts w:eastAsiaTheme="minorEastAsia"/>
      <w:lang w:val="en-US" w:eastAsia="ja-JP"/>
    </w:rPr>
  </w:style>
  <w:style w:type="character" w:customStyle="1" w:styleId="FootnoteTextChar">
    <w:name w:val="Footnote Text Char"/>
    <w:basedOn w:val="DefaultParagraphFont"/>
    <w:link w:val="FootnoteText"/>
    <w:uiPriority w:val="99"/>
    <w:rsid w:val="000E0EC5"/>
    <w:rPr>
      <w:rFonts w:eastAsiaTheme="minorEastAsia"/>
      <w:lang w:val="en-US" w:eastAsia="ja-JP"/>
    </w:rPr>
  </w:style>
  <w:style w:type="character" w:styleId="FootnoteReference">
    <w:name w:val="footnote reference"/>
    <w:basedOn w:val="DefaultParagraphFont"/>
    <w:uiPriority w:val="99"/>
    <w:unhideWhenUsed/>
    <w:rsid w:val="000E0EC5"/>
    <w:rPr>
      <w:vertAlign w:val="superscript"/>
    </w:rPr>
  </w:style>
  <w:style w:type="character" w:styleId="Emphasis">
    <w:name w:val="Emphasis"/>
    <w:uiPriority w:val="20"/>
    <w:qFormat/>
    <w:rsid w:val="000E0EC5"/>
    <w:rPr>
      <w:b/>
      <w:bCs/>
      <w:i/>
      <w:iCs/>
      <w:spacing w:val="10"/>
      <w:bdr w:val="none" w:sz="0" w:space="0" w:color="auto"/>
      <w:shd w:val="clear" w:color="auto" w:fill="auto"/>
    </w:rPr>
  </w:style>
  <w:style w:type="paragraph" w:customStyle="1" w:styleId="References">
    <w:name w:val="References"/>
    <w:basedOn w:val="Normal"/>
    <w:rsid w:val="000E0EC5"/>
    <w:pPr>
      <w:spacing w:before="120" w:after="200" w:line="360" w:lineRule="auto"/>
      <w:ind w:left="720" w:hanging="720"/>
      <w:contextualSpacing/>
    </w:pPr>
    <w:rPr>
      <w:rFonts w:eastAsiaTheme="minorEastAsia"/>
      <w:sz w:val="22"/>
      <w:szCs w:val="22"/>
    </w:rPr>
  </w:style>
  <w:style w:type="paragraph" w:styleId="ListParagraph">
    <w:name w:val="List Paragraph"/>
    <w:basedOn w:val="Normal"/>
    <w:uiPriority w:val="34"/>
    <w:qFormat/>
    <w:rsid w:val="000E0EC5"/>
    <w:pPr>
      <w:ind w:left="720"/>
      <w:contextualSpacing/>
    </w:pPr>
    <w:rPr>
      <w:rFonts w:eastAsiaTheme="minorEastAsia"/>
    </w:rPr>
  </w:style>
  <w:style w:type="paragraph" w:styleId="BalloonText">
    <w:name w:val="Balloon Text"/>
    <w:basedOn w:val="Normal"/>
    <w:link w:val="BalloonTextChar"/>
    <w:uiPriority w:val="99"/>
    <w:semiHidden/>
    <w:unhideWhenUsed/>
    <w:rsid w:val="000E0EC5"/>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0E0EC5"/>
    <w:rPr>
      <w:rFonts w:ascii="Lucida Grande" w:eastAsiaTheme="minorEastAsia" w:hAnsi="Lucida Grande" w:cs="Lucida Grande"/>
      <w:sz w:val="18"/>
      <w:szCs w:val="18"/>
    </w:rPr>
  </w:style>
  <w:style w:type="character" w:styleId="CommentReference">
    <w:name w:val="annotation reference"/>
    <w:basedOn w:val="DefaultParagraphFont"/>
    <w:uiPriority w:val="99"/>
    <w:semiHidden/>
    <w:unhideWhenUsed/>
    <w:rsid w:val="000E0EC5"/>
    <w:rPr>
      <w:sz w:val="18"/>
      <w:szCs w:val="18"/>
    </w:rPr>
  </w:style>
  <w:style w:type="paragraph" w:styleId="CommentText">
    <w:name w:val="annotation text"/>
    <w:basedOn w:val="Normal"/>
    <w:link w:val="CommentTextChar"/>
    <w:uiPriority w:val="99"/>
    <w:semiHidden/>
    <w:unhideWhenUsed/>
    <w:rsid w:val="000E0EC5"/>
    <w:rPr>
      <w:rFonts w:eastAsiaTheme="minorEastAsia"/>
    </w:rPr>
  </w:style>
  <w:style w:type="character" w:customStyle="1" w:styleId="CommentTextChar">
    <w:name w:val="Comment Text Char"/>
    <w:basedOn w:val="DefaultParagraphFont"/>
    <w:link w:val="CommentText"/>
    <w:uiPriority w:val="99"/>
    <w:semiHidden/>
    <w:rsid w:val="000E0EC5"/>
    <w:rPr>
      <w:rFonts w:eastAsiaTheme="minorEastAsia"/>
    </w:rPr>
  </w:style>
  <w:style w:type="paragraph" w:styleId="CommentSubject">
    <w:name w:val="annotation subject"/>
    <w:basedOn w:val="CommentText"/>
    <w:next w:val="CommentText"/>
    <w:link w:val="CommentSubjectChar"/>
    <w:uiPriority w:val="99"/>
    <w:semiHidden/>
    <w:unhideWhenUsed/>
    <w:rsid w:val="000E0EC5"/>
    <w:rPr>
      <w:b/>
      <w:bCs/>
      <w:sz w:val="20"/>
      <w:szCs w:val="20"/>
    </w:rPr>
  </w:style>
  <w:style w:type="character" w:customStyle="1" w:styleId="CommentSubjectChar">
    <w:name w:val="Comment Subject Char"/>
    <w:basedOn w:val="CommentTextChar"/>
    <w:link w:val="CommentSubject"/>
    <w:uiPriority w:val="99"/>
    <w:semiHidden/>
    <w:rsid w:val="000E0EC5"/>
    <w:rPr>
      <w:rFonts w:eastAsiaTheme="minorEastAsia"/>
      <w:b/>
      <w:bCs/>
      <w:sz w:val="20"/>
      <w:szCs w:val="20"/>
    </w:rPr>
  </w:style>
  <w:style w:type="paragraph" w:styleId="NormalWeb">
    <w:name w:val="Normal (Web)"/>
    <w:basedOn w:val="Normal"/>
    <w:uiPriority w:val="99"/>
    <w:unhideWhenUsed/>
    <w:rsid w:val="000E0EC5"/>
    <w:pPr>
      <w:spacing w:before="100" w:beforeAutospacing="1" w:after="100" w:afterAutospacing="1"/>
    </w:pPr>
    <w:rPr>
      <w:rFonts w:ascii="Times" w:eastAsiaTheme="minorEastAsia" w:hAnsi="Times" w:cs="Times New Roman"/>
      <w:sz w:val="20"/>
      <w:szCs w:val="20"/>
    </w:rPr>
  </w:style>
  <w:style w:type="paragraph" w:styleId="Footer">
    <w:name w:val="footer"/>
    <w:basedOn w:val="Normal"/>
    <w:link w:val="FooterChar"/>
    <w:uiPriority w:val="99"/>
    <w:unhideWhenUsed/>
    <w:rsid w:val="000E0EC5"/>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0E0EC5"/>
    <w:rPr>
      <w:rFonts w:eastAsiaTheme="minorEastAsia"/>
    </w:rPr>
  </w:style>
  <w:style w:type="character" w:styleId="PageNumber">
    <w:name w:val="page number"/>
    <w:basedOn w:val="DefaultParagraphFont"/>
    <w:uiPriority w:val="99"/>
    <w:semiHidden/>
    <w:unhideWhenUsed/>
    <w:rsid w:val="000E0EC5"/>
  </w:style>
  <w:style w:type="paragraph" w:styleId="Header">
    <w:name w:val="header"/>
    <w:basedOn w:val="Normal"/>
    <w:link w:val="HeaderChar"/>
    <w:uiPriority w:val="99"/>
    <w:unhideWhenUsed/>
    <w:rsid w:val="000E0EC5"/>
    <w:pPr>
      <w:numPr>
        <w:numId w:val="14"/>
      </w:numPr>
      <w:tabs>
        <w:tab w:val="center" w:pos="4320"/>
        <w:tab w:val="right" w:pos="8640"/>
      </w:tabs>
      <w:ind w:left="0" w:firstLine="0"/>
    </w:pPr>
    <w:rPr>
      <w:rFonts w:eastAsiaTheme="minorEastAsia"/>
    </w:rPr>
  </w:style>
  <w:style w:type="character" w:customStyle="1" w:styleId="HeaderChar">
    <w:name w:val="Header Char"/>
    <w:basedOn w:val="DefaultParagraphFont"/>
    <w:link w:val="Header"/>
    <w:uiPriority w:val="99"/>
    <w:rsid w:val="000E0EC5"/>
    <w:rPr>
      <w:rFonts w:eastAsiaTheme="minorEastAsia"/>
    </w:rPr>
  </w:style>
  <w:style w:type="character" w:styleId="Hyperlink">
    <w:name w:val="Hyperlink"/>
    <w:basedOn w:val="DefaultParagraphFont"/>
    <w:uiPriority w:val="99"/>
    <w:unhideWhenUsed/>
    <w:rsid w:val="000E0EC5"/>
    <w:rPr>
      <w:color w:val="0563C1" w:themeColor="hyperlink"/>
      <w:u w:val="single"/>
    </w:rPr>
  </w:style>
  <w:style w:type="character" w:styleId="FollowedHyperlink">
    <w:name w:val="FollowedHyperlink"/>
    <w:basedOn w:val="DefaultParagraphFont"/>
    <w:uiPriority w:val="99"/>
    <w:semiHidden/>
    <w:unhideWhenUsed/>
    <w:rsid w:val="000E0EC5"/>
    <w:rPr>
      <w:color w:val="954F72" w:themeColor="followedHyperlink"/>
      <w:u w:val="single"/>
    </w:rPr>
  </w:style>
  <w:style w:type="paragraph" w:customStyle="1" w:styleId="ParaLevel1">
    <w:name w:val="ParaLevel1"/>
    <w:basedOn w:val="Normal"/>
    <w:rsid w:val="000E0EC5"/>
    <w:pPr>
      <w:numPr>
        <w:numId w:val="1"/>
      </w:numPr>
      <w:suppressAutoHyphens/>
      <w:spacing w:before="240" w:after="240"/>
      <w:jc w:val="both"/>
      <w:outlineLvl w:val="0"/>
    </w:pPr>
    <w:rPr>
      <w:rFonts w:ascii="Times New Roman" w:eastAsia="Times New Roman" w:hAnsi="Times New Roman" w:cs="Times New Roman"/>
      <w:szCs w:val="20"/>
    </w:rPr>
  </w:style>
  <w:style w:type="paragraph" w:customStyle="1" w:styleId="ParaLevel2">
    <w:name w:val="ParaLevel2"/>
    <w:basedOn w:val="Normal"/>
    <w:rsid w:val="000E0EC5"/>
    <w:pPr>
      <w:numPr>
        <w:ilvl w:val="1"/>
        <w:numId w:val="1"/>
      </w:numPr>
      <w:suppressAutoHyphens/>
      <w:spacing w:before="240" w:after="240"/>
      <w:jc w:val="both"/>
      <w:outlineLvl w:val="1"/>
    </w:pPr>
    <w:rPr>
      <w:rFonts w:ascii="Times New Roman" w:eastAsia="Times New Roman" w:hAnsi="Times New Roman" w:cs="Times New Roman"/>
      <w:szCs w:val="20"/>
    </w:rPr>
  </w:style>
  <w:style w:type="paragraph" w:customStyle="1" w:styleId="ParaLevel3">
    <w:name w:val="ParaLevel3"/>
    <w:basedOn w:val="Normal"/>
    <w:rsid w:val="000E0EC5"/>
    <w:pPr>
      <w:numPr>
        <w:ilvl w:val="2"/>
        <w:numId w:val="1"/>
      </w:numPr>
      <w:suppressAutoHyphens/>
      <w:spacing w:before="240" w:after="240"/>
      <w:jc w:val="both"/>
      <w:outlineLvl w:val="2"/>
    </w:pPr>
    <w:rPr>
      <w:rFonts w:ascii="Times New Roman" w:eastAsia="Times New Roman" w:hAnsi="Times New Roman" w:cs="Times New Roman"/>
      <w:szCs w:val="20"/>
    </w:rPr>
  </w:style>
  <w:style w:type="paragraph" w:customStyle="1" w:styleId="ParaLevel4">
    <w:name w:val="ParaLevel4"/>
    <w:basedOn w:val="Normal"/>
    <w:rsid w:val="000E0EC5"/>
    <w:pPr>
      <w:numPr>
        <w:ilvl w:val="3"/>
        <w:numId w:val="1"/>
      </w:numPr>
      <w:tabs>
        <w:tab w:val="clear" w:pos="3207"/>
        <w:tab w:val="num" w:pos="2836"/>
      </w:tabs>
      <w:suppressAutoHyphens/>
      <w:spacing w:before="240" w:after="240"/>
      <w:jc w:val="both"/>
      <w:outlineLvl w:val="3"/>
    </w:pPr>
    <w:rPr>
      <w:rFonts w:ascii="Times New Roman" w:eastAsia="Times New Roman" w:hAnsi="Times New Roman" w:cs="Times New Roman"/>
      <w:szCs w:val="20"/>
    </w:rPr>
  </w:style>
  <w:style w:type="paragraph" w:customStyle="1" w:styleId="ParaLevel5">
    <w:name w:val="ParaLevel5"/>
    <w:basedOn w:val="Normal"/>
    <w:rsid w:val="000E0EC5"/>
    <w:pPr>
      <w:numPr>
        <w:ilvl w:val="4"/>
        <w:numId w:val="1"/>
      </w:numPr>
      <w:suppressAutoHyphens/>
      <w:spacing w:before="240" w:after="240"/>
      <w:jc w:val="both"/>
      <w:outlineLvl w:val="4"/>
    </w:pPr>
    <w:rPr>
      <w:rFonts w:ascii="Times New Roman" w:eastAsia="Times New Roman" w:hAnsi="Times New Roman" w:cs="Times New Roman"/>
      <w:szCs w:val="20"/>
    </w:rPr>
  </w:style>
  <w:style w:type="paragraph" w:customStyle="1" w:styleId="ParaLevel6">
    <w:name w:val="ParaLevel6"/>
    <w:basedOn w:val="Normal"/>
    <w:rsid w:val="000E0EC5"/>
    <w:pPr>
      <w:numPr>
        <w:ilvl w:val="5"/>
        <w:numId w:val="1"/>
      </w:numPr>
      <w:tabs>
        <w:tab w:val="clear" w:pos="4625"/>
        <w:tab w:val="num" w:pos="4254"/>
      </w:tabs>
      <w:suppressAutoHyphens/>
      <w:spacing w:before="240" w:after="240"/>
      <w:jc w:val="both"/>
      <w:outlineLvl w:val="5"/>
    </w:pPr>
    <w:rPr>
      <w:rFonts w:ascii="Times New Roman" w:eastAsia="Times New Roman" w:hAnsi="Times New Roman" w:cs="Times New Roman"/>
      <w:szCs w:val="20"/>
    </w:rPr>
  </w:style>
  <w:style w:type="paragraph" w:customStyle="1" w:styleId="ParaLevel7">
    <w:name w:val="ParaLevel7"/>
    <w:basedOn w:val="Normal"/>
    <w:rsid w:val="000E0EC5"/>
    <w:pPr>
      <w:numPr>
        <w:ilvl w:val="6"/>
        <w:numId w:val="1"/>
      </w:numPr>
      <w:suppressAutoHyphens/>
      <w:spacing w:before="240" w:after="240"/>
      <w:jc w:val="both"/>
      <w:outlineLvl w:val="6"/>
    </w:pPr>
    <w:rPr>
      <w:rFonts w:ascii="Times New Roman" w:eastAsia="Times New Roman" w:hAnsi="Times New Roman" w:cs="Times New Roman"/>
      <w:szCs w:val="20"/>
    </w:rPr>
  </w:style>
  <w:style w:type="paragraph" w:customStyle="1" w:styleId="ParaLevel8">
    <w:name w:val="ParaLevel8"/>
    <w:basedOn w:val="Normal"/>
    <w:rsid w:val="000E0EC5"/>
    <w:pPr>
      <w:numPr>
        <w:ilvl w:val="7"/>
        <w:numId w:val="1"/>
      </w:numPr>
      <w:tabs>
        <w:tab w:val="clear" w:pos="6043"/>
        <w:tab w:val="num" w:pos="5672"/>
      </w:tabs>
      <w:suppressAutoHyphens/>
      <w:spacing w:before="240" w:after="240"/>
      <w:jc w:val="both"/>
      <w:outlineLvl w:val="7"/>
    </w:pPr>
    <w:rPr>
      <w:rFonts w:ascii="Times New Roman" w:eastAsia="Times New Roman" w:hAnsi="Times New Roman" w:cs="Times New Roman"/>
      <w:szCs w:val="20"/>
    </w:rPr>
  </w:style>
  <w:style w:type="paragraph" w:customStyle="1" w:styleId="ParaLevel9">
    <w:name w:val="ParaLevel9"/>
    <w:basedOn w:val="Normal"/>
    <w:rsid w:val="000E0EC5"/>
    <w:pPr>
      <w:numPr>
        <w:ilvl w:val="8"/>
        <w:numId w:val="1"/>
      </w:numPr>
      <w:suppressAutoHyphens/>
      <w:spacing w:before="240" w:after="240"/>
      <w:jc w:val="both"/>
      <w:outlineLvl w:val="8"/>
    </w:pPr>
    <w:rPr>
      <w:rFonts w:ascii="Times New Roman" w:eastAsia="Times New Roman" w:hAnsi="Times New Roman" w:cs="Times New Roman"/>
      <w:szCs w:val="20"/>
    </w:rPr>
  </w:style>
  <w:style w:type="paragraph" w:styleId="Quote">
    <w:name w:val="Quote"/>
    <w:basedOn w:val="Normal"/>
    <w:next w:val="ParaLevel1"/>
    <w:link w:val="QuoteChar"/>
    <w:uiPriority w:val="29"/>
    <w:qFormat/>
    <w:rsid w:val="000E0EC5"/>
    <w:pPr>
      <w:spacing w:after="240"/>
      <w:ind w:left="1440" w:right="1440"/>
      <w:jc w:val="both"/>
    </w:pPr>
    <w:rPr>
      <w:rFonts w:ascii="Times New Roman" w:eastAsia="Times New Roman" w:hAnsi="Times New Roman" w:cs="Times New Roman"/>
      <w:szCs w:val="20"/>
    </w:rPr>
  </w:style>
  <w:style w:type="character" w:customStyle="1" w:styleId="QuoteChar">
    <w:name w:val="Quote Char"/>
    <w:basedOn w:val="DefaultParagraphFont"/>
    <w:link w:val="Quote"/>
    <w:uiPriority w:val="29"/>
    <w:rsid w:val="000E0EC5"/>
    <w:rPr>
      <w:rFonts w:ascii="Times New Roman" w:eastAsia="Times New Roman" w:hAnsi="Times New Roman" w:cs="Times New Roman"/>
      <w:szCs w:val="20"/>
    </w:rPr>
  </w:style>
  <w:style w:type="paragraph" w:customStyle="1" w:styleId="EndNoteBibliographyTitle">
    <w:name w:val="EndNote Bibliography Title"/>
    <w:basedOn w:val="Normal"/>
    <w:rsid w:val="000E0EC5"/>
    <w:pPr>
      <w:jc w:val="center"/>
    </w:pPr>
    <w:rPr>
      <w:rFonts w:ascii="Calibri" w:eastAsiaTheme="minorEastAsia" w:hAnsi="Calibri" w:cs="Calibri"/>
      <w:lang w:val="en-US"/>
    </w:rPr>
  </w:style>
  <w:style w:type="paragraph" w:customStyle="1" w:styleId="EndNoteBibliography">
    <w:name w:val="EndNote Bibliography"/>
    <w:basedOn w:val="Normal"/>
    <w:rsid w:val="000E0EC5"/>
    <w:pPr>
      <w:jc w:val="both"/>
    </w:pPr>
    <w:rPr>
      <w:rFonts w:ascii="Calibri" w:eastAsiaTheme="minorEastAsia" w:hAnsi="Calibri" w:cs="Calibri"/>
      <w:lang w:val="en-US"/>
    </w:rPr>
  </w:style>
  <w:style w:type="paragraph" w:styleId="Subtitle">
    <w:name w:val="Subtitle"/>
    <w:basedOn w:val="Normal"/>
    <w:next w:val="Normal"/>
    <w:link w:val="SubtitleChar"/>
    <w:uiPriority w:val="11"/>
    <w:qFormat/>
    <w:rsid w:val="000E0EC5"/>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0E0EC5"/>
    <w:rPr>
      <w:rFonts w:asciiTheme="majorHAnsi" w:eastAsiaTheme="majorEastAsia" w:hAnsiTheme="majorHAnsi" w:cstheme="majorBidi"/>
      <w:i/>
      <w:iCs/>
      <w:color w:val="4472C4" w:themeColor="accent1"/>
      <w:spacing w:val="15"/>
    </w:rPr>
  </w:style>
  <w:style w:type="paragraph" w:styleId="TOC1">
    <w:name w:val="toc 1"/>
    <w:basedOn w:val="Normal"/>
    <w:next w:val="Normal"/>
    <w:autoRedefine/>
    <w:uiPriority w:val="39"/>
    <w:unhideWhenUsed/>
    <w:rsid w:val="000E0EC5"/>
    <w:pPr>
      <w:spacing w:line="480" w:lineRule="auto"/>
    </w:pPr>
    <w:rPr>
      <w:rFonts w:ascii="Arial" w:eastAsiaTheme="minorEastAsia" w:hAnsi="Arial"/>
      <w:b/>
    </w:rPr>
  </w:style>
  <w:style w:type="paragraph" w:styleId="TOC2">
    <w:name w:val="toc 2"/>
    <w:basedOn w:val="Normal"/>
    <w:next w:val="Normal"/>
    <w:autoRedefine/>
    <w:uiPriority w:val="39"/>
    <w:unhideWhenUsed/>
    <w:rsid w:val="000E0EC5"/>
    <w:pPr>
      <w:ind w:left="958" w:hanging="720"/>
    </w:pPr>
    <w:rPr>
      <w:rFonts w:ascii="Arial" w:eastAsiaTheme="minorEastAsia" w:hAnsi="Arial"/>
      <w:b/>
      <w:sz w:val="22"/>
      <w:szCs w:val="22"/>
    </w:rPr>
  </w:style>
  <w:style w:type="paragraph" w:styleId="TOC3">
    <w:name w:val="toc 3"/>
    <w:basedOn w:val="Normal"/>
    <w:next w:val="Normal"/>
    <w:autoRedefine/>
    <w:uiPriority w:val="39"/>
    <w:unhideWhenUsed/>
    <w:rsid w:val="000E0EC5"/>
    <w:pPr>
      <w:ind w:left="1202" w:hanging="720"/>
    </w:pPr>
    <w:rPr>
      <w:rFonts w:ascii="Arial" w:eastAsiaTheme="minorEastAsia" w:hAnsi="Arial"/>
      <w:sz w:val="22"/>
      <w:szCs w:val="22"/>
    </w:rPr>
  </w:style>
  <w:style w:type="paragraph" w:styleId="TOC4">
    <w:name w:val="toc 4"/>
    <w:basedOn w:val="Normal"/>
    <w:next w:val="Normal"/>
    <w:autoRedefine/>
    <w:uiPriority w:val="39"/>
    <w:unhideWhenUsed/>
    <w:rsid w:val="000E0EC5"/>
    <w:pPr>
      <w:ind w:left="1440" w:hanging="720"/>
    </w:pPr>
    <w:rPr>
      <w:rFonts w:ascii="Arial" w:eastAsiaTheme="minorEastAsia" w:hAnsi="Arial"/>
      <w:sz w:val="20"/>
      <w:szCs w:val="20"/>
    </w:rPr>
  </w:style>
  <w:style w:type="paragraph" w:styleId="TOC5">
    <w:name w:val="toc 5"/>
    <w:basedOn w:val="Normal"/>
    <w:next w:val="Normal"/>
    <w:autoRedefine/>
    <w:uiPriority w:val="39"/>
    <w:unhideWhenUsed/>
    <w:rsid w:val="000E0EC5"/>
    <w:pPr>
      <w:ind w:left="960"/>
    </w:pPr>
    <w:rPr>
      <w:rFonts w:eastAsiaTheme="minorEastAsia"/>
      <w:sz w:val="20"/>
      <w:szCs w:val="20"/>
    </w:rPr>
  </w:style>
  <w:style w:type="paragraph" w:styleId="TOC6">
    <w:name w:val="toc 6"/>
    <w:basedOn w:val="Normal"/>
    <w:next w:val="Normal"/>
    <w:autoRedefine/>
    <w:uiPriority w:val="39"/>
    <w:unhideWhenUsed/>
    <w:rsid w:val="000E0EC5"/>
    <w:pPr>
      <w:ind w:left="1200"/>
    </w:pPr>
    <w:rPr>
      <w:rFonts w:eastAsiaTheme="minorEastAsia"/>
      <w:sz w:val="20"/>
      <w:szCs w:val="20"/>
    </w:rPr>
  </w:style>
  <w:style w:type="paragraph" w:styleId="TOC7">
    <w:name w:val="toc 7"/>
    <w:basedOn w:val="Normal"/>
    <w:next w:val="Normal"/>
    <w:autoRedefine/>
    <w:uiPriority w:val="39"/>
    <w:unhideWhenUsed/>
    <w:rsid w:val="000E0EC5"/>
    <w:pPr>
      <w:ind w:left="1440"/>
    </w:pPr>
    <w:rPr>
      <w:rFonts w:eastAsiaTheme="minorEastAsia"/>
      <w:sz w:val="20"/>
      <w:szCs w:val="20"/>
    </w:rPr>
  </w:style>
  <w:style w:type="paragraph" w:styleId="TOC8">
    <w:name w:val="toc 8"/>
    <w:basedOn w:val="Normal"/>
    <w:next w:val="Normal"/>
    <w:autoRedefine/>
    <w:uiPriority w:val="39"/>
    <w:unhideWhenUsed/>
    <w:rsid w:val="000E0EC5"/>
    <w:pPr>
      <w:ind w:left="1680"/>
    </w:pPr>
    <w:rPr>
      <w:rFonts w:eastAsiaTheme="minorEastAsia"/>
      <w:sz w:val="20"/>
      <w:szCs w:val="20"/>
    </w:rPr>
  </w:style>
  <w:style w:type="paragraph" w:styleId="TOC9">
    <w:name w:val="toc 9"/>
    <w:basedOn w:val="Normal"/>
    <w:next w:val="Normal"/>
    <w:autoRedefine/>
    <w:uiPriority w:val="39"/>
    <w:unhideWhenUsed/>
    <w:rsid w:val="000E0EC5"/>
    <w:pPr>
      <w:ind w:left="1920"/>
    </w:pPr>
    <w:rPr>
      <w:rFonts w:eastAsiaTheme="minorEastAsia"/>
      <w:sz w:val="20"/>
      <w:szCs w:val="20"/>
    </w:rPr>
  </w:style>
  <w:style w:type="table" w:styleId="TableGrid">
    <w:name w:val="Table Grid"/>
    <w:basedOn w:val="TableNormal"/>
    <w:uiPriority w:val="59"/>
    <w:rsid w:val="000E0EC5"/>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0E0EC5"/>
    <w:rPr>
      <w:rFonts w:ascii="Lucida Grande" w:eastAsiaTheme="minorEastAsia" w:hAnsi="Lucida Grande" w:cs="Lucida Grande"/>
    </w:rPr>
  </w:style>
  <w:style w:type="character" w:customStyle="1" w:styleId="DocumentMapChar">
    <w:name w:val="Document Map Char"/>
    <w:basedOn w:val="DefaultParagraphFont"/>
    <w:link w:val="DocumentMap"/>
    <w:uiPriority w:val="99"/>
    <w:semiHidden/>
    <w:rsid w:val="000E0EC5"/>
    <w:rPr>
      <w:rFonts w:ascii="Lucida Grande" w:eastAsiaTheme="minorEastAsia" w:hAnsi="Lucida Grande" w:cs="Lucida Grande"/>
    </w:rPr>
  </w:style>
  <w:style w:type="paragraph" w:styleId="TOCHeading">
    <w:name w:val="TOC Heading"/>
    <w:basedOn w:val="Heading1"/>
    <w:next w:val="Normal"/>
    <w:uiPriority w:val="39"/>
    <w:unhideWhenUsed/>
    <w:qFormat/>
    <w:rsid w:val="000E0EC5"/>
    <w:pPr>
      <w:spacing w:line="276" w:lineRule="auto"/>
      <w:outlineLvl w:val="9"/>
    </w:pPr>
    <w:rPr>
      <w:color w:val="2F5496" w:themeColor="accent1" w:themeShade="BF"/>
      <w:sz w:val="28"/>
      <w:szCs w:val="28"/>
      <w:lang w:val="en-US"/>
    </w:rPr>
  </w:style>
  <w:style w:type="paragraph" w:customStyle="1" w:styleId="2AutoList1">
    <w:name w:val="2AutoList1"/>
    <w:rsid w:val="000E0EC5"/>
    <w:pPr>
      <w:widowControl w:val="0"/>
      <w:tabs>
        <w:tab w:val="left" w:pos="720"/>
        <w:tab w:val="left" w:pos="1440"/>
      </w:tabs>
      <w:autoSpaceDE w:val="0"/>
      <w:autoSpaceDN w:val="0"/>
      <w:ind w:left="1440" w:hanging="720"/>
      <w:jc w:val="both"/>
    </w:pPr>
    <w:rPr>
      <w:rFonts w:ascii="Times New Roman" w:eastAsia="Times New Roman" w:hAnsi="Times New Roman" w:cs="Times New Roman"/>
      <w:lang w:val="en-AU"/>
    </w:rPr>
  </w:style>
  <w:style w:type="paragraph" w:customStyle="1" w:styleId="ABKWH">
    <w:name w:val="ABKWH"/>
    <w:basedOn w:val="Normal"/>
    <w:rsid w:val="000E0EC5"/>
    <w:pPr>
      <w:spacing w:before="120" w:after="120"/>
    </w:pPr>
    <w:rPr>
      <w:rFonts w:ascii="Times New Roman" w:eastAsia="Times New Roman" w:hAnsi="Times New Roman" w:cs="Times New Roman"/>
      <w:color w:val="9E3A3A"/>
      <w:sz w:val="32"/>
      <w:lang w:val="en-US"/>
    </w:rPr>
  </w:style>
  <w:style w:type="paragraph" w:customStyle="1" w:styleId="ABKW">
    <w:name w:val="ABKW"/>
    <w:basedOn w:val="Normal"/>
    <w:rsid w:val="000E0EC5"/>
    <w:pPr>
      <w:spacing w:before="120" w:after="120"/>
    </w:pPr>
    <w:rPr>
      <w:rFonts w:ascii="Times New Roman" w:eastAsia="Times New Roman" w:hAnsi="Times New Roman" w:cs="Times New Roman"/>
      <w:lang w:val="en-US"/>
    </w:rPr>
  </w:style>
  <w:style w:type="character" w:styleId="UnresolvedMention">
    <w:name w:val="Unresolved Mention"/>
    <w:basedOn w:val="DefaultParagraphFont"/>
    <w:uiPriority w:val="99"/>
    <w:semiHidden/>
    <w:unhideWhenUsed/>
    <w:rsid w:val="000E0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25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thesmallplaces.wordpress.com/2015/02/18/power-and-the-mental-capacity-act" TargetMode="External"/><Relationship Id="rId7" Type="http://schemas.openxmlformats.org/officeDocument/2006/relationships/hyperlink" Target="http://www.adass.org.uk/making-safeguarding-personal-publications" TargetMode="External"/><Relationship Id="rId2" Type="http://schemas.openxmlformats.org/officeDocument/2006/relationships/hyperlink" Target="http://www.ifsw.org/policies/definition-of-social-work" TargetMode="External"/><Relationship Id="rId1" Type="http://schemas.openxmlformats.org/officeDocument/2006/relationships/hyperlink" Target="http://www.gov.uk/government/publications/care-act-statutory-guidance/care-and-support-statutory-guidance" TargetMode="External"/><Relationship Id="rId6" Type="http://schemas.openxmlformats.org/officeDocument/2006/relationships/hyperlink" Target="http://www.sites.cardiff.ac.uk/wccop/new-research-an-overview-of-welfare-cases-in-the-court-of-protection/" TargetMode="External"/><Relationship Id="rId5" Type="http://schemas.openxmlformats.org/officeDocument/2006/relationships/hyperlink" Target="http://www.socialworkengland.org.uk/media/1640/1227_socialworkengland_standards_prof_standards_final-aw.pdf" TargetMode="External"/><Relationship Id="rId4" Type="http://schemas.openxmlformats.org/officeDocument/2006/relationships/hyperlink" Target="https://etheses.bham.ac.uk/id/eprint/85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B59D1-AA29-4AE8-9F30-6F1727CF2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6016</Words>
  <Characters>31166</Characters>
  <Application>Microsoft Office Word</Application>
  <DocSecurity>0</DocSecurity>
  <Lines>458</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Jaime T</dc:creator>
  <cp:keywords/>
  <dc:description/>
  <cp:lastModifiedBy>Lindsey, Jaime T</cp:lastModifiedBy>
  <cp:revision>4</cp:revision>
  <dcterms:created xsi:type="dcterms:W3CDTF">2021-06-02T09:16:00Z</dcterms:created>
  <dcterms:modified xsi:type="dcterms:W3CDTF">2021-06-02T09:19:00Z</dcterms:modified>
</cp:coreProperties>
</file>