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7798C" w14:textId="77777777" w:rsidR="00DD11A5" w:rsidRDefault="00DD11A5" w:rsidP="00DD11A5">
      <w:pPr>
        <w:pStyle w:val="Title"/>
      </w:pPr>
      <w:r>
        <w:t xml:space="preserve">Online Appendix </w:t>
      </w:r>
    </w:p>
    <w:p w14:paraId="285A14B3" w14:textId="77777777" w:rsidR="00DD11A5" w:rsidRDefault="00DD11A5" w:rsidP="00DD11A5">
      <w:pPr>
        <w:pStyle w:val="Title"/>
      </w:pPr>
    </w:p>
    <w:p w14:paraId="016C2DB2" w14:textId="77777777" w:rsidR="007F4903" w:rsidRDefault="00DD11A5" w:rsidP="007158C9">
      <w:pPr>
        <w:pStyle w:val="Title"/>
      </w:pPr>
      <w:r>
        <w:t>“</w:t>
      </w:r>
      <w:bookmarkStart w:id="0" w:name="_Hlk135305516"/>
      <w:r w:rsidR="007158C9" w:rsidRPr="007158C9">
        <w:rPr>
          <w:lang w:val="en-GB"/>
        </w:rPr>
        <w:t>Benefits of increasing the value of respondent incentives during the course of a longitudinal mixed-mode survey</w:t>
      </w:r>
      <w:bookmarkEnd w:id="0"/>
      <w:r>
        <w:t>”</w:t>
      </w:r>
    </w:p>
    <w:p w14:paraId="55AE5861" w14:textId="77777777" w:rsidR="007F4903" w:rsidRDefault="007F4903" w:rsidP="007F4903">
      <w:pPr>
        <w:pStyle w:val="NoSpacing"/>
        <w:rPr>
          <w:lang w:val="en-GB"/>
        </w:rPr>
      </w:pPr>
    </w:p>
    <w:p w14:paraId="3C490A9D" w14:textId="6831B309" w:rsidR="007F4903" w:rsidRDefault="007F4903" w:rsidP="007F4903">
      <w:pPr>
        <w:pStyle w:val="NoSpacing"/>
        <w:rPr>
          <w:lang w:val="en-GB"/>
        </w:rPr>
      </w:pPr>
      <w:r>
        <w:rPr>
          <w:lang w:val="en-GB"/>
        </w:rPr>
        <w:t>Pablo Cabrera-Álvarez</w:t>
      </w:r>
      <w:r>
        <w:rPr>
          <w:rFonts w:cstheme="minorHAnsi"/>
          <w:vertAlign w:val="superscript"/>
          <w:lang w:val="en-GB"/>
        </w:rPr>
        <w:t>†</w:t>
      </w:r>
      <w:r>
        <w:rPr>
          <w:lang w:val="en-GB"/>
        </w:rPr>
        <w:t>, Institute for Social and Economic Research, University of Essex</w:t>
      </w:r>
    </w:p>
    <w:p w14:paraId="59290FB0" w14:textId="77777777" w:rsidR="007F4903" w:rsidRDefault="007F4903" w:rsidP="007F4903">
      <w:pPr>
        <w:pStyle w:val="NoSpacing"/>
        <w:rPr>
          <w:lang w:val="en-GB"/>
        </w:rPr>
      </w:pPr>
      <w:r>
        <w:rPr>
          <w:lang w:val="en-GB"/>
        </w:rPr>
        <w:t>Peter Lynn, Institute for Social and Economic Research, University of Essex</w:t>
      </w:r>
    </w:p>
    <w:p w14:paraId="174BA6EF" w14:textId="77777777" w:rsidR="007F4903" w:rsidRDefault="007F4903" w:rsidP="007F4903">
      <w:pPr>
        <w:spacing w:line="252" w:lineRule="auto"/>
        <w:rPr>
          <w:lang w:val="en-GB"/>
        </w:rPr>
      </w:pPr>
    </w:p>
    <w:p w14:paraId="4C4FEA0D" w14:textId="77777777" w:rsidR="007F4903" w:rsidRDefault="007F4903" w:rsidP="007F4903">
      <w:pPr>
        <w:spacing w:line="252" w:lineRule="auto"/>
        <w:rPr>
          <w:rStyle w:val="Hyperlink"/>
          <w:sz w:val="22"/>
          <w:szCs w:val="20"/>
          <w:lang w:val="en-GB"/>
        </w:rPr>
      </w:pPr>
      <w:r w:rsidRPr="000C7ED7">
        <w:rPr>
          <w:rFonts w:cstheme="minorHAnsi"/>
          <w:sz w:val="22"/>
          <w:szCs w:val="20"/>
          <w:vertAlign w:val="superscript"/>
          <w:lang w:val="en-GB"/>
        </w:rPr>
        <w:t>†</w:t>
      </w:r>
      <w:r w:rsidRPr="000C7ED7">
        <w:rPr>
          <w:sz w:val="22"/>
          <w:szCs w:val="20"/>
          <w:lang w:val="en-GB"/>
        </w:rPr>
        <w:t xml:space="preserve">Corresponding author: </w:t>
      </w:r>
      <w:hyperlink r:id="rId8" w:history="1">
        <w:r w:rsidRPr="000C7ED7">
          <w:rPr>
            <w:rStyle w:val="Hyperlink"/>
            <w:sz w:val="22"/>
            <w:szCs w:val="20"/>
            <w:lang w:val="en-GB"/>
          </w:rPr>
          <w:t>pcabre@essex.ac.uk</w:t>
        </w:r>
      </w:hyperlink>
    </w:p>
    <w:p w14:paraId="2A89F4B0" w14:textId="77777777" w:rsidR="007F4903" w:rsidRDefault="007F4903" w:rsidP="007F4903">
      <w:pPr>
        <w:spacing w:line="252" w:lineRule="auto"/>
        <w:rPr>
          <w:rStyle w:val="Hyperlink"/>
          <w:sz w:val="22"/>
          <w:szCs w:val="20"/>
          <w:lang w:val="en-GB"/>
        </w:rPr>
      </w:pPr>
    </w:p>
    <w:sdt>
      <w:sdtPr>
        <w:id w:val="622811088"/>
        <w:docPartObj>
          <w:docPartGallery w:val="Table of Contents"/>
          <w:docPartUnique/>
        </w:docPartObj>
      </w:sdtPr>
      <w:sdtEndPr>
        <w:rPr>
          <w:rFonts w:asciiTheme="minorHAnsi" w:eastAsiaTheme="minorEastAsia" w:hAnsiTheme="minorHAnsi" w:cstheme="minorBidi"/>
          <w:noProof/>
          <w:spacing w:val="0"/>
          <w:sz w:val="24"/>
          <w:szCs w:val="22"/>
        </w:rPr>
      </w:sdtEndPr>
      <w:sdtContent>
        <w:p w14:paraId="3C06DC6A" w14:textId="3B57B36F" w:rsidR="007F4903" w:rsidRPr="001512AC" w:rsidRDefault="007F4903">
          <w:pPr>
            <w:pStyle w:val="TOCHeading"/>
            <w:rPr>
              <w:sz w:val="18"/>
              <w:szCs w:val="18"/>
            </w:rPr>
          </w:pPr>
        </w:p>
        <w:p w14:paraId="32E7783E" w14:textId="3DBFA02D" w:rsidR="007F4903" w:rsidRDefault="007F4903">
          <w:pPr>
            <w:pStyle w:val="TOC1"/>
            <w:tabs>
              <w:tab w:val="right" w:leader="dot" w:pos="9350"/>
            </w:tabs>
            <w:rPr>
              <w:noProof/>
            </w:rPr>
          </w:pPr>
          <w:r>
            <w:fldChar w:fldCharType="begin"/>
          </w:r>
          <w:r>
            <w:instrText xml:space="preserve"> TOC \o "1-3" \h \z \u </w:instrText>
          </w:r>
          <w:r>
            <w:fldChar w:fldCharType="separate"/>
          </w:r>
          <w:hyperlink w:anchor="_Toc183429647" w:history="1">
            <w:r w:rsidRPr="00F82EAB">
              <w:rPr>
                <w:rStyle w:val="Hyperlink"/>
                <w:noProof/>
                <w:lang w:val="en-GB"/>
              </w:rPr>
              <w:t xml:space="preserve">Online Appendix A. Cumulative Response Rates at </w:t>
            </w:r>
            <w:r w:rsidRPr="00F82EAB">
              <w:rPr>
                <w:rStyle w:val="Hyperlink"/>
                <w:i/>
                <w:iCs/>
                <w:noProof/>
                <w:lang w:val="en-GB"/>
              </w:rPr>
              <w:t xml:space="preserve">Understanding Society </w:t>
            </w:r>
            <w:r w:rsidRPr="00F82EAB">
              <w:rPr>
                <w:rStyle w:val="Hyperlink"/>
                <w:noProof/>
                <w:lang w:val="en-GB"/>
              </w:rPr>
              <w:t>Wave 12</w:t>
            </w:r>
            <w:r>
              <w:rPr>
                <w:noProof/>
                <w:webHidden/>
              </w:rPr>
              <w:tab/>
            </w:r>
            <w:r>
              <w:rPr>
                <w:noProof/>
                <w:webHidden/>
              </w:rPr>
              <w:fldChar w:fldCharType="begin"/>
            </w:r>
            <w:r>
              <w:rPr>
                <w:noProof/>
                <w:webHidden/>
              </w:rPr>
              <w:instrText xml:space="preserve"> PAGEREF _Toc183429647 \h </w:instrText>
            </w:r>
            <w:r>
              <w:rPr>
                <w:noProof/>
                <w:webHidden/>
              </w:rPr>
            </w:r>
            <w:r>
              <w:rPr>
                <w:noProof/>
                <w:webHidden/>
              </w:rPr>
              <w:fldChar w:fldCharType="separate"/>
            </w:r>
            <w:r w:rsidR="000B7BAA">
              <w:rPr>
                <w:noProof/>
                <w:webHidden/>
              </w:rPr>
              <w:t>2</w:t>
            </w:r>
            <w:r>
              <w:rPr>
                <w:noProof/>
                <w:webHidden/>
              </w:rPr>
              <w:fldChar w:fldCharType="end"/>
            </w:r>
          </w:hyperlink>
        </w:p>
        <w:p w14:paraId="74FCAA9A" w14:textId="2CE6EBAA" w:rsidR="007F4903" w:rsidRDefault="007F4903">
          <w:pPr>
            <w:pStyle w:val="TOC1"/>
            <w:tabs>
              <w:tab w:val="right" w:leader="dot" w:pos="9350"/>
            </w:tabs>
            <w:rPr>
              <w:noProof/>
            </w:rPr>
          </w:pPr>
          <w:hyperlink w:anchor="_Toc183429648" w:history="1">
            <w:r w:rsidRPr="00F82EAB">
              <w:rPr>
                <w:rStyle w:val="Hyperlink"/>
                <w:noProof/>
                <w:lang w:val="en-GB"/>
              </w:rPr>
              <w:t>Online Appendix B. Incentive Strategy at Understanding Society</w:t>
            </w:r>
            <w:r>
              <w:rPr>
                <w:noProof/>
                <w:webHidden/>
              </w:rPr>
              <w:tab/>
            </w:r>
            <w:r>
              <w:rPr>
                <w:noProof/>
                <w:webHidden/>
              </w:rPr>
              <w:fldChar w:fldCharType="begin"/>
            </w:r>
            <w:r>
              <w:rPr>
                <w:noProof/>
                <w:webHidden/>
              </w:rPr>
              <w:instrText xml:space="preserve"> PAGEREF _Toc183429648 \h </w:instrText>
            </w:r>
            <w:r>
              <w:rPr>
                <w:noProof/>
                <w:webHidden/>
              </w:rPr>
            </w:r>
            <w:r>
              <w:rPr>
                <w:noProof/>
                <w:webHidden/>
              </w:rPr>
              <w:fldChar w:fldCharType="separate"/>
            </w:r>
            <w:r w:rsidR="000B7BAA">
              <w:rPr>
                <w:noProof/>
                <w:webHidden/>
              </w:rPr>
              <w:t>8</w:t>
            </w:r>
            <w:r>
              <w:rPr>
                <w:noProof/>
                <w:webHidden/>
              </w:rPr>
              <w:fldChar w:fldCharType="end"/>
            </w:r>
          </w:hyperlink>
        </w:p>
        <w:p w14:paraId="1C29CC1C" w14:textId="38B3FA53" w:rsidR="007F4903" w:rsidRDefault="007F4903">
          <w:pPr>
            <w:pStyle w:val="TOC1"/>
            <w:tabs>
              <w:tab w:val="right" w:leader="dot" w:pos="9350"/>
            </w:tabs>
            <w:rPr>
              <w:noProof/>
            </w:rPr>
          </w:pPr>
          <w:hyperlink w:anchor="_Toc183429649" w:history="1">
            <w:r w:rsidRPr="00F82EAB">
              <w:rPr>
                <w:rStyle w:val="Hyperlink"/>
                <w:noProof/>
                <w:lang w:val="en-GB"/>
              </w:rPr>
              <w:t xml:space="preserve">Online Appendix C. </w:t>
            </w:r>
            <w:r w:rsidRPr="00F82EAB">
              <w:rPr>
                <w:rStyle w:val="Hyperlink"/>
                <w:noProof/>
              </w:rPr>
              <w:t>Excerpts from the letters and emails sent to participants</w:t>
            </w:r>
            <w:r>
              <w:rPr>
                <w:noProof/>
                <w:webHidden/>
              </w:rPr>
              <w:tab/>
            </w:r>
            <w:r>
              <w:rPr>
                <w:noProof/>
                <w:webHidden/>
              </w:rPr>
              <w:fldChar w:fldCharType="begin"/>
            </w:r>
            <w:r>
              <w:rPr>
                <w:noProof/>
                <w:webHidden/>
              </w:rPr>
              <w:instrText xml:space="preserve"> PAGEREF _Toc183429649 \h </w:instrText>
            </w:r>
            <w:r>
              <w:rPr>
                <w:noProof/>
                <w:webHidden/>
              </w:rPr>
            </w:r>
            <w:r>
              <w:rPr>
                <w:noProof/>
                <w:webHidden/>
              </w:rPr>
              <w:fldChar w:fldCharType="separate"/>
            </w:r>
            <w:r w:rsidR="000B7BAA">
              <w:rPr>
                <w:noProof/>
                <w:webHidden/>
              </w:rPr>
              <w:t>9</w:t>
            </w:r>
            <w:r>
              <w:rPr>
                <w:noProof/>
                <w:webHidden/>
              </w:rPr>
              <w:fldChar w:fldCharType="end"/>
            </w:r>
          </w:hyperlink>
        </w:p>
        <w:p w14:paraId="0A8812E2" w14:textId="2010E5D3" w:rsidR="007F4903" w:rsidRDefault="007F4903">
          <w:pPr>
            <w:pStyle w:val="TOC1"/>
            <w:tabs>
              <w:tab w:val="right" w:leader="dot" w:pos="9350"/>
            </w:tabs>
            <w:rPr>
              <w:noProof/>
            </w:rPr>
          </w:pPr>
          <w:hyperlink w:anchor="_Toc183429650" w:history="1">
            <w:r w:rsidRPr="00F82EAB">
              <w:rPr>
                <w:rStyle w:val="Hyperlink"/>
                <w:noProof/>
                <w:lang w:val="en-GB"/>
              </w:rPr>
              <w:t>Online Appendix D. Heterogenous effects</w:t>
            </w:r>
            <w:r>
              <w:rPr>
                <w:noProof/>
                <w:webHidden/>
              </w:rPr>
              <w:tab/>
            </w:r>
            <w:r>
              <w:rPr>
                <w:noProof/>
                <w:webHidden/>
              </w:rPr>
              <w:fldChar w:fldCharType="begin"/>
            </w:r>
            <w:r>
              <w:rPr>
                <w:noProof/>
                <w:webHidden/>
              </w:rPr>
              <w:instrText xml:space="preserve"> PAGEREF _Toc183429650 \h </w:instrText>
            </w:r>
            <w:r>
              <w:rPr>
                <w:noProof/>
                <w:webHidden/>
              </w:rPr>
            </w:r>
            <w:r>
              <w:rPr>
                <w:noProof/>
                <w:webHidden/>
              </w:rPr>
              <w:fldChar w:fldCharType="separate"/>
            </w:r>
            <w:r w:rsidR="000B7BAA">
              <w:rPr>
                <w:noProof/>
                <w:webHidden/>
              </w:rPr>
              <w:t>10</w:t>
            </w:r>
            <w:r>
              <w:rPr>
                <w:noProof/>
                <w:webHidden/>
              </w:rPr>
              <w:fldChar w:fldCharType="end"/>
            </w:r>
          </w:hyperlink>
        </w:p>
        <w:p w14:paraId="2149313C" w14:textId="13FC2901" w:rsidR="007F4903" w:rsidRDefault="007F4903">
          <w:pPr>
            <w:pStyle w:val="TOC1"/>
            <w:tabs>
              <w:tab w:val="right" w:leader="dot" w:pos="9350"/>
            </w:tabs>
            <w:rPr>
              <w:noProof/>
            </w:rPr>
          </w:pPr>
          <w:hyperlink w:anchor="_Toc183429651" w:history="1">
            <w:r w:rsidRPr="00F82EAB">
              <w:rPr>
                <w:rStyle w:val="Hyperlink"/>
                <w:noProof/>
                <w:lang w:val="en-GB"/>
              </w:rPr>
              <w:t xml:space="preserve">Online Appendix E. </w:t>
            </w:r>
            <w:r w:rsidRPr="00F82EAB">
              <w:rPr>
                <w:rStyle w:val="Hyperlink"/>
                <w:noProof/>
              </w:rPr>
              <w:t>Variables in the analysis</w:t>
            </w:r>
            <w:r>
              <w:rPr>
                <w:noProof/>
                <w:webHidden/>
              </w:rPr>
              <w:tab/>
            </w:r>
            <w:r>
              <w:rPr>
                <w:noProof/>
                <w:webHidden/>
              </w:rPr>
              <w:fldChar w:fldCharType="begin"/>
            </w:r>
            <w:r>
              <w:rPr>
                <w:noProof/>
                <w:webHidden/>
              </w:rPr>
              <w:instrText xml:space="preserve"> PAGEREF _Toc183429651 \h </w:instrText>
            </w:r>
            <w:r>
              <w:rPr>
                <w:noProof/>
                <w:webHidden/>
              </w:rPr>
            </w:r>
            <w:r>
              <w:rPr>
                <w:noProof/>
                <w:webHidden/>
              </w:rPr>
              <w:fldChar w:fldCharType="separate"/>
            </w:r>
            <w:r w:rsidR="000B7BAA">
              <w:rPr>
                <w:noProof/>
                <w:webHidden/>
              </w:rPr>
              <w:t>13</w:t>
            </w:r>
            <w:r>
              <w:rPr>
                <w:noProof/>
                <w:webHidden/>
              </w:rPr>
              <w:fldChar w:fldCharType="end"/>
            </w:r>
          </w:hyperlink>
        </w:p>
        <w:p w14:paraId="0FF28911" w14:textId="47CDE11B" w:rsidR="007F4903" w:rsidRDefault="007F4903">
          <w:pPr>
            <w:pStyle w:val="TOC1"/>
            <w:tabs>
              <w:tab w:val="right" w:leader="dot" w:pos="9350"/>
            </w:tabs>
            <w:rPr>
              <w:noProof/>
            </w:rPr>
          </w:pPr>
          <w:hyperlink w:anchor="_Toc183429652" w:history="1">
            <w:r w:rsidRPr="00F82EAB">
              <w:rPr>
                <w:rStyle w:val="Hyperlink"/>
                <w:noProof/>
                <w:lang w:val="en-GB"/>
              </w:rPr>
              <w:t>Online Appendix F. Wave 12 mode of individual interview and sample composition</w:t>
            </w:r>
            <w:r>
              <w:rPr>
                <w:noProof/>
                <w:webHidden/>
              </w:rPr>
              <w:tab/>
            </w:r>
            <w:r>
              <w:rPr>
                <w:noProof/>
                <w:webHidden/>
              </w:rPr>
              <w:fldChar w:fldCharType="begin"/>
            </w:r>
            <w:r>
              <w:rPr>
                <w:noProof/>
                <w:webHidden/>
              </w:rPr>
              <w:instrText xml:space="preserve"> PAGEREF _Toc183429652 \h </w:instrText>
            </w:r>
            <w:r>
              <w:rPr>
                <w:noProof/>
                <w:webHidden/>
              </w:rPr>
            </w:r>
            <w:r>
              <w:rPr>
                <w:noProof/>
                <w:webHidden/>
              </w:rPr>
              <w:fldChar w:fldCharType="separate"/>
            </w:r>
            <w:r w:rsidR="000B7BAA">
              <w:rPr>
                <w:noProof/>
                <w:webHidden/>
              </w:rPr>
              <w:t>15</w:t>
            </w:r>
            <w:r>
              <w:rPr>
                <w:noProof/>
                <w:webHidden/>
              </w:rPr>
              <w:fldChar w:fldCharType="end"/>
            </w:r>
          </w:hyperlink>
        </w:p>
        <w:p w14:paraId="6681027A" w14:textId="333CF2A1" w:rsidR="007F4903" w:rsidRDefault="007F4903">
          <w:pPr>
            <w:pStyle w:val="TOC1"/>
            <w:tabs>
              <w:tab w:val="right" w:leader="dot" w:pos="9350"/>
            </w:tabs>
            <w:rPr>
              <w:noProof/>
            </w:rPr>
          </w:pPr>
          <w:hyperlink w:anchor="_Toc183429653" w:history="1">
            <w:r w:rsidRPr="00F82EAB">
              <w:rPr>
                <w:rStyle w:val="Hyperlink"/>
                <w:noProof/>
                <w:lang w:val="en-GB"/>
              </w:rPr>
              <w:t>Online Appendix G. COVID-19 effect on response rates and sample composition</w:t>
            </w:r>
            <w:r>
              <w:rPr>
                <w:noProof/>
                <w:webHidden/>
              </w:rPr>
              <w:tab/>
            </w:r>
            <w:r>
              <w:rPr>
                <w:noProof/>
                <w:webHidden/>
              </w:rPr>
              <w:fldChar w:fldCharType="begin"/>
            </w:r>
            <w:r>
              <w:rPr>
                <w:noProof/>
                <w:webHidden/>
              </w:rPr>
              <w:instrText xml:space="preserve"> PAGEREF _Toc183429653 \h </w:instrText>
            </w:r>
            <w:r>
              <w:rPr>
                <w:noProof/>
                <w:webHidden/>
              </w:rPr>
            </w:r>
            <w:r>
              <w:rPr>
                <w:noProof/>
                <w:webHidden/>
              </w:rPr>
              <w:fldChar w:fldCharType="separate"/>
            </w:r>
            <w:r w:rsidR="000B7BAA">
              <w:rPr>
                <w:noProof/>
                <w:webHidden/>
              </w:rPr>
              <w:t>16</w:t>
            </w:r>
            <w:r>
              <w:rPr>
                <w:noProof/>
                <w:webHidden/>
              </w:rPr>
              <w:fldChar w:fldCharType="end"/>
            </w:r>
          </w:hyperlink>
        </w:p>
        <w:p w14:paraId="7E48F016" w14:textId="3BC68096" w:rsidR="007F4903" w:rsidRDefault="007F4903">
          <w:pPr>
            <w:pStyle w:val="TOC1"/>
            <w:tabs>
              <w:tab w:val="right" w:leader="dot" w:pos="9350"/>
            </w:tabs>
            <w:rPr>
              <w:noProof/>
            </w:rPr>
          </w:pPr>
          <w:hyperlink w:anchor="_Toc183429654" w:history="1">
            <w:r w:rsidRPr="00F82EAB">
              <w:rPr>
                <w:rStyle w:val="Hyperlink"/>
                <w:noProof/>
                <w:lang w:val="en-GB"/>
              </w:rPr>
              <w:t>References</w:t>
            </w:r>
            <w:r>
              <w:rPr>
                <w:noProof/>
                <w:webHidden/>
              </w:rPr>
              <w:tab/>
            </w:r>
            <w:r>
              <w:rPr>
                <w:noProof/>
                <w:webHidden/>
              </w:rPr>
              <w:fldChar w:fldCharType="begin"/>
            </w:r>
            <w:r>
              <w:rPr>
                <w:noProof/>
                <w:webHidden/>
              </w:rPr>
              <w:instrText xml:space="preserve"> PAGEREF _Toc183429654 \h </w:instrText>
            </w:r>
            <w:r>
              <w:rPr>
                <w:noProof/>
                <w:webHidden/>
              </w:rPr>
            </w:r>
            <w:r>
              <w:rPr>
                <w:noProof/>
                <w:webHidden/>
              </w:rPr>
              <w:fldChar w:fldCharType="separate"/>
            </w:r>
            <w:r w:rsidR="000B7BAA">
              <w:rPr>
                <w:noProof/>
                <w:webHidden/>
              </w:rPr>
              <w:t>22</w:t>
            </w:r>
            <w:r>
              <w:rPr>
                <w:noProof/>
                <w:webHidden/>
              </w:rPr>
              <w:fldChar w:fldCharType="end"/>
            </w:r>
          </w:hyperlink>
        </w:p>
        <w:p w14:paraId="6E42A546" w14:textId="4AB8AE7C" w:rsidR="007F4903" w:rsidRDefault="007F4903">
          <w:r>
            <w:rPr>
              <w:b/>
              <w:bCs/>
              <w:noProof/>
            </w:rPr>
            <w:fldChar w:fldCharType="end"/>
          </w:r>
        </w:p>
      </w:sdtContent>
    </w:sdt>
    <w:p w14:paraId="1446E4A2" w14:textId="77777777" w:rsidR="007F4903" w:rsidRPr="000C7ED7" w:rsidRDefault="007F4903" w:rsidP="007F4903">
      <w:pPr>
        <w:spacing w:line="252" w:lineRule="auto"/>
        <w:rPr>
          <w:sz w:val="22"/>
          <w:szCs w:val="20"/>
          <w:lang w:val="en-GB"/>
        </w:rPr>
      </w:pPr>
    </w:p>
    <w:p w14:paraId="450715EE" w14:textId="4CA2177E" w:rsidR="0053594B" w:rsidRPr="007158C9" w:rsidRDefault="00DD11A5" w:rsidP="007158C9">
      <w:pPr>
        <w:pStyle w:val="Title"/>
        <w:rPr>
          <w:i/>
          <w:iCs/>
          <w:lang w:val="en-GB"/>
        </w:rPr>
      </w:pPr>
      <w:r>
        <w:rPr>
          <w:lang w:val="en-GB"/>
        </w:rPr>
        <w:br w:type="page"/>
      </w:r>
    </w:p>
    <w:p w14:paraId="74A74EB4" w14:textId="57161965" w:rsidR="00A606CA" w:rsidRDefault="00A606CA" w:rsidP="00A606CA">
      <w:pPr>
        <w:pStyle w:val="Heading1"/>
        <w:rPr>
          <w:lang w:val="en-GB"/>
        </w:rPr>
      </w:pPr>
      <w:bookmarkStart w:id="1" w:name="_Toc183429647"/>
      <w:r>
        <w:rPr>
          <w:lang w:val="en-GB"/>
        </w:rPr>
        <w:lastRenderedPageBreak/>
        <w:t xml:space="preserve">Online Appendix </w:t>
      </w:r>
      <w:r w:rsidR="003F78A0">
        <w:rPr>
          <w:lang w:val="en-GB"/>
        </w:rPr>
        <w:t>A</w:t>
      </w:r>
      <w:r>
        <w:rPr>
          <w:lang w:val="en-GB"/>
        </w:rPr>
        <w:t xml:space="preserve">. Cumulative Response Rates at </w:t>
      </w:r>
      <w:r>
        <w:rPr>
          <w:i/>
          <w:iCs/>
          <w:lang w:val="en-GB"/>
        </w:rPr>
        <w:t xml:space="preserve">Understanding Society </w:t>
      </w:r>
      <w:r>
        <w:rPr>
          <w:lang w:val="en-GB"/>
        </w:rPr>
        <w:t>Wave 12</w:t>
      </w:r>
      <w:bookmarkEnd w:id="1"/>
    </w:p>
    <w:p w14:paraId="518342C8" w14:textId="77777777" w:rsidR="00A606CA" w:rsidRDefault="00A606CA" w:rsidP="00A606CA">
      <w:pPr>
        <w:rPr>
          <w:lang w:val="en-GB"/>
        </w:rPr>
      </w:pPr>
    </w:p>
    <w:p w14:paraId="33A5C202" w14:textId="407AABC2" w:rsidR="00A606CA" w:rsidRDefault="00A606CA" w:rsidP="00A606CA">
      <w:pPr>
        <w:rPr>
          <w:lang w:val="en-GB"/>
        </w:rPr>
      </w:pPr>
      <w:r>
        <w:rPr>
          <w:lang w:val="en-GB"/>
        </w:rPr>
        <w:t xml:space="preserve">The analysis presented in the article corresponds to a subpopulation of </w:t>
      </w:r>
      <w:r w:rsidRPr="00B40BD5">
        <w:rPr>
          <w:i/>
          <w:iCs/>
          <w:lang w:val="en-GB"/>
        </w:rPr>
        <w:t>Understanding Society</w:t>
      </w:r>
      <w:r>
        <w:rPr>
          <w:lang w:val="en-GB"/>
        </w:rPr>
        <w:t xml:space="preserve">: panel members eligible for an individual interview at wave 12 who were part of </w:t>
      </w:r>
      <w:r w:rsidR="009B669A">
        <w:rPr>
          <w:lang w:val="en-GB"/>
        </w:rPr>
        <w:t>a responding household</w:t>
      </w:r>
      <w:r>
        <w:rPr>
          <w:lang w:val="en-GB"/>
        </w:rPr>
        <w:t xml:space="preserve"> in the previous wave. In addition, the analysis sample is restricted to the April to September 2020 monthly samples</w:t>
      </w:r>
      <w:r w:rsidRPr="0094731D">
        <w:rPr>
          <w:rStyle w:val="FootnoteReference"/>
        </w:rPr>
        <w:footnoteReference w:id="1"/>
      </w:r>
      <w:r>
        <w:rPr>
          <w:lang w:val="en-GB"/>
        </w:rPr>
        <w:t xml:space="preserve">, where the higher incentive experiment was embedded. The response rates used to assess the effect of the </w:t>
      </w:r>
      <w:r w:rsidR="009B669A">
        <w:rPr>
          <w:lang w:val="en-GB"/>
        </w:rPr>
        <w:t>treatment</w:t>
      </w:r>
      <w:r>
        <w:rPr>
          <w:lang w:val="en-GB"/>
        </w:rPr>
        <w:t xml:space="preserve"> are detailed in the Data and Methods section of the article. In this appendix, we provide some contextual information about the cross-sectional and longitudinal response rates of </w:t>
      </w:r>
      <w:r>
        <w:rPr>
          <w:i/>
          <w:iCs/>
          <w:lang w:val="en-GB"/>
        </w:rPr>
        <w:t>Understanding Society</w:t>
      </w:r>
      <w:r>
        <w:rPr>
          <w:lang w:val="en-GB"/>
        </w:rPr>
        <w:t xml:space="preserve"> wave 12.</w:t>
      </w:r>
      <w:r w:rsidR="009B669A">
        <w:rPr>
          <w:lang w:val="en-GB"/>
        </w:rPr>
        <w:t xml:space="preserve"> Before, we offer a brief description of the samples that compose </w:t>
      </w:r>
      <w:proofErr w:type="spellStart"/>
      <w:r w:rsidR="009B669A" w:rsidRPr="001512AC">
        <w:rPr>
          <w:i/>
          <w:iCs/>
          <w:lang w:val="en-GB"/>
        </w:rPr>
        <w:t>Undertanding</w:t>
      </w:r>
      <w:proofErr w:type="spellEnd"/>
      <w:r w:rsidR="009B669A" w:rsidRPr="001512AC">
        <w:rPr>
          <w:i/>
          <w:iCs/>
          <w:lang w:val="en-GB"/>
        </w:rPr>
        <w:t xml:space="preserve"> Society </w:t>
      </w:r>
      <w:r w:rsidR="009B669A">
        <w:rPr>
          <w:lang w:val="en-GB"/>
        </w:rPr>
        <w:t>main study.</w:t>
      </w:r>
    </w:p>
    <w:p w14:paraId="7C44BE58" w14:textId="666CF191" w:rsidR="009B669A" w:rsidRDefault="009B669A" w:rsidP="00A606CA">
      <w:pPr>
        <w:rPr>
          <w:lang w:val="en-GB"/>
        </w:rPr>
      </w:pPr>
      <w:r w:rsidRPr="009B669A">
        <w:rPr>
          <w:lang w:val="en-GB"/>
        </w:rPr>
        <w:t>The study has multiple sample components. The main component is the General Population Sample (GPS), which comprises two elements: a clustered and stratified probability sample of more than 24,000 households selected in Great Britain in 2009-10 and a simple random sample of approximately 2,000 households selected in Northern Ireland in 2009</w:t>
      </w:r>
      <w:r w:rsidR="00B17DCC">
        <w:rPr>
          <w:lang w:val="en-GB"/>
        </w:rPr>
        <w:t xml:space="preserve"> </w:t>
      </w:r>
      <w:r w:rsidR="00B17DCC">
        <w:rPr>
          <w:lang w:val="en-GB"/>
        </w:rPr>
        <w:fldChar w:fldCharType="begin"/>
      </w:r>
      <w:r w:rsidR="00B17DCC">
        <w:rPr>
          <w:lang w:val="en-GB"/>
        </w:rPr>
        <w:instrText xml:space="preserve"> ADDIN ZOTERO_ITEM CSL_CITATION {"citationID":"wNAWN9NM","properties":{"formattedCitation":"(Lynn 2009)","plainCitation":"(Lynn 2009)","noteIndex":0},"citationItems":[{"id":4529,"uris":["http://zotero.org/users/7701824/items/842H9WM6"],"itemData":{"id":4529,"type":"article-journal","abstract":"This paper describes the design of the sample for “Understanding Society”. The sample consists of five components. The largest component is a newly-selected general population sample. The other four components are an ethnic minority ‘boost’ sample, a general population comparison sample, the ex-BHPS (British Household Panel Survey) sample, and the innovation panel sample.","container-title":"Understanding Society Working Papers","issue":"2009-01","language":"en","source":"Zotero","title":"Sample Design for Understanding Society","author":[{"family":"Lynn","given":"Peter"}],"issued":{"date-parts":[["2009"]]}}}],"schema":"https://github.com/citation-style-language/schema/raw/master/csl-citation.json"} </w:instrText>
      </w:r>
      <w:r w:rsidR="00B17DCC">
        <w:rPr>
          <w:lang w:val="en-GB"/>
        </w:rPr>
        <w:fldChar w:fldCharType="separate"/>
      </w:r>
      <w:r w:rsidR="00B17DCC" w:rsidRPr="00B17DCC">
        <w:rPr>
          <w:rFonts w:ascii="Times New Roman" w:hAnsi="Times New Roman" w:cs="Times New Roman"/>
        </w:rPr>
        <w:t>(Lynn 2009)</w:t>
      </w:r>
      <w:r w:rsidR="00B17DCC">
        <w:rPr>
          <w:lang w:val="en-GB"/>
        </w:rPr>
        <w:fldChar w:fldCharType="end"/>
      </w:r>
      <w:r w:rsidRPr="009B669A">
        <w:rPr>
          <w:lang w:val="en-GB"/>
        </w:rPr>
        <w:t xml:space="preserve">. The British Household Panel (BHPS) started in 1991 and consisted of a stratified and clustered probability sample of households of more than 5,000 households; boost samples for Wales, Scotland were added in 1997, and in 2001 a simple random sample of households from Northern Ireland </w:t>
      </w:r>
      <w:r w:rsidR="00B17DCC">
        <w:rPr>
          <w:lang w:val="en-GB"/>
        </w:rPr>
        <w:fldChar w:fldCharType="begin"/>
      </w:r>
      <w:r w:rsidR="00B17DCC">
        <w:rPr>
          <w:lang w:val="en-GB"/>
        </w:rPr>
        <w:instrText xml:space="preserve"> ADDIN ZOTERO_ITEM CSL_CITATION {"citationID":"HOHukPKO","properties":{"formattedCitation":"(Marcia Freed et al. 2018)","plainCitation":"(Marcia Freed et al. 2018)","noteIndex":0},"citationItems":[{"id":4638,"uris":["http://zotero.org/users/7701824/items/H2J4M6SK"],"itemData":{"id":4638,"type":"book","abstract":"&amp;lt;p class=\"MsoBodyText\"&amp;gt;The British Household Panel Survey (BHPS) ran for 18 waves, from 1991-2009, and was conducted by the ESRC UK Longitudinal Studies Centre (ULSC), together with the &amp;lt;a href=\"https://www.iser.essex.ac.uk/\" title=\"Institute for Social and Economic Research\"&amp;gt;Institute for Social and Economic Research&amp;lt;/a&amp;gt; (ISER) at the University of Essex. The ULSC, established in 1999, was a continuation of the research resource component of the ESRC Research Centre on Micro-Social Change (MISOC), established in 1989. In addition to running panel studies, ISER undertakes a programme of research based on panel data, using &amp;lt;a href=\"https://www.iser.essex.ac.uk/understanding-society\" title=\"Understanding Society\"&amp;gt;Understanding Society&amp;lt;/a&amp;gt;, the BHPS and other national panels to monitor and measure social change. &amp;lt;br&amp;gt; &amp;lt;br&amp;gt; The main objective of the BHPS was to further understanding of social and economic change at the individual and household level in Britain, and to identify, model and forecast such changes and their causes and consequences in relation to a range of socio-economic variables. It was designed as an annual survey of each adult member (aged 16 years and over) of a nationally representative sample of more than 5,000 households, making a total of approximately 10,000 individual interviews. The same individuals were re-interviewed in successive waves and, if they left their original households, all adult members of their new households were also interviewed. Children were interviewed once they reach the age of 16; there was also a special survey of household members aged 11-15 included in the BHPS from Wave 4 onwards (the British Youth Panel, or BYP). From Wave 9, two additional samples were added to the BHPS in Scotland and Wales, and at Wave 11 an additional sample from Northern Ireland (which formed the Northern Ireland Household Panel Study or NIHPS), was added to increase the sample to cover the whole of the United Kingdom. For Waves 7-11, the BHPS also provided data for the European Community Household Panel (ECHP). For details of sampling, methodology and changes to the survey over time, see Volume A of the documentation (Introduction, Technical Report and Appendices). &amp;lt;br&amp;gt; &amp;lt;br&amp;gt; Further information may be found on the ISER &amp;lt;a href=\"https://www.iser.essex.ac.uk/bhps\"&amp;gt;BHPS&amp;lt;/a&amp;gt; webpages.&amp;lt;/p&amp;gt;&amp;lt;p class=\"MsoBodyText\"&amp;gt;For the eighth edition (October 2018) all data files were replaced with new versions. The main changes are: a) the addition to the main dataset of net income variables, previously released separately; b) the addition of variables to assist linkage to the Understanding Society dataset (SN 6614) which includes BHPS sample members; c) some enhancements to data included in the XWAVEDAT file, and d) a range of data corrections mainly from user comments: these include limited corrections to income data, fixing issues with employment history and occupation data at wave 18 and some issues with weights. Volume A of the documentation has been updated to provide further details on the changes. This edition also splits the previous SN 5151 into an End User Licence (EUL) / Special Licence split to reflect Understanding Society. The variables excluded from the EUL version relate to month of birth (day of birth is not included in either version), full occupation codes, rare country of birth / nationality occurrences, and the full urban-rural classification. Data users should also note that the income variables have been top-coded for the EUL release.&amp;lt;br&amp;gt;&amp;lt;/p&amp;gt;","event-place":"Colchester","ISBN":"978 1 85871 177 0","language":"en","publisher":"University of Essex","publisher-place":"Colchester","title":"British Household Panel Survey User Manual Volume A: Introduction, Technical Report and Appendices.","volume":"vol. A","editor":[{"family":"Marcia Freed","given":"Taylor"},{"family":"Brice","given":"John"},{"family":"Buck","given":"Nick"},{"family":"Prentice-Lane","given":"Eleine"}],"issued":{"date-parts":[["2018"]]}}}],"schema":"https://github.com/citation-style-language/schema/raw/master/csl-citation.json"} </w:instrText>
      </w:r>
      <w:r w:rsidR="00B17DCC">
        <w:rPr>
          <w:lang w:val="en-GB"/>
        </w:rPr>
        <w:fldChar w:fldCharType="separate"/>
      </w:r>
      <w:r w:rsidR="00B17DCC" w:rsidRPr="00B17DCC">
        <w:rPr>
          <w:rFonts w:ascii="Times New Roman" w:hAnsi="Times New Roman" w:cs="Times New Roman"/>
        </w:rPr>
        <w:t>(Marcia Freed et al. 2018)</w:t>
      </w:r>
      <w:r w:rsidR="00B17DCC">
        <w:rPr>
          <w:lang w:val="en-GB"/>
        </w:rPr>
        <w:fldChar w:fldCharType="end"/>
      </w:r>
      <w:r w:rsidRPr="009B669A">
        <w:rPr>
          <w:lang w:val="en-GB"/>
        </w:rPr>
        <w:t xml:space="preserve">. In addition, Understanding Society includes two boost samples: the Ethnic Minority Boost (EMB) sample, selected in 2009-10, selected from areas with a high concentration </w:t>
      </w:r>
      <w:r w:rsidRPr="009B669A">
        <w:rPr>
          <w:lang w:val="en-GB"/>
        </w:rPr>
        <w:lastRenderedPageBreak/>
        <w:t xml:space="preserve">of persons from an ethnic minority background </w:t>
      </w:r>
      <w:r w:rsidR="00B17DCC">
        <w:rPr>
          <w:lang w:val="en-GB"/>
        </w:rPr>
        <w:fldChar w:fldCharType="begin"/>
      </w:r>
      <w:r w:rsidR="00B17DCC">
        <w:rPr>
          <w:lang w:val="en-GB"/>
        </w:rPr>
        <w:instrText xml:space="preserve"> ADDIN ZOTERO_ITEM CSL_CITATION {"citationID":"lA5mbFIr","properties":{"formattedCitation":"(Berthoud et al. 2009)","plainCitation":"(Berthoud et al. 2009)","noteIndex":0},"citationItems":[{"id":4642,"uris":["http://zotero.org/users/7701824/items/9D9GY8KU"],"itemData":{"id":4642,"type":"article-journal","abstract":"The overall sample design for Understanding Society has been described in an earlier working paper in this series (Lynn 2009). This paper describes the special measures taken to boost the sample of members of five key minority ethnic groups in Great Britain. A new method was developed to estimate the ethnic density of postal sectors in 2007, when the most recent Census data was collected in 2001. Key stages from then on were: excluding sectors with low minority populations; selecting addresses using fractions which over-sampled areas with high densities of the scarcest groups; subsampling sectors with low expected yields; and screening in the field to identify target households.","container-title":"Understanding Society Working Papers","issue":"2009-02","language":"en","source":"Zotero","title":"Design of the Understanding Society Ethnic Minority Boost Sample","author":[{"family":"Berthoud","given":"Richard"},{"family":"Fumagalli","given":"Laura"},{"family":"Lynn","given":"Peter"},{"family":"Platt","given":"Lucinda"}],"issued":{"date-parts":[["2009"]]}}}],"schema":"https://github.com/citation-style-language/schema/raw/master/csl-citation.json"} </w:instrText>
      </w:r>
      <w:r w:rsidR="00B17DCC">
        <w:rPr>
          <w:lang w:val="en-GB"/>
        </w:rPr>
        <w:fldChar w:fldCharType="separate"/>
      </w:r>
      <w:r w:rsidR="00B17DCC" w:rsidRPr="00B17DCC">
        <w:rPr>
          <w:rFonts w:ascii="Times New Roman" w:hAnsi="Times New Roman" w:cs="Times New Roman"/>
        </w:rPr>
        <w:t>(Berthoud et al. 2009)</w:t>
      </w:r>
      <w:r w:rsidR="00B17DCC">
        <w:rPr>
          <w:lang w:val="en-GB"/>
        </w:rPr>
        <w:fldChar w:fldCharType="end"/>
      </w:r>
      <w:r w:rsidRPr="009B669A">
        <w:rPr>
          <w:lang w:val="en-GB"/>
        </w:rPr>
        <w:t>, and the Immigrant and Ethnic Minority Boost (IEMB), selected at wave 6 (2014-15) (Lynn et al. 2018).</w:t>
      </w:r>
    </w:p>
    <w:p w14:paraId="791087E9" w14:textId="77777777" w:rsidR="00A606CA" w:rsidRDefault="00A606CA" w:rsidP="00A606CA">
      <w:pPr>
        <w:rPr>
          <w:lang w:val="en-GB"/>
        </w:rPr>
      </w:pPr>
      <w:r>
        <w:rPr>
          <w:lang w:val="en-GB"/>
        </w:rPr>
        <w:t xml:space="preserve">We provide two response rates. First, we present a cross-sectional individual response rate for wave 12 based on the panel members eligible for an adult interview (aged 16 or over) issued to the field at wave 12. Second, we present the cumulative response rate for the different samples that form </w:t>
      </w:r>
      <w:r w:rsidRPr="00AC70DA">
        <w:rPr>
          <w:i/>
          <w:iCs/>
          <w:lang w:val="en-GB"/>
        </w:rPr>
        <w:t>Understanding Society</w:t>
      </w:r>
      <w:r>
        <w:rPr>
          <w:lang w:val="en-GB"/>
        </w:rPr>
        <w:t>, which were recruited at different time points. The cumulative response rate combines the household response probability at the initial wave, the individual response rate at wave 1, and the probability of being eligible and responding to wave 12. Below, we describe the calculation and present the different response rates.</w:t>
      </w:r>
    </w:p>
    <w:p w14:paraId="0A3AF6E6" w14:textId="5A226067" w:rsidR="00A606CA" w:rsidRDefault="00A606CA" w:rsidP="00A606CA">
      <w:pPr>
        <w:rPr>
          <w:lang w:val="en-GB"/>
        </w:rPr>
      </w:pPr>
      <w:r>
        <w:rPr>
          <w:lang w:val="en-GB"/>
        </w:rPr>
        <w:t>The individual cross-sectional response rate is based on the RR6 AAPOR</w:t>
      </w:r>
      <w:r w:rsidR="00B17DCC">
        <w:rPr>
          <w:rFonts w:ascii="Times New Roman" w:hAnsi="Times New Roman" w:cs="Times New Roman"/>
        </w:rPr>
        <w:t xml:space="preserve"> </w:t>
      </w:r>
      <w:r w:rsidR="00B17DCC">
        <w:rPr>
          <w:rFonts w:ascii="Times New Roman" w:hAnsi="Times New Roman" w:cs="Times New Roman"/>
        </w:rPr>
        <w:fldChar w:fldCharType="begin"/>
      </w:r>
      <w:r w:rsidR="00B17DCC">
        <w:rPr>
          <w:rFonts w:ascii="Times New Roman" w:hAnsi="Times New Roman" w:cs="Times New Roman"/>
        </w:rPr>
        <w:instrText xml:space="preserve"> ADDIN ZOTERO_ITEM CSL_CITATION {"citationID":"YcalMW4p","properties":{"formattedCitation":"(AAPOR 2023)","plainCitation":"(AAPOR 2023)","noteIndex":0},"citationItems":[{"id":4624,"uris":["http://zotero.org/users/7701824/items/WMYV3AI2"],"itemData":{"id":4624,"type":"report","event-place":"Alexandria (VA)","language":"eng","page":"90","publisher":"American Association for Public Opinion Research","publisher-place":"Alexandria (VA)","title":"Standard Definitions. Final Dispositions of Case Codes and Outcome Rates for Surveys","URL":"https://aapor.org/wp-content/uploads/2023/05/Standards-Definitions-10th-edition.pdf","author":[{"literal":"AAPOR"}],"issued":{"date-parts":[["2023"]]}}}],"schema":"https://github.com/citation-style-language/schema/raw/master/csl-citation.json"} </w:instrText>
      </w:r>
      <w:r w:rsidR="00B17DCC">
        <w:rPr>
          <w:rFonts w:ascii="Times New Roman" w:hAnsi="Times New Roman" w:cs="Times New Roman"/>
        </w:rPr>
        <w:fldChar w:fldCharType="separate"/>
      </w:r>
      <w:r w:rsidR="00B17DCC" w:rsidRPr="00B17DCC">
        <w:rPr>
          <w:rFonts w:ascii="Times New Roman" w:hAnsi="Times New Roman" w:cs="Times New Roman"/>
        </w:rPr>
        <w:t>(AAPOR 2023)</w:t>
      </w:r>
      <w:r w:rsidR="00B17DCC">
        <w:rPr>
          <w:rFonts w:ascii="Times New Roman" w:hAnsi="Times New Roman" w:cs="Times New Roman"/>
        </w:rPr>
        <w:fldChar w:fldCharType="end"/>
      </w:r>
      <w:r>
        <w:rPr>
          <w:lang w:val="en-GB"/>
        </w:rPr>
        <w:t>, including specific outcomes from a household longitudinal study:</w:t>
      </w:r>
    </w:p>
    <w:p w14:paraId="131E95C5" w14:textId="77777777" w:rsidR="00A606CA" w:rsidRDefault="00A606CA" w:rsidP="00A606CA">
      <w:pPr>
        <w:jc w:val="center"/>
        <w:rPr>
          <w:lang w:val="en-GB"/>
        </w:rPr>
      </w:pPr>
      <m:oMathPara>
        <m:oMath>
          <m:r>
            <w:rPr>
              <w:rFonts w:ascii="Cambria Math" w:hAnsi="Cambria Math"/>
              <w:lang w:val="en-GB"/>
            </w:rPr>
            <m:t>R</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w12</m:t>
              </m:r>
            </m:sub>
          </m:sSub>
          <m:r>
            <w:rPr>
              <w:rFonts w:ascii="Cambria Math" w:hAnsi="Cambria Math"/>
              <w:lang w:val="en-GB"/>
            </w:rPr>
            <m:t xml:space="preserve">= </m:t>
          </m:r>
          <m:f>
            <m:fPr>
              <m:ctrlPr>
                <w:rPr>
                  <w:rFonts w:ascii="Cambria Math" w:hAnsi="Cambria Math"/>
                  <w:i/>
                  <w:lang w:val="en-GB"/>
                </w:rPr>
              </m:ctrlPr>
            </m:fPr>
            <m:num>
              <m:r>
                <w:rPr>
                  <w:rFonts w:ascii="Cambria Math" w:hAnsi="Cambria Math"/>
                  <w:lang w:val="en-GB"/>
                </w:rPr>
                <m:t>(I+P)</m:t>
              </m:r>
            </m:num>
            <m:den>
              <m:d>
                <m:dPr>
                  <m:ctrlPr>
                    <w:rPr>
                      <w:rFonts w:ascii="Cambria Math" w:hAnsi="Cambria Math"/>
                      <w:i/>
                      <w:lang w:val="en-GB"/>
                    </w:rPr>
                  </m:ctrlPr>
                </m:dPr>
                <m:e>
                  <m:r>
                    <w:rPr>
                      <w:rFonts w:ascii="Cambria Math" w:hAnsi="Cambria Math"/>
                      <w:lang w:val="en-GB"/>
                    </w:rPr>
                    <m:t>I+P</m:t>
                  </m:r>
                </m:e>
              </m:d>
              <m:r>
                <w:rPr>
                  <w:rFonts w:ascii="Cambria Math" w:hAnsi="Cambria Math"/>
                  <w:lang w:val="en-GB"/>
                </w:rPr>
                <m:t xml:space="preserve"> + (</m:t>
              </m:r>
              <m:func>
                <m:funcPr>
                  <m:ctrlPr>
                    <w:rPr>
                      <w:rFonts w:ascii="Cambria Math" w:hAnsi="Cambria Math"/>
                      <w:i/>
                      <w:lang w:val="en-GB"/>
                    </w:rPr>
                  </m:ctrlPr>
                </m:funcPr>
                <m:fName>
                  <m:r>
                    <m:rPr>
                      <m:sty m:val="p"/>
                    </m:rPr>
                    <w:rPr>
                      <w:rFonts w:ascii="Cambria Math" w:hAnsi="Cambria Math"/>
                      <w:lang w:val="en-GB"/>
                    </w:rPr>
                    <m:t>Pr</m:t>
                  </m:r>
                </m:fName>
                <m:e>
                  <m:r>
                    <w:rPr>
                      <w:rFonts w:ascii="Cambria Math" w:hAnsi="Cambria Math"/>
                      <w:lang w:val="en-GB"/>
                    </w:rPr>
                    <m:t>+</m:t>
                  </m:r>
                </m:e>
              </m:func>
              <m:r>
                <w:rPr>
                  <w:rFonts w:ascii="Cambria Math" w:hAnsi="Cambria Math"/>
                  <w:lang w:val="en-GB"/>
                </w:rPr>
                <m:t>IR+HR+NC+O+U)</m:t>
              </m:r>
            </m:den>
          </m:f>
        </m:oMath>
      </m:oMathPara>
    </w:p>
    <w:p w14:paraId="17647398" w14:textId="77777777" w:rsidR="00A606CA" w:rsidRDefault="00A606CA" w:rsidP="00A606CA">
      <w:pPr>
        <w:pStyle w:val="Caption"/>
        <w:jc w:val="right"/>
        <w:rPr>
          <w:lang w:val="en-GB"/>
        </w:rPr>
      </w:pPr>
      <w:r>
        <w:rPr>
          <w:lang w:val="en-GB"/>
        </w:rPr>
        <w:t>(A</w:t>
      </w:r>
      <w:r>
        <w:rPr>
          <w:lang w:val="en-GB"/>
        </w:rPr>
        <w:fldChar w:fldCharType="begin"/>
      </w:r>
      <w:r>
        <w:rPr>
          <w:lang w:val="en-GB"/>
        </w:rPr>
        <w:instrText xml:space="preserve"> SEQ Equation \* ARABIC </w:instrText>
      </w:r>
      <w:r>
        <w:rPr>
          <w:lang w:val="en-GB"/>
        </w:rPr>
        <w:fldChar w:fldCharType="separate"/>
      </w:r>
      <w:r>
        <w:rPr>
          <w:noProof/>
          <w:lang w:val="en-GB"/>
        </w:rPr>
        <w:t>1</w:t>
      </w:r>
      <w:r>
        <w:rPr>
          <w:lang w:val="en-GB"/>
        </w:rPr>
        <w:fldChar w:fldCharType="end"/>
      </w:r>
      <w:r>
        <w:rPr>
          <w:lang w:val="en-GB"/>
        </w:rPr>
        <w:t>)</w:t>
      </w:r>
    </w:p>
    <w:p w14:paraId="03B35D92" w14:textId="77777777" w:rsidR="00A606CA" w:rsidRPr="00AC70DA" w:rsidRDefault="00A606CA" w:rsidP="00A606CA">
      <w:pPr>
        <w:rPr>
          <w:lang w:val="en-GB"/>
        </w:rPr>
      </w:pPr>
      <w:r>
        <w:rPr>
          <w:lang w:val="en-GB"/>
        </w:rPr>
        <w:t xml:space="preserve">where </w:t>
      </w:r>
      <m:oMath>
        <m:r>
          <w:rPr>
            <w:rFonts w:ascii="Cambria Math" w:hAnsi="Cambria Math"/>
            <w:lang w:val="en-GB"/>
          </w:rPr>
          <m:t>I</m:t>
        </m:r>
      </m:oMath>
      <w:r>
        <w:rPr>
          <w:lang w:val="en-GB"/>
        </w:rPr>
        <w:t xml:space="preserve"> are the web interviews and </w:t>
      </w:r>
      <m:oMath>
        <m:r>
          <w:rPr>
            <w:rFonts w:ascii="Cambria Math" w:hAnsi="Cambria Math"/>
            <w:lang w:val="en-GB"/>
          </w:rPr>
          <m:t>P</m:t>
        </m:r>
      </m:oMath>
      <w:r>
        <w:rPr>
          <w:lang w:val="en-GB"/>
        </w:rPr>
        <w:t xml:space="preserve"> the partials, </w:t>
      </w:r>
      <m:oMath>
        <m:r>
          <w:rPr>
            <w:rFonts w:ascii="Cambria Math" w:hAnsi="Cambria Math"/>
            <w:lang w:val="en-GB"/>
          </w:rPr>
          <m:t>Pr</m:t>
        </m:r>
      </m:oMath>
      <w:r>
        <w:rPr>
          <w:lang w:val="en-GB"/>
        </w:rPr>
        <w:t xml:space="preserve"> refers to the proxy interviews where another household member responded to a shorter version of the questionnaire on behalf of the panel member, </w:t>
      </w:r>
      <m:oMath>
        <m:r>
          <w:rPr>
            <w:rFonts w:ascii="Cambria Math" w:hAnsi="Cambria Math"/>
            <w:lang w:val="en-GB"/>
          </w:rPr>
          <m:t>IR</m:t>
        </m:r>
      </m:oMath>
      <w:r>
        <w:rPr>
          <w:lang w:val="en-GB"/>
        </w:rPr>
        <w:t xml:space="preserve"> are individual refusals, </w:t>
      </w:r>
      <m:oMath>
        <m:r>
          <w:rPr>
            <w:rFonts w:ascii="Cambria Math" w:hAnsi="Cambria Math"/>
            <w:lang w:val="en-GB"/>
          </w:rPr>
          <m:t>HR</m:t>
        </m:r>
      </m:oMath>
      <w:r>
        <w:rPr>
          <w:lang w:val="en-GB"/>
        </w:rPr>
        <w:t xml:space="preserve"> are household refusals, </w:t>
      </w:r>
      <m:oMath>
        <m:r>
          <w:rPr>
            <w:rFonts w:ascii="Cambria Math" w:hAnsi="Cambria Math"/>
            <w:lang w:val="en-GB"/>
          </w:rPr>
          <m:t>NC</m:t>
        </m:r>
      </m:oMath>
      <w:r>
        <w:rPr>
          <w:lang w:val="en-GB"/>
        </w:rPr>
        <w:t xml:space="preserve"> is non-contacted households, </w:t>
      </w:r>
      <m:oMath>
        <m:r>
          <w:rPr>
            <w:rFonts w:ascii="Cambria Math" w:hAnsi="Cambria Math"/>
            <w:lang w:val="en-GB"/>
          </w:rPr>
          <m:t>O</m:t>
        </m:r>
      </m:oMath>
      <w:r>
        <w:rPr>
          <w:lang w:val="en-GB"/>
        </w:rPr>
        <w:t xml:space="preserve"> are other interviews, and </w:t>
      </w:r>
      <m:oMath>
        <m:r>
          <w:rPr>
            <w:rFonts w:ascii="Cambria Math" w:hAnsi="Cambria Math"/>
            <w:lang w:val="en-GB"/>
          </w:rPr>
          <m:t>U</m:t>
        </m:r>
      </m:oMath>
      <w:r>
        <w:rPr>
          <w:lang w:val="en-GB"/>
        </w:rPr>
        <w:t xml:space="preserve"> untraced households. </w:t>
      </w:r>
      <w:bookmarkStart w:id="2" w:name="_Hlk146711393"/>
      <w:r>
        <w:rPr>
          <w:lang w:val="en-GB"/>
        </w:rPr>
        <w:t>The definition of partials refers to individual questionnaires completed up to the household finance module.</w:t>
      </w:r>
      <w:bookmarkEnd w:id="2"/>
    </w:p>
    <w:p w14:paraId="13196B3B" w14:textId="1626EA7E" w:rsidR="00A606CA" w:rsidRDefault="00A606CA" w:rsidP="00A606CA">
      <w:pPr>
        <w:pStyle w:val="Caption"/>
        <w:keepNext/>
      </w:pPr>
      <w:r>
        <w:t>Table A</w:t>
      </w:r>
      <w:fldSimple w:instr=" SEQ Table_A \* ARABIC ">
        <w:r w:rsidR="003F78A0">
          <w:rPr>
            <w:noProof/>
          </w:rPr>
          <w:t>1</w:t>
        </w:r>
      </w:fldSimple>
      <w:r>
        <w:t xml:space="preserve">. Cross-sectional individual response rate at wave 12 </w:t>
      </w:r>
    </w:p>
    <w:tbl>
      <w:tblPr>
        <w:tblStyle w:val="PlainTable2"/>
        <w:tblW w:w="0" w:type="auto"/>
        <w:jc w:val="center"/>
        <w:tblLook w:val="04A0" w:firstRow="1" w:lastRow="0" w:firstColumn="1" w:lastColumn="0" w:noHBand="0" w:noVBand="1"/>
      </w:tblPr>
      <w:tblGrid>
        <w:gridCol w:w="1214"/>
        <w:gridCol w:w="1214"/>
        <w:gridCol w:w="1206"/>
        <w:gridCol w:w="1223"/>
        <w:gridCol w:w="1223"/>
        <w:gridCol w:w="1016"/>
        <w:gridCol w:w="1128"/>
        <w:gridCol w:w="1136"/>
      </w:tblGrid>
      <w:tr w:rsidR="00A606CA" w14:paraId="0A815065" w14:textId="77777777" w:rsidTr="00C205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4" w:type="dxa"/>
          </w:tcPr>
          <w:p w14:paraId="51336AF5" w14:textId="77777777" w:rsidR="00A606CA" w:rsidRPr="003A3918" w:rsidRDefault="00A606CA" w:rsidP="00C20534">
            <w:pPr>
              <w:spacing w:line="240" w:lineRule="auto"/>
              <w:jc w:val="center"/>
              <w:rPr>
                <w:sz w:val="20"/>
                <w:szCs w:val="20"/>
                <w:lang w:val="en-GB"/>
              </w:rPr>
            </w:pPr>
            <w:r w:rsidRPr="003A3918">
              <w:rPr>
                <w:sz w:val="20"/>
                <w:szCs w:val="20"/>
                <w:lang w:val="en-GB"/>
              </w:rPr>
              <w:t xml:space="preserve">Interviews &amp; Partials </w:t>
            </w:r>
            <m:oMath>
              <m:r>
                <m:rPr>
                  <m:sty m:val="bi"/>
                </m:rPr>
                <w:rPr>
                  <w:rFonts w:ascii="Cambria Math" w:hAnsi="Cambria Math"/>
                  <w:sz w:val="20"/>
                  <w:szCs w:val="20"/>
                  <w:lang w:val="en-GB"/>
                </w:rPr>
                <m:t>(I &amp; P)</m:t>
              </m:r>
            </m:oMath>
          </w:p>
        </w:tc>
        <w:tc>
          <w:tcPr>
            <w:tcW w:w="1214" w:type="dxa"/>
          </w:tcPr>
          <w:p w14:paraId="3C9B1F82" w14:textId="77777777" w:rsidR="00A606CA" w:rsidRPr="003A3918" w:rsidRDefault="00A606CA" w:rsidP="00C20534">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3A3918">
              <w:rPr>
                <w:sz w:val="20"/>
                <w:szCs w:val="20"/>
                <w:lang w:val="en-GB"/>
              </w:rPr>
              <w:t xml:space="preserve">Proxy Interviews </w:t>
            </w:r>
            <m:oMath>
              <m:r>
                <m:rPr>
                  <m:sty m:val="bi"/>
                </m:rPr>
                <w:rPr>
                  <w:rFonts w:ascii="Cambria Math" w:hAnsi="Cambria Math"/>
                  <w:sz w:val="20"/>
                  <w:szCs w:val="20"/>
                  <w:lang w:val="en-GB"/>
                </w:rPr>
                <m:t>(Pr)</m:t>
              </m:r>
            </m:oMath>
          </w:p>
        </w:tc>
        <w:tc>
          <w:tcPr>
            <w:tcW w:w="1206" w:type="dxa"/>
          </w:tcPr>
          <w:p w14:paraId="26148449" w14:textId="77777777" w:rsidR="00A606CA" w:rsidRPr="003A3918" w:rsidRDefault="00A606CA" w:rsidP="00C2053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3A3918">
              <w:rPr>
                <w:sz w:val="20"/>
                <w:szCs w:val="20"/>
                <w:lang w:val="en-GB"/>
              </w:rPr>
              <w:t>Individual Refusals</w:t>
            </w:r>
          </w:p>
          <w:p w14:paraId="7C23B7FC" w14:textId="77777777" w:rsidR="00A606CA" w:rsidRPr="003A3918" w:rsidRDefault="00A606CA" w:rsidP="00C20534">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lang w:val="en-GB"/>
              </w:rPr>
            </w:pPr>
            <m:oMathPara>
              <m:oMath>
                <m:r>
                  <m:rPr>
                    <m:sty m:val="bi"/>
                  </m:rPr>
                  <w:rPr>
                    <w:rFonts w:ascii="Cambria Math" w:hAnsi="Cambria Math"/>
                    <w:sz w:val="20"/>
                    <w:szCs w:val="20"/>
                    <w:lang w:val="en-GB"/>
                  </w:rPr>
                  <m:t>(IR)</m:t>
                </m:r>
              </m:oMath>
            </m:oMathPara>
          </w:p>
        </w:tc>
        <w:tc>
          <w:tcPr>
            <w:tcW w:w="1223" w:type="dxa"/>
          </w:tcPr>
          <w:p w14:paraId="01564C17" w14:textId="77777777" w:rsidR="00A606CA" w:rsidRPr="003A3918" w:rsidRDefault="00A606CA" w:rsidP="00C2053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3A3918">
              <w:rPr>
                <w:sz w:val="20"/>
                <w:szCs w:val="20"/>
                <w:lang w:val="en-GB"/>
              </w:rPr>
              <w:t>Household Refusals</w:t>
            </w:r>
          </w:p>
          <w:p w14:paraId="66B1C67A" w14:textId="77777777" w:rsidR="00A606CA" w:rsidRPr="003A3918" w:rsidRDefault="00A606CA" w:rsidP="00C20534">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3A3918">
              <w:rPr>
                <w:sz w:val="20"/>
                <w:szCs w:val="20"/>
                <w:lang w:val="en-GB"/>
              </w:rPr>
              <w:t>(</w:t>
            </w:r>
            <w:r w:rsidRPr="003A3918">
              <w:rPr>
                <w:b w:val="0"/>
                <w:bCs w:val="0"/>
                <w:i/>
                <w:iCs/>
                <w:sz w:val="20"/>
                <w:szCs w:val="20"/>
                <w:lang w:val="en-GB"/>
              </w:rPr>
              <w:t>HR</w:t>
            </w:r>
            <w:r w:rsidRPr="003A3918">
              <w:rPr>
                <w:sz w:val="20"/>
                <w:szCs w:val="20"/>
                <w:lang w:val="en-GB"/>
              </w:rPr>
              <w:t>)</w:t>
            </w:r>
          </w:p>
        </w:tc>
        <w:tc>
          <w:tcPr>
            <w:tcW w:w="1223" w:type="dxa"/>
          </w:tcPr>
          <w:p w14:paraId="4D181209" w14:textId="77777777" w:rsidR="00A606CA" w:rsidRPr="003A3918" w:rsidRDefault="00A606CA" w:rsidP="00C2053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3A3918">
              <w:rPr>
                <w:sz w:val="20"/>
                <w:szCs w:val="20"/>
                <w:lang w:val="en-GB"/>
              </w:rPr>
              <w:t xml:space="preserve">Household </w:t>
            </w:r>
            <w:proofErr w:type="gramStart"/>
            <w:r w:rsidRPr="003A3918">
              <w:rPr>
                <w:sz w:val="20"/>
                <w:szCs w:val="20"/>
                <w:lang w:val="en-GB"/>
              </w:rPr>
              <w:t>Non-contact</w:t>
            </w:r>
            <w:proofErr w:type="gramEnd"/>
          </w:p>
          <w:p w14:paraId="2F78AECC" w14:textId="77777777" w:rsidR="00A606CA" w:rsidRPr="003A3918" w:rsidRDefault="00A606CA" w:rsidP="00C2053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m:oMathPara>
              <m:oMath>
                <m:r>
                  <m:rPr>
                    <m:sty m:val="bi"/>
                  </m:rPr>
                  <w:rPr>
                    <w:rFonts w:ascii="Cambria Math" w:hAnsi="Cambria Math"/>
                    <w:sz w:val="20"/>
                    <w:szCs w:val="20"/>
                    <w:lang w:val="en-GB"/>
                  </w:rPr>
                  <m:t>(NC)</m:t>
                </m:r>
              </m:oMath>
            </m:oMathPara>
          </w:p>
        </w:tc>
        <w:tc>
          <w:tcPr>
            <w:tcW w:w="1016" w:type="dxa"/>
          </w:tcPr>
          <w:p w14:paraId="43D6A58C" w14:textId="77777777" w:rsidR="00A606CA" w:rsidRDefault="00A606CA" w:rsidP="00C2053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Pr>
                <w:sz w:val="20"/>
                <w:szCs w:val="20"/>
                <w:lang w:val="en-GB"/>
              </w:rPr>
              <w:t xml:space="preserve">Other </w:t>
            </w:r>
            <w:proofErr w:type="gramStart"/>
            <w:r>
              <w:rPr>
                <w:sz w:val="20"/>
                <w:szCs w:val="20"/>
                <w:lang w:val="en-GB"/>
              </w:rPr>
              <w:t>Non-interview</w:t>
            </w:r>
            <w:proofErr w:type="gramEnd"/>
            <w:r>
              <w:rPr>
                <w:sz w:val="20"/>
                <w:szCs w:val="20"/>
                <w:lang w:val="en-GB"/>
              </w:rPr>
              <w:t xml:space="preserve"> </w:t>
            </w:r>
          </w:p>
          <w:p w14:paraId="1C99B2BE" w14:textId="77777777" w:rsidR="00A606CA" w:rsidRPr="003A3918" w:rsidRDefault="00A606CA" w:rsidP="00C2053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m:oMath>
              <m:r>
                <m:rPr>
                  <m:sty m:val="bi"/>
                </m:rPr>
                <w:rPr>
                  <w:rFonts w:ascii="Cambria Math" w:hAnsi="Cambria Math"/>
                  <w:lang w:val="en-GB"/>
                </w:rPr>
                <m:t>(O)</m:t>
              </m:r>
            </m:oMath>
            <w:r w:rsidRPr="003A3918">
              <w:rPr>
                <w:b w:val="0"/>
                <w:bCs w:val="0"/>
                <w:sz w:val="20"/>
                <w:szCs w:val="20"/>
                <w:lang w:val="en-GB"/>
              </w:rPr>
              <w:t xml:space="preserve"> </w:t>
            </w:r>
          </w:p>
        </w:tc>
        <w:tc>
          <w:tcPr>
            <w:tcW w:w="1128" w:type="dxa"/>
          </w:tcPr>
          <w:p w14:paraId="4F6AF66B" w14:textId="77777777" w:rsidR="00A606CA" w:rsidRDefault="00A606CA" w:rsidP="00C2053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Pr>
                <w:sz w:val="20"/>
                <w:szCs w:val="20"/>
                <w:lang w:val="en-GB"/>
              </w:rPr>
              <w:t>Household</w:t>
            </w:r>
          </w:p>
          <w:p w14:paraId="557C4714" w14:textId="77777777" w:rsidR="00A606CA" w:rsidRDefault="00A606CA" w:rsidP="00C2053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Pr>
                <w:sz w:val="20"/>
                <w:szCs w:val="20"/>
                <w:lang w:val="en-GB"/>
              </w:rPr>
              <w:t>Untraced</w:t>
            </w:r>
          </w:p>
          <w:p w14:paraId="1BBFACCD" w14:textId="77777777" w:rsidR="00A606CA" w:rsidRPr="003A3918" w:rsidRDefault="00A606CA" w:rsidP="00C20534">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m:oMathPara>
              <m:oMath>
                <m:r>
                  <m:rPr>
                    <m:sty m:val="bi"/>
                  </m:rPr>
                  <w:rPr>
                    <w:rFonts w:ascii="Cambria Math" w:hAnsi="Cambria Math"/>
                    <w:lang w:val="en-GB"/>
                  </w:rPr>
                  <m:t>(U)</m:t>
                </m:r>
              </m:oMath>
            </m:oMathPara>
          </w:p>
        </w:tc>
        <w:tc>
          <w:tcPr>
            <w:tcW w:w="1136" w:type="dxa"/>
          </w:tcPr>
          <w:p w14:paraId="2354E27B" w14:textId="77777777" w:rsidR="00A606CA" w:rsidRPr="003A3918" w:rsidRDefault="00A606CA" w:rsidP="00C20534">
            <w:pPr>
              <w:spacing w:line="240" w:lineRule="auto"/>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3A3918">
              <w:rPr>
                <w:sz w:val="20"/>
                <w:szCs w:val="20"/>
                <w:lang w:val="en-GB"/>
              </w:rPr>
              <w:t>Response Rate</w:t>
            </w:r>
          </w:p>
        </w:tc>
      </w:tr>
      <w:tr w:rsidR="00A606CA" w14:paraId="49B3123D" w14:textId="77777777" w:rsidTr="00C205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4" w:type="dxa"/>
            <w:vAlign w:val="center"/>
          </w:tcPr>
          <w:p w14:paraId="1DF5DFA7" w14:textId="77777777" w:rsidR="00A606CA" w:rsidRPr="00505D98" w:rsidRDefault="00A606CA" w:rsidP="00C20534">
            <w:pPr>
              <w:spacing w:line="240" w:lineRule="auto"/>
              <w:jc w:val="right"/>
              <w:rPr>
                <w:b w:val="0"/>
                <w:bCs w:val="0"/>
                <w:sz w:val="20"/>
                <w:szCs w:val="20"/>
                <w:lang w:val="en-GB"/>
              </w:rPr>
            </w:pPr>
            <w:r w:rsidRPr="00505D98">
              <w:rPr>
                <w:b w:val="0"/>
                <w:bCs w:val="0"/>
                <w:sz w:val="20"/>
                <w:szCs w:val="20"/>
              </w:rPr>
              <w:t>29,070</w:t>
            </w:r>
          </w:p>
        </w:tc>
        <w:tc>
          <w:tcPr>
            <w:tcW w:w="1214" w:type="dxa"/>
            <w:vAlign w:val="center"/>
          </w:tcPr>
          <w:p w14:paraId="7C91BC8A" w14:textId="77777777" w:rsidR="00A606CA" w:rsidRPr="00505D98"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sz w:val="20"/>
                <w:szCs w:val="20"/>
                <w:lang w:val="en-GB"/>
              </w:rPr>
            </w:pPr>
            <w:r w:rsidRPr="00505D98">
              <w:rPr>
                <w:sz w:val="20"/>
                <w:szCs w:val="20"/>
              </w:rPr>
              <w:t>21</w:t>
            </w:r>
          </w:p>
        </w:tc>
        <w:tc>
          <w:tcPr>
            <w:tcW w:w="1206" w:type="dxa"/>
            <w:vAlign w:val="center"/>
          </w:tcPr>
          <w:p w14:paraId="7DFB0725" w14:textId="77777777" w:rsidR="00A606CA" w:rsidRPr="00505D98"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sz w:val="20"/>
                <w:szCs w:val="20"/>
                <w:lang w:val="en-GB"/>
              </w:rPr>
            </w:pPr>
            <w:r w:rsidRPr="00505D98">
              <w:rPr>
                <w:sz w:val="20"/>
                <w:szCs w:val="20"/>
              </w:rPr>
              <w:t>2,569</w:t>
            </w:r>
          </w:p>
        </w:tc>
        <w:tc>
          <w:tcPr>
            <w:tcW w:w="1223" w:type="dxa"/>
            <w:vAlign w:val="center"/>
          </w:tcPr>
          <w:p w14:paraId="224E10F4" w14:textId="77777777" w:rsidR="00A606CA" w:rsidRPr="00505D98"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sz w:val="20"/>
                <w:szCs w:val="20"/>
                <w:lang w:val="en-GB"/>
              </w:rPr>
            </w:pPr>
            <w:r w:rsidRPr="00505D98">
              <w:rPr>
                <w:sz w:val="20"/>
                <w:szCs w:val="20"/>
              </w:rPr>
              <w:t>3,323</w:t>
            </w:r>
          </w:p>
        </w:tc>
        <w:tc>
          <w:tcPr>
            <w:tcW w:w="1223" w:type="dxa"/>
            <w:vAlign w:val="center"/>
          </w:tcPr>
          <w:p w14:paraId="27ED1385" w14:textId="77777777" w:rsidR="00A606CA" w:rsidRPr="00505D98"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sz w:val="20"/>
                <w:szCs w:val="20"/>
                <w:lang w:val="en-GB"/>
              </w:rPr>
            </w:pPr>
            <w:r w:rsidRPr="00505D98">
              <w:rPr>
                <w:sz w:val="20"/>
                <w:szCs w:val="20"/>
              </w:rPr>
              <w:t>3,132</w:t>
            </w:r>
          </w:p>
        </w:tc>
        <w:tc>
          <w:tcPr>
            <w:tcW w:w="1016" w:type="dxa"/>
            <w:vAlign w:val="center"/>
          </w:tcPr>
          <w:p w14:paraId="4D12959B" w14:textId="77777777" w:rsidR="00A606CA" w:rsidRPr="00505D98"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sz w:val="20"/>
                <w:szCs w:val="20"/>
                <w:lang w:val="en-GB"/>
              </w:rPr>
            </w:pPr>
            <w:r w:rsidRPr="00505D98">
              <w:rPr>
                <w:sz w:val="20"/>
                <w:szCs w:val="20"/>
              </w:rPr>
              <w:t>3,210</w:t>
            </w:r>
          </w:p>
        </w:tc>
        <w:tc>
          <w:tcPr>
            <w:tcW w:w="1128" w:type="dxa"/>
            <w:vAlign w:val="center"/>
          </w:tcPr>
          <w:p w14:paraId="5D022F4D" w14:textId="77777777" w:rsidR="00A606CA" w:rsidRPr="00505D98"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sz w:val="20"/>
                <w:szCs w:val="20"/>
                <w:lang w:val="en-GB"/>
              </w:rPr>
            </w:pPr>
            <w:r w:rsidRPr="00505D98">
              <w:rPr>
                <w:sz w:val="20"/>
                <w:szCs w:val="20"/>
              </w:rPr>
              <w:t>527</w:t>
            </w:r>
          </w:p>
        </w:tc>
        <w:tc>
          <w:tcPr>
            <w:tcW w:w="1136" w:type="dxa"/>
            <w:vAlign w:val="center"/>
          </w:tcPr>
          <w:p w14:paraId="37DD8E91" w14:textId="77777777" w:rsidR="00A606CA" w:rsidRPr="00505D98"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sz w:val="20"/>
                <w:szCs w:val="20"/>
                <w:lang w:val="en-GB"/>
              </w:rPr>
            </w:pPr>
            <w:r w:rsidRPr="00505D98">
              <w:rPr>
                <w:sz w:val="20"/>
                <w:szCs w:val="20"/>
              </w:rPr>
              <w:t>69.5</w:t>
            </w:r>
          </w:p>
        </w:tc>
      </w:tr>
    </w:tbl>
    <w:p w14:paraId="75CF8586" w14:textId="77777777" w:rsidR="00A606CA" w:rsidRDefault="00A606CA" w:rsidP="00A606CA">
      <w:pPr>
        <w:rPr>
          <w:sz w:val="20"/>
          <w:szCs w:val="18"/>
          <w:lang w:val="en-GB"/>
        </w:rPr>
      </w:pPr>
    </w:p>
    <w:p w14:paraId="35425DF1" w14:textId="77777777" w:rsidR="00A606CA" w:rsidRDefault="00A606CA" w:rsidP="00A606CA">
      <w:pPr>
        <w:rPr>
          <w:rFonts w:eastAsiaTheme="majorEastAsia"/>
          <w:lang w:val="en-GB"/>
        </w:rPr>
      </w:pPr>
      <w:r>
        <w:rPr>
          <w:rFonts w:eastAsiaTheme="majorEastAsia"/>
          <w:lang w:val="en-GB"/>
        </w:rPr>
        <w:t>The estimated cumulative response rate at wave 11 has three components:</w:t>
      </w:r>
    </w:p>
    <w:p w14:paraId="4E1AAE8E" w14:textId="77777777" w:rsidR="00A606CA" w:rsidRDefault="00A606CA" w:rsidP="00A606CA">
      <w:pPr>
        <w:keepNext/>
      </w:pPr>
      <m:oMathPara>
        <m:oMath>
          <m:r>
            <w:rPr>
              <w:rFonts w:ascii="Cambria Math" w:hAnsi="Cambria Math"/>
              <w:lang w:val="en-GB"/>
            </w:rPr>
            <m:t>CR</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w12</m:t>
              </m:r>
            </m:sub>
          </m:sSub>
          <m:r>
            <w:rPr>
              <w:rFonts w:ascii="Cambria Math" w:hAnsi="Cambria Math"/>
              <w:lang w:val="en-GB"/>
            </w:rPr>
            <m:t>=</m:t>
          </m:r>
          <m:acc>
            <m:accPr>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1</m:t>
                  </m:r>
                </m:sub>
              </m:sSub>
            </m:e>
          </m:acc>
          <m:r>
            <w:rPr>
              <w:rFonts w:ascii="Cambria Math" w:hAnsi="Cambria Math"/>
              <w:lang w:val="en-GB"/>
            </w:rPr>
            <m:t xml:space="preserve"> x</m:t>
          </m:r>
          <m:acc>
            <m:accPr>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 xml:space="preserve"> P</m:t>
                  </m:r>
                </m:e>
                <m:sub>
                  <m:r>
                    <w:rPr>
                      <w:rFonts w:ascii="Cambria Math" w:hAnsi="Cambria Math"/>
                      <w:lang w:val="en-GB"/>
                    </w:rPr>
                    <m:t>2</m:t>
                  </m:r>
                </m:sub>
              </m:sSub>
            </m:e>
          </m:acc>
          <m:r>
            <w:rPr>
              <w:rFonts w:ascii="Cambria Math" w:hAnsi="Cambria Math"/>
              <w:lang w:val="en-GB"/>
            </w:rPr>
            <m:t xml:space="preserve"> x </m:t>
          </m:r>
          <m:acc>
            <m:accPr>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3</m:t>
                  </m:r>
                </m:sub>
              </m:sSub>
            </m:e>
          </m:acc>
          <m:r>
            <w:rPr>
              <w:rFonts w:ascii="Cambria Math" w:hAnsi="Cambria Math"/>
              <w:lang w:val="en-GB"/>
            </w:rPr>
            <m:t xml:space="preserve"> </m:t>
          </m:r>
        </m:oMath>
      </m:oMathPara>
    </w:p>
    <w:p w14:paraId="70A76CC7" w14:textId="77777777" w:rsidR="00A606CA" w:rsidRDefault="00A606CA" w:rsidP="00A606CA">
      <w:pPr>
        <w:pStyle w:val="Caption"/>
        <w:jc w:val="right"/>
        <w:rPr>
          <w:rFonts w:eastAsiaTheme="majorEastAsia"/>
          <w:lang w:val="en-GB"/>
        </w:rPr>
      </w:pPr>
      <w:r>
        <w:rPr>
          <w:rFonts w:eastAsiaTheme="majorEastAsia"/>
          <w:lang w:val="en-GB"/>
        </w:rPr>
        <w:t>(A</w:t>
      </w:r>
      <w:r>
        <w:rPr>
          <w:rFonts w:eastAsiaTheme="majorEastAsia"/>
          <w:lang w:val="en-GB"/>
        </w:rPr>
        <w:fldChar w:fldCharType="begin"/>
      </w:r>
      <w:r>
        <w:rPr>
          <w:rFonts w:eastAsiaTheme="majorEastAsia"/>
          <w:lang w:val="en-GB"/>
        </w:rPr>
        <w:instrText xml:space="preserve"> SEQ Equation \* ARABIC </w:instrText>
      </w:r>
      <w:r>
        <w:rPr>
          <w:rFonts w:eastAsiaTheme="majorEastAsia"/>
          <w:lang w:val="en-GB"/>
        </w:rPr>
        <w:fldChar w:fldCharType="separate"/>
      </w:r>
      <w:r>
        <w:rPr>
          <w:rFonts w:eastAsiaTheme="majorEastAsia"/>
          <w:noProof/>
          <w:lang w:val="en-GB"/>
        </w:rPr>
        <w:t>2</w:t>
      </w:r>
      <w:r>
        <w:rPr>
          <w:rFonts w:eastAsiaTheme="majorEastAsia"/>
          <w:lang w:val="en-GB"/>
        </w:rPr>
        <w:fldChar w:fldCharType="end"/>
      </w:r>
      <w:r>
        <w:rPr>
          <w:rFonts w:eastAsiaTheme="majorEastAsia"/>
          <w:lang w:val="en-GB"/>
        </w:rPr>
        <w:t>)</w:t>
      </w:r>
    </w:p>
    <w:p w14:paraId="6204FD69" w14:textId="77777777" w:rsidR="00A606CA" w:rsidRDefault="00A606CA" w:rsidP="00A606CA">
      <w:pPr>
        <w:rPr>
          <w:rFonts w:eastAsiaTheme="majorEastAsia"/>
          <w:lang w:val="en-GB"/>
        </w:rPr>
      </w:pPr>
      <w:r>
        <w:rPr>
          <w:rFonts w:eastAsiaTheme="majorEastAsia"/>
          <w:lang w:val="en-GB"/>
        </w:rPr>
        <w:t xml:space="preserve">where </w:t>
      </w:r>
      <m:oMath>
        <m:acc>
          <m:accPr>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1</m:t>
                </m:r>
              </m:sub>
            </m:sSub>
          </m:e>
        </m:acc>
      </m:oMath>
      <w:r>
        <w:rPr>
          <w:rFonts w:eastAsiaTheme="majorEastAsia"/>
          <w:lang w:val="en-GB"/>
        </w:rPr>
        <w:t xml:space="preserve"> refers to the estimated proportion of sample individuals from households that participated in the recruitment wave, </w:t>
      </w:r>
      <m:oMath>
        <m:acc>
          <m:accPr>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2</m:t>
                </m:r>
              </m:sub>
            </m:sSub>
          </m:e>
        </m:acc>
      </m:oMath>
      <w:r>
        <w:rPr>
          <w:rFonts w:eastAsiaTheme="majorEastAsia"/>
          <w:lang w:val="en-GB"/>
        </w:rPr>
        <w:t xml:space="preserve"> corresponds to the estimated proportion of individuals from responding households who completed the individual interview at the initial wave, and </w:t>
      </w:r>
      <m:oMath>
        <m:acc>
          <m:accPr>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3</m:t>
                </m:r>
              </m:sub>
            </m:sSub>
          </m:e>
        </m:acc>
      </m:oMath>
      <w:r>
        <w:rPr>
          <w:rFonts w:eastAsiaTheme="majorEastAsia"/>
          <w:lang w:val="en-GB"/>
        </w:rPr>
        <w:t xml:space="preserve"> is the estimated proportion of sample members responding at the recruitment wave who were interviewed at wave 12.</w:t>
      </w:r>
    </w:p>
    <w:p w14:paraId="747A8D5E" w14:textId="77777777" w:rsidR="00A606CA" w:rsidRDefault="00A606CA" w:rsidP="00A606CA">
      <w:pPr>
        <w:rPr>
          <w:rFonts w:eastAsiaTheme="majorEastAsia"/>
          <w:lang w:val="en-GB"/>
        </w:rPr>
      </w:pPr>
      <w:r>
        <w:rPr>
          <w:rFonts w:eastAsiaTheme="majorEastAsia"/>
          <w:i/>
          <w:iCs/>
          <w:lang w:val="en-GB"/>
        </w:rPr>
        <w:t>Understanding Society</w:t>
      </w:r>
      <w:r>
        <w:rPr>
          <w:rFonts w:eastAsiaTheme="majorEastAsia"/>
          <w:lang w:val="en-GB"/>
        </w:rPr>
        <w:t xml:space="preserve"> is formed by several samples covering the general household population of Great Britain (BHPS original sample, 1991; General Population Sample, 2009), Northern Ireland (Northern Ireland HPS, 2001; GPS Northern Ireland, 2009), Wales (Welsh BHPS boost sample, 1999) or Scotland (Scottish BHPS boost sample, 1999). Moreover, the study includes two ethnic minority boost samples: the ethnic minority boost sample (EMB), recruited in wave one (2009), and the immigration and ethnic minority boost (IEMB), incorporated in wave six (2014). These samples cover different subpopulations, their designs depart from each other to some extent and were recruited at different times. Therefore, we calculated the response rates for each one individually.</w:t>
      </w:r>
    </w:p>
    <w:p w14:paraId="1C8E4264" w14:textId="77777777" w:rsidR="00A606CA" w:rsidRDefault="00A606CA" w:rsidP="00A606CA">
      <w:pPr>
        <w:rPr>
          <w:rFonts w:eastAsiaTheme="majorEastAsia"/>
          <w:lang w:val="en-GB"/>
        </w:rPr>
      </w:pPr>
      <w:r>
        <w:rPr>
          <w:rFonts w:eastAsiaTheme="majorEastAsia"/>
          <w:lang w:val="en-GB"/>
        </w:rPr>
        <w:lastRenderedPageBreak/>
        <w:t xml:space="preserve">First, we estimate </w:t>
      </w:r>
      <m:oMath>
        <m:acc>
          <m:accPr>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1</m:t>
                </m:r>
              </m:sub>
            </m:sSub>
          </m:e>
        </m:acc>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1</m:t>
                </m:r>
              </m:sub>
            </m:sSub>
          </m:num>
          <m:den>
            <m:acc>
              <m:accPr>
                <m:ctrlPr>
                  <w:rPr>
                    <w:rFonts w:ascii="Cambria Math" w:hAnsi="Cambria Math"/>
                    <w:i/>
                    <w:lang w:val="en-GB"/>
                  </w:rPr>
                </m:ctrlPr>
              </m:accPr>
              <m:e>
                <m:r>
                  <w:rPr>
                    <w:rFonts w:ascii="Cambria Math" w:hAnsi="Cambria Math"/>
                    <w:lang w:val="en-GB"/>
                  </w:rPr>
                  <m:t>n</m:t>
                </m:r>
              </m:e>
            </m:acc>
          </m:den>
        </m:f>
      </m:oMath>
      <w:r>
        <w:rPr>
          <w:rFonts w:eastAsiaTheme="majorEastAsia"/>
          <w:lang w:val="en-GB"/>
        </w:rPr>
        <w:t xml:space="preserve">, where </w:t>
      </w:r>
      <m:oMath>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1</m:t>
            </m:r>
          </m:sub>
        </m:sSub>
      </m:oMath>
      <w:r>
        <w:rPr>
          <w:rFonts w:eastAsiaTheme="majorEastAsia"/>
          <w:lang w:val="en-GB"/>
        </w:rPr>
        <w:t xml:space="preserve"> is the number of individuals living in the responding households at the initial wave</w:t>
      </w:r>
      <w:r w:rsidRPr="0094731D">
        <w:rPr>
          <w:rStyle w:val="FootnoteReference"/>
        </w:rPr>
        <w:footnoteReference w:id="2"/>
      </w:r>
      <w:r>
        <w:rPr>
          <w:rFonts w:eastAsiaTheme="majorEastAsia"/>
          <w:lang w:val="en-GB"/>
        </w:rPr>
        <w:t xml:space="preserve">, and </w:t>
      </w:r>
      <m:oMath>
        <m:acc>
          <m:accPr>
            <m:ctrlPr>
              <w:rPr>
                <w:rFonts w:ascii="Cambria Math" w:hAnsi="Cambria Math"/>
                <w:i/>
                <w:lang w:val="en-GB"/>
              </w:rPr>
            </m:ctrlPr>
          </m:accPr>
          <m:e>
            <m:r>
              <w:rPr>
                <w:rFonts w:ascii="Cambria Math" w:hAnsi="Cambria Math"/>
                <w:lang w:val="en-GB"/>
              </w:rPr>
              <m:t>n</m:t>
            </m:r>
          </m:e>
        </m:acc>
      </m:oMath>
      <w:r>
        <w:rPr>
          <w:rFonts w:eastAsiaTheme="majorEastAsia"/>
          <w:lang w:val="en-GB"/>
        </w:rPr>
        <w:t xml:space="preserve"> is the estimated number of individuals living in the sampled households. The calculation of </w:t>
      </w:r>
      <m:oMath>
        <m:acc>
          <m:accPr>
            <m:ctrlPr>
              <w:rPr>
                <w:rFonts w:ascii="Cambria Math" w:hAnsi="Cambria Math"/>
                <w:i/>
                <w:lang w:val="en-GB"/>
              </w:rPr>
            </m:ctrlPr>
          </m:accPr>
          <m:e>
            <m:r>
              <w:rPr>
                <w:rFonts w:ascii="Cambria Math" w:hAnsi="Cambria Math"/>
                <w:lang w:val="en-GB"/>
              </w:rPr>
              <m:t>n</m:t>
            </m:r>
          </m:e>
        </m:acc>
      </m:oMath>
      <w:r>
        <w:rPr>
          <w:rFonts w:eastAsiaTheme="majorEastAsia"/>
          <w:lang w:val="en-GB"/>
        </w:rPr>
        <w:t xml:space="preserve"> poses some challenges. The Postal Address File used as a sample frame contains a list of postal addresses, but there is no information about the number of individuals living in each address. This information is only available for the households where someone responded to the survey at the initial wave. Hence, the number of individuals in the non-responding households must be estimated. To estimate this figure, we rely on the Censuses of Population from 1991, 2001 and 2011 for the general population samples and survey estimates for the ethnic minority boost samples.</w:t>
      </w:r>
    </w:p>
    <w:p w14:paraId="1895B7E5" w14:textId="77777777" w:rsidR="00A606CA" w:rsidRPr="008F1372" w:rsidRDefault="00A606CA" w:rsidP="00A606CA">
      <w:pPr>
        <w:rPr>
          <w:rFonts w:eastAsiaTheme="majorEastAsia"/>
          <w:lang w:val="en-GB"/>
        </w:rPr>
      </w:pPr>
      <w:r>
        <w:rPr>
          <w:rFonts w:eastAsiaTheme="majorEastAsia"/>
          <w:lang w:val="en-GB"/>
        </w:rPr>
        <w:t xml:space="preserve">Regarding the general population samples, we use data from the Census of Population to estimate the total number of persons in the sampled households. The expected number of individuals in the sample is estimated as </w:t>
      </w:r>
      <m:oMath>
        <m:acc>
          <m:accPr>
            <m:ctrlPr>
              <w:rPr>
                <w:rFonts w:ascii="Cambria Math" w:eastAsiaTheme="majorEastAsia" w:hAnsi="Cambria Math"/>
                <w:i/>
                <w:lang w:val="en-GB"/>
              </w:rPr>
            </m:ctrlPr>
          </m:accPr>
          <m:e>
            <m:r>
              <w:rPr>
                <w:rFonts w:ascii="Cambria Math" w:eastAsiaTheme="majorEastAsia" w:hAnsi="Cambria Math"/>
                <w:lang w:val="en-GB"/>
              </w:rPr>
              <m:t>n</m:t>
            </m:r>
          </m:e>
        </m:acc>
        <m:r>
          <w:rPr>
            <w:rFonts w:ascii="Cambria Math" w:eastAsiaTheme="majorEastAsia" w:hAnsi="Cambria Math"/>
            <w:lang w:val="en-GB"/>
          </w:rPr>
          <m:t>=</m:t>
        </m:r>
        <m:acc>
          <m:accPr>
            <m:ctrlPr>
              <w:rPr>
                <w:rFonts w:ascii="Cambria Math" w:eastAsiaTheme="majorEastAsia" w:hAnsi="Cambria Math"/>
                <w:i/>
                <w:lang w:val="en-GB"/>
              </w:rPr>
            </m:ctrlPr>
          </m:accPr>
          <m:e>
            <m:r>
              <w:rPr>
                <w:rFonts w:ascii="Cambria Math" w:eastAsiaTheme="majorEastAsia" w:hAnsi="Cambria Math"/>
                <w:lang w:val="en-GB"/>
              </w:rPr>
              <m:t>a</m:t>
            </m:r>
          </m:e>
        </m:acc>
        <m:nary>
          <m:naryPr>
            <m:chr m:val="∑"/>
            <m:limLoc m:val="subSup"/>
            <m:supHide m:val="1"/>
            <m:ctrlPr>
              <w:rPr>
                <w:rFonts w:ascii="Cambria Math" w:eastAsiaTheme="majorEastAsia" w:hAnsi="Cambria Math"/>
                <w:i/>
                <w:lang w:val="en-GB"/>
              </w:rPr>
            </m:ctrlPr>
          </m:naryPr>
          <m:sub>
            <m:r>
              <w:rPr>
                <w:rFonts w:ascii="Cambria Math" w:eastAsiaTheme="majorEastAsia" w:hAnsi="Cambria Math"/>
                <w:lang w:val="en-GB"/>
              </w:rPr>
              <m:t>i=1</m:t>
            </m:r>
          </m:sub>
          <m:sup/>
          <m:e>
            <m:r>
              <w:rPr>
                <w:rFonts w:ascii="Cambria Math" w:eastAsiaTheme="majorEastAsia" w:hAnsi="Cambria Math"/>
                <w:lang w:val="en-GB"/>
              </w:rPr>
              <m:t xml:space="preserve">i </m:t>
            </m:r>
            <m:sSub>
              <m:sSubPr>
                <m:ctrlPr>
                  <w:rPr>
                    <w:rFonts w:ascii="Cambria Math" w:eastAsiaTheme="majorEastAsia" w:hAnsi="Cambria Math"/>
                    <w:i/>
                    <w:lang w:val="en-GB"/>
                  </w:rPr>
                </m:ctrlPr>
              </m:sSubPr>
              <m:e>
                <m:r>
                  <w:rPr>
                    <w:rFonts w:ascii="Cambria Math" w:eastAsiaTheme="majorEastAsia" w:hAnsi="Cambria Math"/>
                    <w:lang w:val="en-GB"/>
                  </w:rPr>
                  <m:t>π</m:t>
                </m:r>
              </m:e>
              <m:sub>
                <m:r>
                  <w:rPr>
                    <w:rFonts w:ascii="Cambria Math" w:eastAsiaTheme="majorEastAsia" w:hAnsi="Cambria Math"/>
                    <w:lang w:val="en-GB"/>
                  </w:rPr>
                  <m:t>i</m:t>
                </m:r>
              </m:sub>
            </m:sSub>
          </m:e>
        </m:nary>
      </m:oMath>
      <w:r>
        <w:rPr>
          <w:rFonts w:eastAsiaTheme="majorEastAsia"/>
          <w:lang w:val="en-GB"/>
        </w:rPr>
        <w:t xml:space="preserve">, where </w:t>
      </w:r>
      <m:oMath>
        <m:sSub>
          <m:sSubPr>
            <m:ctrlPr>
              <w:rPr>
                <w:rFonts w:ascii="Cambria Math" w:eastAsiaTheme="majorEastAsia" w:hAnsi="Cambria Math"/>
                <w:i/>
                <w:lang w:val="en-GB"/>
              </w:rPr>
            </m:ctrlPr>
          </m:sSubPr>
          <m:e>
            <m:r>
              <w:rPr>
                <w:rFonts w:ascii="Cambria Math" w:eastAsiaTheme="majorEastAsia" w:hAnsi="Cambria Math"/>
                <w:lang w:val="en-GB"/>
              </w:rPr>
              <m:t>π</m:t>
            </m:r>
          </m:e>
          <m:sub>
            <m:r>
              <w:rPr>
                <w:rFonts w:ascii="Cambria Math" w:eastAsiaTheme="majorEastAsia" w:hAnsi="Cambria Math"/>
                <w:lang w:val="en-GB"/>
              </w:rPr>
              <m:t>i</m:t>
            </m:r>
          </m:sub>
        </m:sSub>
      </m:oMath>
      <w:r>
        <w:rPr>
          <w:rFonts w:eastAsiaTheme="majorEastAsia"/>
          <w:lang w:val="en-GB"/>
        </w:rPr>
        <w:t xml:space="preserve"> is the proportion of households in the Census that contain </w:t>
      </w:r>
      <m:oMath>
        <m:r>
          <w:rPr>
            <w:rFonts w:ascii="Cambria Math" w:eastAsiaTheme="majorEastAsia" w:hAnsi="Cambria Math"/>
            <w:lang w:val="en-GB"/>
          </w:rPr>
          <m:t>i</m:t>
        </m:r>
      </m:oMath>
      <w:r>
        <w:rPr>
          <w:rFonts w:eastAsiaTheme="majorEastAsia"/>
          <w:lang w:val="en-GB"/>
        </w:rPr>
        <w:t xml:space="preserve"> individuals and </w:t>
      </w:r>
      <m:oMath>
        <m:r>
          <w:rPr>
            <w:rFonts w:ascii="Cambria Math" w:eastAsiaTheme="majorEastAsia" w:hAnsi="Cambria Math"/>
            <w:lang w:val="en-GB"/>
          </w:rPr>
          <m:t>a</m:t>
        </m:r>
      </m:oMath>
      <w:r>
        <w:rPr>
          <w:rFonts w:eastAsiaTheme="majorEastAsia"/>
          <w:lang w:val="en-GB"/>
        </w:rPr>
        <w:t xml:space="preserve"> is the number of addresses with at least one household. To estimate </w:t>
      </w:r>
      <m:oMath>
        <m:acc>
          <m:accPr>
            <m:ctrlPr>
              <w:rPr>
                <w:rFonts w:ascii="Cambria Math" w:eastAsiaTheme="majorEastAsia" w:hAnsi="Cambria Math"/>
                <w:i/>
                <w:lang w:val="en-GB"/>
              </w:rPr>
            </m:ctrlPr>
          </m:accPr>
          <m:e>
            <m:r>
              <w:rPr>
                <w:rFonts w:ascii="Cambria Math" w:eastAsiaTheme="majorEastAsia" w:hAnsi="Cambria Math"/>
                <w:lang w:val="en-GB"/>
              </w:rPr>
              <m:t>a</m:t>
            </m:r>
          </m:e>
        </m:acc>
        <m:r>
          <w:rPr>
            <w:rFonts w:ascii="Cambria Math" w:eastAsiaTheme="majorEastAsia" w:hAnsi="Cambria Math"/>
            <w:lang w:val="en-GB"/>
          </w:rPr>
          <m:t>=</m:t>
        </m:r>
        <m:sSub>
          <m:sSubPr>
            <m:ctrlPr>
              <w:rPr>
                <w:rFonts w:ascii="Cambria Math" w:eastAsiaTheme="majorEastAsia" w:hAnsi="Cambria Math"/>
                <w:i/>
                <w:lang w:val="en-GB"/>
              </w:rPr>
            </m:ctrlPr>
          </m:sSubPr>
          <m:e>
            <m:r>
              <w:rPr>
                <w:rFonts w:ascii="Cambria Math" w:eastAsiaTheme="majorEastAsia" w:hAnsi="Cambria Math"/>
                <w:lang w:val="en-GB"/>
              </w:rPr>
              <m:t>a</m:t>
            </m:r>
          </m:e>
          <m:sub>
            <m:r>
              <w:rPr>
                <w:rFonts w:ascii="Cambria Math" w:eastAsiaTheme="majorEastAsia" w:hAnsi="Cambria Math"/>
                <w:lang w:val="en-GB"/>
              </w:rPr>
              <m:t>e</m:t>
            </m:r>
          </m:sub>
        </m:sSub>
        <m:r>
          <w:rPr>
            <w:rFonts w:ascii="Cambria Math" w:eastAsiaTheme="majorEastAsia" w:hAnsi="Cambria Math"/>
            <w:lang w:val="en-GB"/>
          </w:rPr>
          <m:t>+</m:t>
        </m:r>
        <m:sSub>
          <m:sSubPr>
            <m:ctrlPr>
              <w:rPr>
                <w:rFonts w:ascii="Cambria Math" w:eastAsiaTheme="majorEastAsia" w:hAnsi="Cambria Math"/>
                <w:i/>
                <w:lang w:val="en-GB"/>
              </w:rPr>
            </m:ctrlPr>
          </m:sSubPr>
          <m:e>
            <m:r>
              <w:rPr>
                <w:rFonts w:ascii="Cambria Math" w:eastAsiaTheme="majorEastAsia" w:hAnsi="Cambria Math"/>
                <w:lang w:val="en-GB"/>
              </w:rPr>
              <m:t>a</m:t>
            </m:r>
          </m:e>
          <m:sub>
            <m:r>
              <w:rPr>
                <w:rFonts w:ascii="Cambria Math" w:eastAsiaTheme="majorEastAsia" w:hAnsi="Cambria Math"/>
                <w:lang w:val="en-GB"/>
              </w:rPr>
              <m:t>ue</m:t>
            </m:r>
          </m:sub>
        </m:sSub>
        <m:r>
          <w:rPr>
            <w:rFonts w:ascii="Cambria Math" w:eastAsiaTheme="majorEastAsia" w:hAnsi="Cambria Math"/>
            <w:lang w:val="en-GB"/>
          </w:rPr>
          <m:t>(</m:t>
        </m:r>
        <m:sSub>
          <m:sSubPr>
            <m:ctrlPr>
              <w:rPr>
                <w:rFonts w:ascii="Cambria Math" w:eastAsiaTheme="majorEastAsia" w:hAnsi="Cambria Math"/>
                <w:i/>
                <w:lang w:val="en-GB"/>
              </w:rPr>
            </m:ctrlPr>
          </m:sSubPr>
          <m:e>
            <m:r>
              <w:rPr>
                <w:rFonts w:ascii="Cambria Math" w:eastAsiaTheme="majorEastAsia" w:hAnsi="Cambria Math"/>
                <w:lang w:val="en-GB"/>
              </w:rPr>
              <m:t>a</m:t>
            </m:r>
          </m:e>
          <m:sub>
            <m:r>
              <w:rPr>
                <w:rFonts w:ascii="Cambria Math" w:eastAsiaTheme="majorEastAsia" w:hAnsi="Cambria Math"/>
                <w:lang w:val="en-GB"/>
              </w:rPr>
              <m:t>e</m:t>
            </m:r>
          </m:sub>
        </m:sSub>
        <m:r>
          <w:rPr>
            <w:rFonts w:ascii="Cambria Math" w:eastAsiaTheme="majorEastAsia" w:hAnsi="Cambria Math"/>
            <w:lang w:val="en-GB"/>
          </w:rPr>
          <m:t>/(</m:t>
        </m:r>
        <m:sSub>
          <m:sSubPr>
            <m:ctrlPr>
              <w:rPr>
                <w:rFonts w:ascii="Cambria Math" w:eastAsiaTheme="majorEastAsia" w:hAnsi="Cambria Math"/>
                <w:i/>
                <w:lang w:val="en-GB"/>
              </w:rPr>
            </m:ctrlPr>
          </m:sSubPr>
          <m:e>
            <m:r>
              <w:rPr>
                <w:rFonts w:ascii="Cambria Math" w:eastAsiaTheme="majorEastAsia" w:hAnsi="Cambria Math"/>
                <w:lang w:val="en-GB"/>
              </w:rPr>
              <m:t>a</m:t>
            </m:r>
          </m:e>
          <m:sub>
            <m:r>
              <w:rPr>
                <w:rFonts w:ascii="Cambria Math" w:eastAsiaTheme="majorEastAsia" w:hAnsi="Cambria Math"/>
                <w:lang w:val="en-GB"/>
              </w:rPr>
              <m:t>e</m:t>
            </m:r>
          </m:sub>
        </m:sSub>
        <m:r>
          <w:rPr>
            <w:rFonts w:ascii="Cambria Math" w:eastAsiaTheme="majorEastAsia" w:hAnsi="Cambria Math"/>
            <w:lang w:val="en-GB"/>
          </w:rPr>
          <m:t>+</m:t>
        </m:r>
        <m:sSub>
          <m:sSubPr>
            <m:ctrlPr>
              <w:rPr>
                <w:rFonts w:ascii="Cambria Math" w:eastAsiaTheme="majorEastAsia" w:hAnsi="Cambria Math"/>
                <w:i/>
                <w:lang w:val="en-GB"/>
              </w:rPr>
            </m:ctrlPr>
          </m:sSubPr>
          <m:e>
            <m:r>
              <w:rPr>
                <w:rFonts w:ascii="Cambria Math" w:eastAsiaTheme="majorEastAsia" w:hAnsi="Cambria Math"/>
                <w:lang w:val="en-GB"/>
              </w:rPr>
              <m:t>a</m:t>
            </m:r>
          </m:e>
          <m:sub>
            <m:r>
              <w:rPr>
                <w:rFonts w:ascii="Cambria Math" w:eastAsiaTheme="majorEastAsia" w:hAnsi="Cambria Math"/>
                <w:lang w:val="en-GB"/>
              </w:rPr>
              <m:t>ne</m:t>
            </m:r>
          </m:sub>
        </m:sSub>
        <m:r>
          <w:rPr>
            <w:rFonts w:ascii="Cambria Math" w:eastAsiaTheme="majorEastAsia" w:hAnsi="Cambria Math"/>
            <w:lang w:val="en-GB"/>
          </w:rPr>
          <m:t>)</m:t>
        </m:r>
      </m:oMath>
      <w:r>
        <w:rPr>
          <w:rFonts w:eastAsiaTheme="majorEastAsia"/>
          <w:lang w:val="en-GB"/>
        </w:rPr>
        <w:t xml:space="preserve">, where </w:t>
      </w:r>
      <m:oMath>
        <m:sSub>
          <m:sSubPr>
            <m:ctrlPr>
              <w:rPr>
                <w:rFonts w:ascii="Cambria Math" w:eastAsiaTheme="majorEastAsia" w:hAnsi="Cambria Math"/>
                <w:i/>
                <w:lang w:val="en-GB"/>
              </w:rPr>
            </m:ctrlPr>
          </m:sSubPr>
          <m:e>
            <m:r>
              <w:rPr>
                <w:rFonts w:ascii="Cambria Math" w:eastAsiaTheme="majorEastAsia" w:hAnsi="Cambria Math"/>
                <w:lang w:val="en-GB"/>
              </w:rPr>
              <m:t>a</m:t>
            </m:r>
          </m:e>
          <m:sub>
            <m:r>
              <w:rPr>
                <w:rFonts w:ascii="Cambria Math" w:eastAsiaTheme="majorEastAsia" w:hAnsi="Cambria Math"/>
                <w:lang w:val="en-GB"/>
              </w:rPr>
              <m:t>e</m:t>
            </m:r>
          </m:sub>
        </m:sSub>
      </m:oMath>
      <w:r>
        <w:rPr>
          <w:rFonts w:eastAsiaTheme="majorEastAsia"/>
          <w:lang w:val="en-GB"/>
        </w:rPr>
        <w:t xml:space="preserve"> is the number of addresses known to be eligible, </w:t>
      </w:r>
      <m:oMath>
        <m:sSub>
          <m:sSubPr>
            <m:ctrlPr>
              <w:rPr>
                <w:rFonts w:ascii="Cambria Math" w:eastAsiaTheme="majorEastAsia" w:hAnsi="Cambria Math"/>
                <w:i/>
                <w:lang w:val="en-GB"/>
              </w:rPr>
            </m:ctrlPr>
          </m:sSubPr>
          <m:e>
            <m:r>
              <w:rPr>
                <w:rFonts w:ascii="Cambria Math" w:eastAsiaTheme="majorEastAsia" w:hAnsi="Cambria Math"/>
                <w:lang w:val="en-GB"/>
              </w:rPr>
              <m:t>a</m:t>
            </m:r>
          </m:e>
          <m:sub>
            <m:r>
              <w:rPr>
                <w:rFonts w:ascii="Cambria Math" w:eastAsiaTheme="majorEastAsia" w:hAnsi="Cambria Math"/>
                <w:lang w:val="en-GB"/>
              </w:rPr>
              <m:t>ue</m:t>
            </m:r>
          </m:sub>
        </m:sSub>
      </m:oMath>
      <w:r>
        <w:rPr>
          <w:rFonts w:eastAsiaTheme="majorEastAsia"/>
          <w:lang w:val="en-GB"/>
        </w:rPr>
        <w:t xml:space="preserve">is the number of addresses of unknown eligibility, and </w:t>
      </w:r>
      <m:oMath>
        <m:sSub>
          <m:sSubPr>
            <m:ctrlPr>
              <w:rPr>
                <w:rFonts w:ascii="Cambria Math" w:eastAsiaTheme="majorEastAsia" w:hAnsi="Cambria Math"/>
                <w:i/>
                <w:lang w:val="en-GB"/>
              </w:rPr>
            </m:ctrlPr>
          </m:sSubPr>
          <m:e>
            <m:r>
              <w:rPr>
                <w:rFonts w:ascii="Cambria Math" w:eastAsiaTheme="majorEastAsia" w:hAnsi="Cambria Math"/>
                <w:lang w:val="en-GB"/>
              </w:rPr>
              <m:t>a</m:t>
            </m:r>
          </m:e>
          <m:sub>
            <m:r>
              <w:rPr>
                <w:rFonts w:ascii="Cambria Math" w:eastAsiaTheme="majorEastAsia" w:hAnsi="Cambria Math"/>
                <w:lang w:val="en-GB"/>
              </w:rPr>
              <m:t>ne</m:t>
            </m:r>
          </m:sub>
        </m:sSub>
      </m:oMath>
      <w:r>
        <w:rPr>
          <w:rFonts w:eastAsiaTheme="majorEastAsia"/>
          <w:lang w:val="en-GB"/>
        </w:rPr>
        <w:t xml:space="preserve"> refers to the non-eligible addresses. For the ethnic minority and immigration samples, we rely on survey data from </w:t>
      </w:r>
      <w:r>
        <w:rPr>
          <w:rFonts w:eastAsiaTheme="majorEastAsia"/>
          <w:i/>
          <w:iCs/>
          <w:lang w:val="en-GB"/>
        </w:rPr>
        <w:t>Understanding Society</w:t>
      </w:r>
      <w:r>
        <w:rPr>
          <w:rFonts w:eastAsiaTheme="majorEastAsia"/>
          <w:lang w:val="en-GB"/>
        </w:rPr>
        <w:t xml:space="preserve"> to estimate the number of eligible sample members in each household. </w:t>
      </w:r>
    </w:p>
    <w:p w14:paraId="42BC7D32" w14:textId="77777777" w:rsidR="00A606CA" w:rsidRDefault="00A606CA" w:rsidP="00A606CA">
      <w:pPr>
        <w:rPr>
          <w:rFonts w:eastAsiaTheme="majorEastAsia"/>
          <w:lang w:val="en-GB"/>
        </w:rPr>
      </w:pPr>
      <w:r>
        <w:rPr>
          <w:rFonts w:eastAsiaTheme="majorEastAsia"/>
          <w:lang w:val="en-GB"/>
        </w:rPr>
        <w:t xml:space="preserve">Second, </w:t>
      </w:r>
      <m:oMath>
        <m:acc>
          <m:accPr>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2</m:t>
                </m:r>
              </m:sub>
            </m:sSub>
          </m:e>
        </m:acc>
      </m:oMath>
      <w:r>
        <w:rPr>
          <w:rFonts w:eastAsiaTheme="majorEastAsia"/>
          <w:lang w:val="en-GB"/>
        </w:rPr>
        <w:t xml:space="preserve"> refers to the probability of responding to the adult interview at the initial wave conditional on the household participation. Persons aged 16 are eligible for the adult interview. </w:t>
      </w:r>
      <w:r>
        <w:rPr>
          <w:rFonts w:eastAsiaTheme="majorEastAsia"/>
          <w:lang w:val="en-GB"/>
        </w:rPr>
        <w:lastRenderedPageBreak/>
        <w:t xml:space="preserve">Therefore, </w:t>
      </w:r>
      <m:oMath>
        <m:acc>
          <m:accPr>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2</m:t>
                </m:r>
              </m:sub>
            </m:sSub>
          </m:e>
        </m:acc>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3</m:t>
                </m:r>
              </m:sub>
            </m:sSub>
          </m:num>
          <m:den>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2</m:t>
                </m:r>
              </m:sub>
            </m:sSub>
          </m:den>
        </m:f>
      </m:oMath>
      <w:r>
        <w:rPr>
          <w:rFonts w:eastAsiaTheme="majorEastAsia"/>
          <w:lang w:val="en-GB"/>
        </w:rPr>
        <w:t xml:space="preserve"> where </w:t>
      </w:r>
      <m:oMath>
        <m:sSub>
          <m:sSubPr>
            <m:ctrlPr>
              <w:rPr>
                <w:rFonts w:ascii="Cambria Math" w:eastAsiaTheme="majorEastAsia" w:hAnsi="Cambria Math"/>
                <w:i/>
                <w:lang w:val="en-GB"/>
              </w:rPr>
            </m:ctrlPr>
          </m:sSubPr>
          <m:e>
            <m:r>
              <w:rPr>
                <w:rFonts w:ascii="Cambria Math" w:eastAsiaTheme="majorEastAsia" w:hAnsi="Cambria Math"/>
                <w:lang w:val="en-GB"/>
              </w:rPr>
              <m:t>m</m:t>
            </m:r>
          </m:e>
          <m:sub>
            <m:r>
              <w:rPr>
                <w:rFonts w:ascii="Cambria Math" w:eastAsiaTheme="majorEastAsia" w:hAnsi="Cambria Math"/>
                <w:lang w:val="en-GB"/>
              </w:rPr>
              <m:t>2</m:t>
            </m:r>
          </m:sub>
        </m:sSub>
      </m:oMath>
      <w:r>
        <w:rPr>
          <w:rFonts w:eastAsiaTheme="majorEastAsia"/>
          <w:lang w:val="en-GB"/>
        </w:rPr>
        <w:t xml:space="preserve"> is the number of individuals aged 16 or over from responding households and </w:t>
      </w:r>
      <m:oMath>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3</m:t>
            </m:r>
          </m:sub>
        </m:sSub>
      </m:oMath>
      <w:r>
        <w:rPr>
          <w:rFonts w:eastAsiaTheme="majorEastAsia"/>
          <w:lang w:val="en-GB"/>
        </w:rPr>
        <w:t xml:space="preserve"> is the number of complete individual interviews.</w:t>
      </w:r>
    </w:p>
    <w:p w14:paraId="541BB90F" w14:textId="77777777" w:rsidR="00A606CA" w:rsidRDefault="00A606CA" w:rsidP="00A606CA">
      <w:pPr>
        <w:rPr>
          <w:rFonts w:eastAsiaTheme="majorEastAsia"/>
          <w:lang w:val="en-GB"/>
        </w:rPr>
      </w:pPr>
      <w:r>
        <w:rPr>
          <w:rFonts w:eastAsiaTheme="majorEastAsia"/>
          <w:lang w:val="en-GB"/>
        </w:rPr>
        <w:t xml:space="preserve">Finally, </w:t>
      </w:r>
      <m:oMath>
        <m:acc>
          <m:accPr>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3</m:t>
                </m:r>
              </m:sub>
            </m:sSub>
          </m:e>
        </m:acc>
      </m:oMath>
      <w:r>
        <w:rPr>
          <w:rFonts w:eastAsiaTheme="majorEastAsia"/>
          <w:lang w:val="en-GB"/>
        </w:rPr>
        <w:t xml:space="preserve"> is the proportion of initial wave respondents who responded to the wave 11 adult interview. </w:t>
      </w:r>
      <m:oMath>
        <m:acc>
          <m:accPr>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3</m:t>
                </m:r>
              </m:sub>
            </m:sSub>
          </m:e>
        </m:acc>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5</m:t>
                </m:r>
              </m:sub>
            </m:sSub>
          </m:num>
          <m:den>
            <m:acc>
              <m:accPr>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4</m:t>
                    </m:r>
                  </m:sub>
                </m:sSub>
              </m:e>
            </m:acc>
          </m:den>
        </m:f>
      </m:oMath>
      <w:r>
        <w:rPr>
          <w:rFonts w:eastAsiaTheme="majorEastAsia"/>
          <w:lang w:val="en-GB"/>
        </w:rPr>
        <w:t xml:space="preserve">, where </w:t>
      </w:r>
      <m:oMath>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5</m:t>
            </m:r>
          </m:sub>
        </m:sSub>
      </m:oMath>
      <w:r>
        <w:rPr>
          <w:rFonts w:eastAsiaTheme="majorEastAsia"/>
          <w:lang w:val="en-GB"/>
        </w:rPr>
        <w:t xml:space="preserve"> is the number of respondents to the initial wave who also responded to wave 12. The calculation of </w:t>
      </w:r>
      <m:oMath>
        <m:acc>
          <m:accPr>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4</m:t>
                </m:r>
              </m:sub>
            </m:sSub>
          </m:e>
        </m:acc>
      </m:oMath>
      <w:r>
        <w:rPr>
          <w:rFonts w:eastAsiaTheme="majorEastAsia"/>
          <w:lang w:val="en-GB"/>
        </w:rPr>
        <w:t xml:space="preserve">, the initial wave respondents still eligible for an adult interview at wave 12, involves subtracting from </w:t>
      </w:r>
      <m:oMath>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3</m:t>
            </m:r>
          </m:sub>
        </m:sSub>
      </m:oMath>
      <w:r>
        <w:rPr>
          <w:rFonts w:eastAsiaTheme="majorEastAsia"/>
          <w:lang w:val="en-GB"/>
        </w:rPr>
        <w:t xml:space="preserve"> the panel members that became ineligible between waves 1 and 12. Panel members may become ineligible for two reasons: dying and moving out of the country. This change in the eligibility status is known for some panel members; however, some participants become uneligible from one wave to another, and it is not possible to disentangle a genuine nonresponse from a change in the eligibility status. Therefore, to estimate </w:t>
      </w:r>
      <m:oMath>
        <m:acc>
          <m:accPr>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4</m:t>
                </m:r>
              </m:sub>
            </m:sSub>
          </m:e>
        </m:acc>
      </m:oMath>
      <w:r>
        <w:rPr>
          <w:rFonts w:eastAsiaTheme="majorEastAsia"/>
          <w:lang w:val="en-GB"/>
        </w:rPr>
        <w:t xml:space="preserve"> we, first, remove all the ineligible cases identified by the fieldwork force between waves 1 and 11 using the outcome codes. Second, we remove the cases known to have deceased before wave 11 from the mortality registers and during data collection. Third, we implement a propensity adjustment to correct the sample for undetected mortality </w:t>
      </w:r>
      <w:r w:rsidRPr="008F1372">
        <w:rPr>
          <w:rFonts w:ascii="Times New Roman" w:hAnsi="Times New Roman" w:cs="Times New Roman"/>
        </w:rPr>
        <w:t>(</w:t>
      </w:r>
      <w:proofErr w:type="spellStart"/>
      <w:r w:rsidRPr="008F1372">
        <w:rPr>
          <w:rFonts w:ascii="Times New Roman" w:hAnsi="Times New Roman" w:cs="Times New Roman"/>
        </w:rPr>
        <w:t>Kamisnka</w:t>
      </w:r>
      <w:proofErr w:type="spellEnd"/>
      <w:r w:rsidRPr="008F1372">
        <w:rPr>
          <w:rFonts w:ascii="Times New Roman" w:hAnsi="Times New Roman" w:cs="Times New Roman"/>
        </w:rPr>
        <w:t xml:space="preserve"> 2021)</w:t>
      </w:r>
      <w:r>
        <w:rPr>
          <w:rFonts w:eastAsiaTheme="majorEastAsia"/>
          <w:lang w:val="en-GB"/>
        </w:rPr>
        <w:t xml:space="preserve">. Thus, </w:t>
      </w:r>
      <m:oMath>
        <m:acc>
          <m:accPr>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4</m:t>
                </m:r>
              </m:sub>
            </m:sSub>
          </m:e>
        </m:acc>
        <m:r>
          <w:rPr>
            <w:rFonts w:ascii="Cambria Math" w:hAnsi="Cambria Math"/>
            <w:lang w:val="en-GB"/>
          </w:rPr>
          <m:t>=</m:t>
        </m:r>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3</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π</m:t>
            </m:r>
          </m:e>
          <m:sub>
            <m:r>
              <w:rPr>
                <w:rFonts w:ascii="Cambria Math" w:hAnsi="Cambria Math"/>
                <w:lang w:val="en-GB"/>
              </w:rPr>
              <m:t>m</m:t>
            </m:r>
          </m:sub>
        </m:sSub>
        <m:r>
          <w:rPr>
            <w:rFonts w:ascii="Cambria Math" w:hAnsi="Cambria Math"/>
            <w:lang w:val="en-GB"/>
          </w:rPr>
          <m:t>-</m:t>
        </m:r>
        <m:d>
          <m:dPr>
            <m:ctrlPr>
              <w:rPr>
                <w:rFonts w:ascii="Cambria Math" w:hAnsi="Cambria Math"/>
                <w:i/>
                <w:lang w:val="en-GB"/>
              </w:rPr>
            </m:ctrlPr>
          </m:dPr>
          <m:e>
            <m:acc>
              <m:accPr>
                <m:ctrlPr>
                  <w:rPr>
                    <w:rFonts w:ascii="Cambria Math" w:hAnsi="Cambria Math"/>
                    <w:i/>
                    <w:lang w:val="en-GB"/>
                  </w:rPr>
                </m:ctrlPr>
              </m:accPr>
              <m:e>
                <m:r>
                  <w:rPr>
                    <w:rFonts w:ascii="Cambria Math" w:hAnsi="Cambria Math"/>
                    <w:lang w:val="en-GB"/>
                  </w:rPr>
                  <m:t>d</m:t>
                </m:r>
              </m:e>
            </m:acc>
            <m:r>
              <w:rPr>
                <w:rFonts w:ascii="Cambria Math" w:hAnsi="Cambria Math"/>
                <w:lang w:val="en-GB"/>
              </w:rPr>
              <m:t>+</m:t>
            </m:r>
            <m:acc>
              <m:accPr>
                <m:ctrlPr>
                  <w:rPr>
                    <w:rFonts w:ascii="Cambria Math" w:hAnsi="Cambria Math"/>
                    <w:i/>
                    <w:lang w:val="en-GB"/>
                  </w:rPr>
                </m:ctrlPr>
              </m:accPr>
              <m:e>
                <m:r>
                  <w:rPr>
                    <w:rFonts w:ascii="Cambria Math" w:hAnsi="Cambria Math"/>
                    <w:lang w:val="en-GB"/>
                  </w:rPr>
                  <m:t>l</m:t>
                </m:r>
              </m:e>
            </m:acc>
          </m:e>
        </m:d>
      </m:oMath>
      <w:r>
        <w:rPr>
          <w:rFonts w:eastAsiaTheme="majorEastAsia"/>
          <w:lang w:val="en-GB"/>
        </w:rPr>
        <w:t xml:space="preserve">, where </w:t>
      </w:r>
      <m:oMath>
        <m:sSub>
          <m:sSubPr>
            <m:ctrlPr>
              <w:rPr>
                <w:rFonts w:ascii="Cambria Math" w:hAnsi="Cambria Math"/>
                <w:i/>
                <w:lang w:val="en-GB"/>
              </w:rPr>
            </m:ctrlPr>
          </m:sSubPr>
          <m:e>
            <m:r>
              <w:rPr>
                <w:rFonts w:ascii="Cambria Math" w:hAnsi="Cambria Math"/>
                <w:lang w:val="en-GB"/>
              </w:rPr>
              <m:t>π</m:t>
            </m:r>
          </m:e>
          <m:sub>
            <m:r>
              <w:rPr>
                <w:rFonts w:ascii="Cambria Math" w:hAnsi="Cambria Math"/>
                <w:lang w:val="en-GB"/>
              </w:rPr>
              <m:t>m</m:t>
            </m:r>
          </m:sub>
        </m:sSub>
      </m:oMath>
      <w:r>
        <w:rPr>
          <w:rFonts w:eastAsiaTheme="majorEastAsia"/>
          <w:lang w:val="en-GB"/>
        </w:rPr>
        <w:t xml:space="preserve"> is the mortality propensity adjustment, </w:t>
      </w:r>
      <m:oMath>
        <m:acc>
          <m:accPr>
            <m:ctrlPr>
              <w:rPr>
                <w:rFonts w:ascii="Cambria Math" w:hAnsi="Cambria Math"/>
                <w:i/>
                <w:lang w:val="en-GB"/>
              </w:rPr>
            </m:ctrlPr>
          </m:accPr>
          <m:e>
            <m:r>
              <w:rPr>
                <w:rFonts w:ascii="Cambria Math" w:hAnsi="Cambria Math"/>
                <w:lang w:val="en-GB"/>
              </w:rPr>
              <m:t>d</m:t>
            </m:r>
          </m:e>
        </m:acc>
      </m:oMath>
      <w:r>
        <w:rPr>
          <w:rFonts w:eastAsiaTheme="majorEastAsia"/>
          <w:lang w:val="en-GB"/>
        </w:rPr>
        <w:t xml:space="preserve"> is the estimated number of deceased panel members from outcome codes and official registers, and </w:t>
      </w:r>
      <m:oMath>
        <m:acc>
          <m:accPr>
            <m:ctrlPr>
              <w:rPr>
                <w:rFonts w:ascii="Cambria Math" w:hAnsi="Cambria Math"/>
                <w:i/>
                <w:lang w:val="en-GB"/>
              </w:rPr>
            </m:ctrlPr>
          </m:accPr>
          <m:e>
            <m:r>
              <w:rPr>
                <w:rFonts w:ascii="Cambria Math" w:hAnsi="Cambria Math"/>
                <w:lang w:val="en-GB"/>
              </w:rPr>
              <m:t>l</m:t>
            </m:r>
          </m:e>
        </m:acc>
      </m:oMath>
      <w:r>
        <w:rPr>
          <w:rFonts w:eastAsiaTheme="majorEastAsia"/>
          <w:lang w:val="en-GB"/>
        </w:rPr>
        <w:t xml:space="preserve"> are the panel members who moved out of scope.</w:t>
      </w:r>
    </w:p>
    <w:p w14:paraId="469762BE" w14:textId="77777777" w:rsidR="00A606CA" w:rsidRDefault="00A606CA" w:rsidP="00A606CA">
      <w:pPr>
        <w:rPr>
          <w:rFonts w:eastAsiaTheme="majorEastAsia"/>
          <w:lang w:val="en-GB"/>
        </w:rPr>
      </w:pPr>
      <w:r>
        <w:rPr>
          <w:rFonts w:eastAsiaTheme="majorEastAsia"/>
          <w:lang w:val="en-GB"/>
        </w:rPr>
        <w:t xml:space="preserve">Estimates of the different components for all the </w:t>
      </w:r>
      <w:r>
        <w:rPr>
          <w:rFonts w:eastAsiaTheme="majorEastAsia"/>
          <w:i/>
          <w:iCs/>
          <w:lang w:val="en-GB"/>
        </w:rPr>
        <w:t>Understanding Society</w:t>
      </w:r>
      <w:r>
        <w:rPr>
          <w:rFonts w:eastAsiaTheme="majorEastAsia"/>
          <w:lang w:val="en-GB"/>
        </w:rPr>
        <w:t xml:space="preserve"> samples is shown in </w:t>
      </w:r>
      <w:r>
        <w:rPr>
          <w:rFonts w:eastAsiaTheme="majorEastAsia"/>
          <w:lang w:val="en-GB"/>
        </w:rPr>
        <w:fldChar w:fldCharType="begin"/>
      </w:r>
      <w:r>
        <w:rPr>
          <w:rFonts w:eastAsiaTheme="majorEastAsia"/>
          <w:lang w:val="en-GB"/>
        </w:rPr>
        <w:instrText xml:space="preserve"> REF _Ref146192124 \h </w:instrText>
      </w:r>
      <w:r>
        <w:rPr>
          <w:rFonts w:eastAsiaTheme="majorEastAsia"/>
          <w:lang w:val="en-GB"/>
        </w:rPr>
      </w:r>
      <w:r>
        <w:rPr>
          <w:rFonts w:eastAsiaTheme="majorEastAsia"/>
          <w:lang w:val="en-GB"/>
        </w:rPr>
        <w:fldChar w:fldCharType="separate"/>
      </w:r>
      <w:r>
        <w:t>Table A</w:t>
      </w:r>
      <w:r>
        <w:rPr>
          <w:noProof/>
        </w:rPr>
        <w:t>2</w:t>
      </w:r>
      <w:r>
        <w:rPr>
          <w:rFonts w:eastAsiaTheme="majorEastAsia"/>
          <w:lang w:val="en-GB"/>
        </w:rPr>
        <w:fldChar w:fldCharType="end"/>
      </w:r>
      <w:r>
        <w:rPr>
          <w:rFonts w:eastAsiaTheme="majorEastAsia"/>
          <w:lang w:val="en-GB"/>
        </w:rPr>
        <w:t>.</w:t>
      </w:r>
    </w:p>
    <w:p w14:paraId="38B3FB40" w14:textId="77777777" w:rsidR="00A606CA" w:rsidRDefault="00A606CA" w:rsidP="00A606CA">
      <w:pPr>
        <w:pStyle w:val="Caption"/>
        <w:keepNext/>
      </w:pPr>
    </w:p>
    <w:p w14:paraId="6BBA9320" w14:textId="77777777" w:rsidR="00A606CA" w:rsidRDefault="00A606CA" w:rsidP="00A606CA">
      <w:pPr>
        <w:rPr>
          <w:rFonts w:eastAsiaTheme="majorEastAsia"/>
          <w:b/>
          <w:bCs/>
          <w:sz w:val="20"/>
          <w:szCs w:val="18"/>
          <w:lang w:val="en-GB"/>
        </w:rPr>
        <w:sectPr w:rsidR="00A606CA" w:rsidSect="00A606CA">
          <w:footerReference w:type="default" r:id="rId9"/>
          <w:pgSz w:w="12240" w:h="15840"/>
          <w:pgMar w:top="1440" w:right="1440" w:bottom="1440" w:left="1440" w:header="720" w:footer="720" w:gutter="0"/>
          <w:cols w:space="720"/>
          <w:docGrid w:linePitch="360"/>
        </w:sectPr>
      </w:pPr>
    </w:p>
    <w:p w14:paraId="6FAB1A66" w14:textId="4475EF0F" w:rsidR="00A606CA" w:rsidRPr="00D13271" w:rsidRDefault="00A606CA" w:rsidP="00A606CA">
      <w:pPr>
        <w:pStyle w:val="Caption"/>
        <w:keepNext/>
      </w:pPr>
      <w:bookmarkStart w:id="3" w:name="_Ref146192124"/>
      <w:bookmarkStart w:id="4" w:name="_Ref146192119"/>
      <w:r>
        <w:lastRenderedPageBreak/>
        <w:t>Table A</w:t>
      </w:r>
      <w:fldSimple w:instr=" SEQ Table_A \* ARABIC ">
        <w:r w:rsidR="003F78A0">
          <w:rPr>
            <w:noProof/>
          </w:rPr>
          <w:t>2</w:t>
        </w:r>
      </w:fldSimple>
      <w:bookmarkEnd w:id="3"/>
      <w:r>
        <w:t xml:space="preserve">. Wave 12 cumulative response rate for </w:t>
      </w:r>
      <w:bookmarkEnd w:id="4"/>
      <w:r>
        <w:t xml:space="preserve">the samples that form </w:t>
      </w:r>
      <w:r w:rsidRPr="00D13271">
        <w:rPr>
          <w:i/>
          <w:iCs/>
        </w:rPr>
        <w:t>Understanding Society</w:t>
      </w:r>
    </w:p>
    <w:tbl>
      <w:tblPr>
        <w:tblStyle w:val="PlainTable2"/>
        <w:tblpPr w:leftFromText="180" w:rightFromText="180" w:horzAnchor="margin" w:tblpY="700"/>
        <w:tblW w:w="12758" w:type="dxa"/>
        <w:tblLayout w:type="fixed"/>
        <w:tblLook w:val="04A0" w:firstRow="1" w:lastRow="0" w:firstColumn="1" w:lastColumn="0" w:noHBand="0" w:noVBand="1"/>
      </w:tblPr>
      <w:tblGrid>
        <w:gridCol w:w="1985"/>
        <w:gridCol w:w="990"/>
        <w:gridCol w:w="853"/>
        <w:gridCol w:w="850"/>
        <w:gridCol w:w="851"/>
        <w:gridCol w:w="850"/>
        <w:gridCol w:w="709"/>
        <w:gridCol w:w="567"/>
        <w:gridCol w:w="709"/>
        <w:gridCol w:w="708"/>
        <w:gridCol w:w="851"/>
        <w:gridCol w:w="850"/>
        <w:gridCol w:w="567"/>
        <w:gridCol w:w="1418"/>
      </w:tblGrid>
      <w:tr w:rsidR="00A606CA" w:rsidRPr="003252F3" w14:paraId="7F90A143" w14:textId="77777777" w:rsidTr="00C20534">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985" w:type="dxa"/>
          </w:tcPr>
          <w:p w14:paraId="1220AAED" w14:textId="77777777" w:rsidR="00A606CA" w:rsidRPr="003252F3" w:rsidRDefault="00A606CA" w:rsidP="00C20534">
            <w:pPr>
              <w:spacing w:line="240" w:lineRule="auto"/>
              <w:rPr>
                <w:rFonts w:eastAsiaTheme="majorEastAsia"/>
                <w:sz w:val="18"/>
                <w:szCs w:val="18"/>
                <w:lang w:val="en-GB"/>
              </w:rPr>
            </w:pPr>
          </w:p>
        </w:tc>
        <w:tc>
          <w:tcPr>
            <w:tcW w:w="990" w:type="dxa"/>
          </w:tcPr>
          <w:p w14:paraId="0A4A00EC" w14:textId="77777777" w:rsidR="00A606CA" w:rsidRPr="003252F3" w:rsidRDefault="00000000" w:rsidP="00C20534">
            <w:pPr>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sz w:val="18"/>
                <w:szCs w:val="18"/>
                <w:lang w:val="en-GB"/>
              </w:rPr>
            </w:pPr>
            <m:oMathPara>
              <m:oMath>
                <m:acc>
                  <m:accPr>
                    <m:ctrlPr>
                      <w:rPr>
                        <w:rFonts w:ascii="Cambria Math" w:eastAsiaTheme="majorEastAsia" w:hAnsi="Cambria Math"/>
                        <w:i/>
                        <w:sz w:val="18"/>
                        <w:szCs w:val="18"/>
                        <w:lang w:val="en-GB"/>
                      </w:rPr>
                    </m:ctrlPr>
                  </m:accPr>
                  <m:e>
                    <m:r>
                      <m:rPr>
                        <m:sty m:val="bi"/>
                      </m:rPr>
                      <w:rPr>
                        <w:rFonts w:ascii="Cambria Math" w:eastAsiaTheme="majorEastAsia" w:hAnsi="Cambria Math"/>
                        <w:sz w:val="18"/>
                        <w:szCs w:val="18"/>
                        <w:lang w:val="en-GB"/>
                      </w:rPr>
                      <m:t>n</m:t>
                    </m:r>
                  </m:e>
                </m:acc>
              </m:oMath>
            </m:oMathPara>
          </w:p>
        </w:tc>
        <w:tc>
          <w:tcPr>
            <w:tcW w:w="853" w:type="dxa"/>
          </w:tcPr>
          <w:p w14:paraId="54120166" w14:textId="77777777" w:rsidR="00A606CA" w:rsidRPr="003252F3" w:rsidRDefault="00000000" w:rsidP="00C20534">
            <w:pPr>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sz w:val="18"/>
                <w:szCs w:val="18"/>
                <w:lang w:val="en-GB"/>
              </w:rPr>
            </w:pPr>
            <m:oMathPara>
              <m:oMath>
                <m:sSub>
                  <m:sSubPr>
                    <m:ctrlPr>
                      <w:rPr>
                        <w:rFonts w:ascii="Cambria Math" w:hAnsi="Cambria Math"/>
                        <w:i/>
                        <w:sz w:val="18"/>
                        <w:szCs w:val="18"/>
                        <w:lang w:val="en-GB"/>
                      </w:rPr>
                    </m:ctrlPr>
                  </m:sSubPr>
                  <m:e>
                    <m:r>
                      <m:rPr>
                        <m:sty m:val="bi"/>
                      </m:rPr>
                      <w:rPr>
                        <w:rFonts w:ascii="Cambria Math" w:hAnsi="Cambria Math"/>
                        <w:sz w:val="18"/>
                        <w:szCs w:val="18"/>
                        <w:lang w:val="en-GB"/>
                      </w:rPr>
                      <m:t>m</m:t>
                    </m:r>
                  </m:e>
                  <m:sub>
                    <m:r>
                      <m:rPr>
                        <m:sty m:val="bi"/>
                      </m:rPr>
                      <w:rPr>
                        <w:rFonts w:ascii="Cambria Math" w:hAnsi="Cambria Math"/>
                        <w:sz w:val="18"/>
                        <w:szCs w:val="18"/>
                        <w:lang w:val="en-GB"/>
                      </w:rPr>
                      <m:t>1</m:t>
                    </m:r>
                  </m:sub>
                </m:sSub>
              </m:oMath>
            </m:oMathPara>
          </w:p>
        </w:tc>
        <w:tc>
          <w:tcPr>
            <w:tcW w:w="850" w:type="dxa"/>
          </w:tcPr>
          <w:p w14:paraId="51CC9193" w14:textId="77777777" w:rsidR="00A606CA" w:rsidRPr="003252F3" w:rsidRDefault="00000000" w:rsidP="00C20534">
            <w:pPr>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sz w:val="18"/>
                <w:szCs w:val="18"/>
                <w:lang w:val="en-GB"/>
              </w:rPr>
            </w:pPr>
            <m:oMathPara>
              <m:oMath>
                <m:acc>
                  <m:accPr>
                    <m:ctrlPr>
                      <w:rPr>
                        <w:rFonts w:ascii="Cambria Math" w:hAnsi="Cambria Math"/>
                        <w:i/>
                        <w:sz w:val="18"/>
                        <w:szCs w:val="18"/>
                        <w:lang w:val="en-GB"/>
                      </w:rPr>
                    </m:ctrlPr>
                  </m:accPr>
                  <m:e>
                    <m:sSub>
                      <m:sSubPr>
                        <m:ctrlPr>
                          <w:rPr>
                            <w:rFonts w:ascii="Cambria Math" w:hAnsi="Cambria Math"/>
                            <w:i/>
                            <w:sz w:val="18"/>
                            <w:szCs w:val="18"/>
                            <w:lang w:val="en-GB"/>
                          </w:rPr>
                        </m:ctrlPr>
                      </m:sSubPr>
                      <m:e>
                        <m:r>
                          <m:rPr>
                            <m:sty m:val="bi"/>
                          </m:rPr>
                          <w:rPr>
                            <w:rFonts w:ascii="Cambria Math" w:hAnsi="Cambria Math"/>
                            <w:sz w:val="18"/>
                            <w:szCs w:val="18"/>
                            <w:lang w:val="en-GB"/>
                          </w:rPr>
                          <m:t>P</m:t>
                        </m:r>
                      </m:e>
                      <m:sub>
                        <m:r>
                          <m:rPr>
                            <m:sty m:val="bi"/>
                          </m:rPr>
                          <w:rPr>
                            <w:rFonts w:ascii="Cambria Math" w:hAnsi="Cambria Math"/>
                            <w:sz w:val="18"/>
                            <w:szCs w:val="18"/>
                            <w:lang w:val="en-GB"/>
                          </w:rPr>
                          <m:t>1</m:t>
                        </m:r>
                      </m:sub>
                    </m:sSub>
                  </m:e>
                </m:acc>
                <m:r>
                  <m:rPr>
                    <m:sty m:val="bi"/>
                  </m:rPr>
                  <w:rPr>
                    <w:rFonts w:ascii="Cambria Math" w:hAnsi="Cambria Math"/>
                    <w:sz w:val="18"/>
                    <w:szCs w:val="18"/>
                    <w:lang w:val="en-GB"/>
                  </w:rPr>
                  <m:t>=</m:t>
                </m:r>
                <m:f>
                  <m:fPr>
                    <m:ctrlPr>
                      <w:rPr>
                        <w:rFonts w:ascii="Cambria Math" w:hAnsi="Cambria Math"/>
                        <w:i/>
                        <w:sz w:val="18"/>
                        <w:szCs w:val="18"/>
                        <w:lang w:val="en-GB"/>
                      </w:rPr>
                    </m:ctrlPr>
                  </m:fPr>
                  <m:num>
                    <m:sSub>
                      <m:sSubPr>
                        <m:ctrlPr>
                          <w:rPr>
                            <w:rFonts w:ascii="Cambria Math" w:hAnsi="Cambria Math"/>
                            <w:i/>
                            <w:sz w:val="18"/>
                            <w:szCs w:val="18"/>
                            <w:lang w:val="en-GB"/>
                          </w:rPr>
                        </m:ctrlPr>
                      </m:sSubPr>
                      <m:e>
                        <m:r>
                          <m:rPr>
                            <m:sty m:val="bi"/>
                          </m:rPr>
                          <w:rPr>
                            <w:rFonts w:ascii="Cambria Math" w:hAnsi="Cambria Math"/>
                            <w:sz w:val="18"/>
                            <w:szCs w:val="18"/>
                            <w:lang w:val="en-GB"/>
                          </w:rPr>
                          <m:t>m</m:t>
                        </m:r>
                      </m:e>
                      <m:sub>
                        <m:r>
                          <m:rPr>
                            <m:sty m:val="bi"/>
                          </m:rPr>
                          <w:rPr>
                            <w:rFonts w:ascii="Cambria Math" w:hAnsi="Cambria Math"/>
                            <w:sz w:val="18"/>
                            <w:szCs w:val="18"/>
                            <w:lang w:val="en-GB"/>
                          </w:rPr>
                          <m:t>1</m:t>
                        </m:r>
                      </m:sub>
                    </m:sSub>
                  </m:num>
                  <m:den>
                    <m:acc>
                      <m:accPr>
                        <m:ctrlPr>
                          <w:rPr>
                            <w:rFonts w:ascii="Cambria Math" w:hAnsi="Cambria Math"/>
                            <w:i/>
                            <w:sz w:val="18"/>
                            <w:szCs w:val="18"/>
                            <w:lang w:val="en-GB"/>
                          </w:rPr>
                        </m:ctrlPr>
                      </m:accPr>
                      <m:e>
                        <m:r>
                          <m:rPr>
                            <m:sty m:val="bi"/>
                          </m:rPr>
                          <w:rPr>
                            <w:rFonts w:ascii="Cambria Math" w:hAnsi="Cambria Math"/>
                            <w:sz w:val="18"/>
                            <w:szCs w:val="18"/>
                            <w:lang w:val="en-GB"/>
                          </w:rPr>
                          <m:t>n</m:t>
                        </m:r>
                      </m:e>
                    </m:acc>
                  </m:den>
                </m:f>
              </m:oMath>
            </m:oMathPara>
          </w:p>
        </w:tc>
        <w:tc>
          <w:tcPr>
            <w:tcW w:w="851" w:type="dxa"/>
          </w:tcPr>
          <w:p w14:paraId="2FF9A758" w14:textId="77777777" w:rsidR="00A606CA" w:rsidRPr="003252F3" w:rsidRDefault="00000000" w:rsidP="00C20534">
            <w:pPr>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sz w:val="18"/>
                <w:szCs w:val="18"/>
                <w:lang w:val="en-GB"/>
              </w:rPr>
            </w:pPr>
            <m:oMathPara>
              <m:oMath>
                <m:sSub>
                  <m:sSubPr>
                    <m:ctrlPr>
                      <w:rPr>
                        <w:rFonts w:ascii="Cambria Math" w:hAnsi="Cambria Math"/>
                        <w:i/>
                        <w:sz w:val="18"/>
                        <w:szCs w:val="18"/>
                        <w:lang w:val="en-GB"/>
                      </w:rPr>
                    </m:ctrlPr>
                  </m:sSubPr>
                  <m:e>
                    <m:r>
                      <m:rPr>
                        <m:sty m:val="bi"/>
                      </m:rPr>
                      <w:rPr>
                        <w:rFonts w:ascii="Cambria Math" w:hAnsi="Cambria Math"/>
                        <w:sz w:val="18"/>
                        <w:szCs w:val="18"/>
                        <w:lang w:val="en-GB"/>
                      </w:rPr>
                      <m:t>m</m:t>
                    </m:r>
                  </m:e>
                  <m:sub>
                    <m:r>
                      <m:rPr>
                        <m:sty m:val="bi"/>
                      </m:rPr>
                      <w:rPr>
                        <w:rFonts w:ascii="Cambria Math" w:hAnsi="Cambria Math"/>
                        <w:sz w:val="18"/>
                        <w:szCs w:val="18"/>
                        <w:lang w:val="en-GB"/>
                      </w:rPr>
                      <m:t>2</m:t>
                    </m:r>
                  </m:sub>
                </m:sSub>
              </m:oMath>
            </m:oMathPara>
          </w:p>
        </w:tc>
        <w:tc>
          <w:tcPr>
            <w:tcW w:w="850" w:type="dxa"/>
          </w:tcPr>
          <w:p w14:paraId="1795A6E0" w14:textId="77777777" w:rsidR="00A606CA" w:rsidRPr="003252F3" w:rsidRDefault="00000000" w:rsidP="00C20534">
            <w:pPr>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sz w:val="18"/>
                <w:szCs w:val="18"/>
                <w:lang w:val="en-GB"/>
              </w:rPr>
            </w:pPr>
            <m:oMathPara>
              <m:oMath>
                <m:sSub>
                  <m:sSubPr>
                    <m:ctrlPr>
                      <w:rPr>
                        <w:rFonts w:ascii="Cambria Math" w:hAnsi="Cambria Math"/>
                        <w:i/>
                        <w:sz w:val="18"/>
                        <w:szCs w:val="18"/>
                        <w:lang w:val="en-GB"/>
                      </w:rPr>
                    </m:ctrlPr>
                  </m:sSubPr>
                  <m:e>
                    <m:r>
                      <m:rPr>
                        <m:sty m:val="bi"/>
                      </m:rPr>
                      <w:rPr>
                        <w:rFonts w:ascii="Cambria Math" w:hAnsi="Cambria Math"/>
                        <w:sz w:val="18"/>
                        <w:szCs w:val="18"/>
                        <w:lang w:val="en-GB"/>
                      </w:rPr>
                      <m:t>m</m:t>
                    </m:r>
                  </m:e>
                  <m:sub>
                    <m:r>
                      <m:rPr>
                        <m:sty m:val="bi"/>
                      </m:rPr>
                      <w:rPr>
                        <w:rFonts w:ascii="Cambria Math" w:hAnsi="Cambria Math"/>
                        <w:sz w:val="18"/>
                        <w:szCs w:val="18"/>
                        <w:lang w:val="en-GB"/>
                      </w:rPr>
                      <m:t>3</m:t>
                    </m:r>
                  </m:sub>
                </m:sSub>
              </m:oMath>
            </m:oMathPara>
          </w:p>
        </w:tc>
        <w:tc>
          <w:tcPr>
            <w:tcW w:w="709" w:type="dxa"/>
          </w:tcPr>
          <w:p w14:paraId="632F92ED" w14:textId="77777777" w:rsidR="00A606CA" w:rsidRPr="003252F3" w:rsidRDefault="00000000" w:rsidP="00C20534">
            <w:pPr>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sz w:val="18"/>
                <w:szCs w:val="18"/>
                <w:lang w:val="en-GB"/>
              </w:rPr>
            </w:pPr>
            <m:oMathPara>
              <m:oMath>
                <m:acc>
                  <m:accPr>
                    <m:ctrlPr>
                      <w:rPr>
                        <w:rFonts w:ascii="Cambria Math" w:hAnsi="Cambria Math"/>
                        <w:i/>
                        <w:sz w:val="18"/>
                        <w:szCs w:val="18"/>
                        <w:lang w:val="en-GB"/>
                      </w:rPr>
                    </m:ctrlPr>
                  </m:accPr>
                  <m:e>
                    <m:sSub>
                      <m:sSubPr>
                        <m:ctrlPr>
                          <w:rPr>
                            <w:rFonts w:ascii="Cambria Math" w:hAnsi="Cambria Math"/>
                            <w:i/>
                            <w:sz w:val="18"/>
                            <w:szCs w:val="18"/>
                            <w:lang w:val="en-GB"/>
                          </w:rPr>
                        </m:ctrlPr>
                      </m:sSubPr>
                      <m:e>
                        <m:r>
                          <m:rPr>
                            <m:sty m:val="bi"/>
                          </m:rPr>
                          <w:rPr>
                            <w:rFonts w:ascii="Cambria Math" w:hAnsi="Cambria Math"/>
                            <w:sz w:val="18"/>
                            <w:szCs w:val="18"/>
                            <w:lang w:val="en-GB"/>
                          </w:rPr>
                          <m:t>P</m:t>
                        </m:r>
                      </m:e>
                      <m:sub>
                        <m:r>
                          <m:rPr>
                            <m:sty m:val="bi"/>
                          </m:rPr>
                          <w:rPr>
                            <w:rFonts w:ascii="Cambria Math" w:hAnsi="Cambria Math"/>
                            <w:sz w:val="18"/>
                            <w:szCs w:val="18"/>
                            <w:lang w:val="en-GB"/>
                          </w:rPr>
                          <m:t>2</m:t>
                        </m:r>
                      </m:sub>
                    </m:sSub>
                  </m:e>
                </m:acc>
                <m:r>
                  <m:rPr>
                    <m:sty m:val="bi"/>
                  </m:rPr>
                  <w:rPr>
                    <w:rFonts w:ascii="Cambria Math" w:hAnsi="Cambria Math"/>
                    <w:sz w:val="18"/>
                    <w:szCs w:val="18"/>
                    <w:lang w:val="en-GB"/>
                  </w:rPr>
                  <m:t>=</m:t>
                </m:r>
                <m:f>
                  <m:fPr>
                    <m:ctrlPr>
                      <w:rPr>
                        <w:rFonts w:ascii="Cambria Math" w:hAnsi="Cambria Math"/>
                        <w:i/>
                        <w:sz w:val="18"/>
                        <w:szCs w:val="18"/>
                        <w:lang w:val="en-GB"/>
                      </w:rPr>
                    </m:ctrlPr>
                  </m:fPr>
                  <m:num>
                    <m:sSub>
                      <m:sSubPr>
                        <m:ctrlPr>
                          <w:rPr>
                            <w:rFonts w:ascii="Cambria Math" w:hAnsi="Cambria Math"/>
                            <w:i/>
                            <w:sz w:val="18"/>
                            <w:szCs w:val="18"/>
                            <w:lang w:val="en-GB"/>
                          </w:rPr>
                        </m:ctrlPr>
                      </m:sSubPr>
                      <m:e>
                        <m:r>
                          <m:rPr>
                            <m:sty m:val="bi"/>
                          </m:rPr>
                          <w:rPr>
                            <w:rFonts w:ascii="Cambria Math" w:hAnsi="Cambria Math"/>
                            <w:sz w:val="18"/>
                            <w:szCs w:val="18"/>
                            <w:lang w:val="en-GB"/>
                          </w:rPr>
                          <m:t>m</m:t>
                        </m:r>
                      </m:e>
                      <m:sub>
                        <m:r>
                          <m:rPr>
                            <m:sty m:val="bi"/>
                          </m:rPr>
                          <w:rPr>
                            <w:rFonts w:ascii="Cambria Math" w:hAnsi="Cambria Math"/>
                            <w:sz w:val="18"/>
                            <w:szCs w:val="18"/>
                            <w:lang w:val="en-GB"/>
                          </w:rPr>
                          <m:t>3</m:t>
                        </m:r>
                      </m:sub>
                    </m:sSub>
                  </m:num>
                  <m:den>
                    <m:sSub>
                      <m:sSubPr>
                        <m:ctrlPr>
                          <w:rPr>
                            <w:rFonts w:ascii="Cambria Math" w:hAnsi="Cambria Math"/>
                            <w:i/>
                            <w:sz w:val="18"/>
                            <w:szCs w:val="18"/>
                            <w:lang w:val="en-GB"/>
                          </w:rPr>
                        </m:ctrlPr>
                      </m:sSubPr>
                      <m:e>
                        <m:r>
                          <m:rPr>
                            <m:sty m:val="bi"/>
                          </m:rPr>
                          <w:rPr>
                            <w:rFonts w:ascii="Cambria Math" w:hAnsi="Cambria Math"/>
                            <w:sz w:val="18"/>
                            <w:szCs w:val="18"/>
                            <w:lang w:val="en-GB"/>
                          </w:rPr>
                          <m:t>m</m:t>
                        </m:r>
                      </m:e>
                      <m:sub>
                        <m:r>
                          <m:rPr>
                            <m:sty m:val="bi"/>
                          </m:rPr>
                          <w:rPr>
                            <w:rFonts w:ascii="Cambria Math" w:hAnsi="Cambria Math"/>
                            <w:sz w:val="18"/>
                            <w:szCs w:val="18"/>
                            <w:lang w:val="en-GB"/>
                          </w:rPr>
                          <m:t>2</m:t>
                        </m:r>
                      </m:sub>
                    </m:sSub>
                  </m:den>
                </m:f>
              </m:oMath>
            </m:oMathPara>
          </w:p>
        </w:tc>
        <w:tc>
          <w:tcPr>
            <w:tcW w:w="567" w:type="dxa"/>
          </w:tcPr>
          <w:p w14:paraId="332466BD" w14:textId="77777777" w:rsidR="00A606CA" w:rsidRPr="008F1372" w:rsidRDefault="00000000" w:rsidP="00C20534">
            <w:pPr>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sz w:val="18"/>
                <w:szCs w:val="18"/>
                <w:lang w:val="en-GB"/>
              </w:rPr>
            </w:pPr>
            <m:oMathPara>
              <m:oMath>
                <m:sSub>
                  <m:sSubPr>
                    <m:ctrlPr>
                      <w:rPr>
                        <w:rFonts w:ascii="Cambria Math" w:hAnsi="Cambria Math"/>
                        <w:i/>
                        <w:sz w:val="18"/>
                        <w:szCs w:val="16"/>
                        <w:lang w:val="en-GB"/>
                      </w:rPr>
                    </m:ctrlPr>
                  </m:sSubPr>
                  <m:e>
                    <m:r>
                      <m:rPr>
                        <m:sty m:val="bi"/>
                      </m:rPr>
                      <w:rPr>
                        <w:rFonts w:ascii="Cambria Math" w:hAnsi="Cambria Math"/>
                        <w:sz w:val="18"/>
                        <w:szCs w:val="16"/>
                        <w:lang w:val="en-GB"/>
                      </w:rPr>
                      <m:t>π</m:t>
                    </m:r>
                  </m:e>
                  <m:sub>
                    <m:r>
                      <m:rPr>
                        <m:sty m:val="bi"/>
                      </m:rPr>
                      <w:rPr>
                        <w:rFonts w:ascii="Cambria Math" w:hAnsi="Cambria Math"/>
                        <w:sz w:val="18"/>
                        <w:szCs w:val="16"/>
                        <w:lang w:val="en-GB"/>
                      </w:rPr>
                      <m:t>m</m:t>
                    </m:r>
                  </m:sub>
                </m:sSub>
              </m:oMath>
            </m:oMathPara>
          </w:p>
        </w:tc>
        <w:tc>
          <w:tcPr>
            <w:tcW w:w="709" w:type="dxa"/>
          </w:tcPr>
          <w:p w14:paraId="168635EE" w14:textId="77777777" w:rsidR="00A606CA" w:rsidRPr="003252F3" w:rsidRDefault="00000000" w:rsidP="00C20534">
            <w:pPr>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sz w:val="18"/>
                <w:szCs w:val="18"/>
                <w:lang w:val="en-GB"/>
              </w:rPr>
            </w:pPr>
            <m:oMathPara>
              <m:oMath>
                <m:acc>
                  <m:accPr>
                    <m:ctrlPr>
                      <w:rPr>
                        <w:rFonts w:ascii="Cambria Math" w:hAnsi="Cambria Math"/>
                        <w:b w:val="0"/>
                        <w:bCs w:val="0"/>
                        <w:i/>
                        <w:sz w:val="18"/>
                        <w:szCs w:val="18"/>
                        <w:lang w:val="en-GB"/>
                      </w:rPr>
                    </m:ctrlPr>
                  </m:accPr>
                  <m:e>
                    <m:r>
                      <m:rPr>
                        <m:sty m:val="bi"/>
                      </m:rPr>
                      <w:rPr>
                        <w:rFonts w:ascii="Cambria Math" w:hAnsi="Cambria Math"/>
                        <w:sz w:val="18"/>
                        <w:szCs w:val="18"/>
                        <w:lang w:val="en-GB"/>
                      </w:rPr>
                      <m:t>d</m:t>
                    </m:r>
                  </m:e>
                </m:acc>
              </m:oMath>
            </m:oMathPara>
          </w:p>
        </w:tc>
        <w:tc>
          <w:tcPr>
            <w:tcW w:w="708" w:type="dxa"/>
          </w:tcPr>
          <w:p w14:paraId="35CFBA10" w14:textId="77777777" w:rsidR="00A606CA" w:rsidRPr="003252F3" w:rsidRDefault="00000000" w:rsidP="00C20534">
            <w:pPr>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sz w:val="18"/>
                <w:szCs w:val="18"/>
                <w:lang w:val="en-GB"/>
              </w:rPr>
            </w:pPr>
            <m:oMathPara>
              <m:oMath>
                <m:acc>
                  <m:accPr>
                    <m:ctrlPr>
                      <w:rPr>
                        <w:rFonts w:ascii="Cambria Math" w:hAnsi="Cambria Math"/>
                        <w:b w:val="0"/>
                        <w:bCs w:val="0"/>
                        <w:i/>
                        <w:sz w:val="18"/>
                        <w:szCs w:val="18"/>
                        <w:lang w:val="en-GB"/>
                      </w:rPr>
                    </m:ctrlPr>
                  </m:accPr>
                  <m:e>
                    <m:r>
                      <m:rPr>
                        <m:sty m:val="bi"/>
                      </m:rPr>
                      <w:rPr>
                        <w:rFonts w:ascii="Cambria Math" w:hAnsi="Cambria Math"/>
                        <w:sz w:val="18"/>
                        <w:szCs w:val="18"/>
                        <w:lang w:val="en-GB"/>
                      </w:rPr>
                      <m:t>l</m:t>
                    </m:r>
                  </m:e>
                </m:acc>
              </m:oMath>
            </m:oMathPara>
          </w:p>
        </w:tc>
        <w:tc>
          <w:tcPr>
            <w:tcW w:w="851" w:type="dxa"/>
          </w:tcPr>
          <w:p w14:paraId="7D21C00A" w14:textId="77777777" w:rsidR="00A606CA" w:rsidRPr="003252F3" w:rsidRDefault="00000000" w:rsidP="00C20534">
            <w:pPr>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sz w:val="18"/>
                <w:szCs w:val="18"/>
                <w:lang w:val="en-GB"/>
              </w:rPr>
            </w:pPr>
            <m:oMathPara>
              <m:oMath>
                <m:acc>
                  <m:accPr>
                    <m:ctrlPr>
                      <w:rPr>
                        <w:rFonts w:ascii="Cambria Math" w:hAnsi="Cambria Math"/>
                        <w:i/>
                        <w:sz w:val="18"/>
                        <w:szCs w:val="18"/>
                        <w:lang w:val="en-GB"/>
                      </w:rPr>
                    </m:ctrlPr>
                  </m:accPr>
                  <m:e>
                    <m:sSub>
                      <m:sSubPr>
                        <m:ctrlPr>
                          <w:rPr>
                            <w:rFonts w:ascii="Cambria Math" w:hAnsi="Cambria Math"/>
                            <w:i/>
                            <w:sz w:val="18"/>
                            <w:szCs w:val="18"/>
                            <w:lang w:val="en-GB"/>
                          </w:rPr>
                        </m:ctrlPr>
                      </m:sSubPr>
                      <m:e>
                        <m:r>
                          <m:rPr>
                            <m:sty m:val="bi"/>
                          </m:rPr>
                          <w:rPr>
                            <w:rFonts w:ascii="Cambria Math" w:hAnsi="Cambria Math"/>
                            <w:sz w:val="18"/>
                            <w:szCs w:val="18"/>
                            <w:lang w:val="en-GB"/>
                          </w:rPr>
                          <m:t>m</m:t>
                        </m:r>
                      </m:e>
                      <m:sub>
                        <m:r>
                          <m:rPr>
                            <m:sty m:val="bi"/>
                          </m:rPr>
                          <w:rPr>
                            <w:rFonts w:ascii="Cambria Math" w:hAnsi="Cambria Math"/>
                            <w:sz w:val="18"/>
                            <w:szCs w:val="18"/>
                            <w:lang w:val="en-GB"/>
                          </w:rPr>
                          <m:t>4</m:t>
                        </m:r>
                      </m:sub>
                    </m:sSub>
                  </m:e>
                </m:acc>
              </m:oMath>
            </m:oMathPara>
          </w:p>
        </w:tc>
        <w:tc>
          <w:tcPr>
            <w:tcW w:w="850" w:type="dxa"/>
          </w:tcPr>
          <w:p w14:paraId="12D143BC" w14:textId="77777777" w:rsidR="00A606CA" w:rsidRPr="003252F3" w:rsidRDefault="00000000" w:rsidP="00C20534">
            <w:pPr>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sz w:val="18"/>
                <w:szCs w:val="18"/>
                <w:lang w:val="en-GB"/>
              </w:rPr>
            </w:pPr>
            <m:oMathPara>
              <m:oMath>
                <m:sSub>
                  <m:sSubPr>
                    <m:ctrlPr>
                      <w:rPr>
                        <w:rFonts w:ascii="Cambria Math" w:hAnsi="Cambria Math"/>
                        <w:i/>
                        <w:sz w:val="18"/>
                        <w:szCs w:val="18"/>
                        <w:lang w:val="en-GB"/>
                      </w:rPr>
                    </m:ctrlPr>
                  </m:sSubPr>
                  <m:e>
                    <m:r>
                      <m:rPr>
                        <m:sty m:val="bi"/>
                      </m:rPr>
                      <w:rPr>
                        <w:rFonts w:ascii="Cambria Math" w:hAnsi="Cambria Math"/>
                        <w:sz w:val="18"/>
                        <w:szCs w:val="18"/>
                        <w:lang w:val="en-GB"/>
                      </w:rPr>
                      <m:t>m</m:t>
                    </m:r>
                  </m:e>
                  <m:sub>
                    <m:r>
                      <m:rPr>
                        <m:sty m:val="bi"/>
                      </m:rPr>
                      <w:rPr>
                        <w:rFonts w:ascii="Cambria Math" w:hAnsi="Cambria Math"/>
                        <w:sz w:val="18"/>
                        <w:szCs w:val="18"/>
                        <w:lang w:val="en-GB"/>
                      </w:rPr>
                      <m:t>5</m:t>
                    </m:r>
                  </m:sub>
                </m:sSub>
              </m:oMath>
            </m:oMathPara>
          </w:p>
        </w:tc>
        <w:tc>
          <w:tcPr>
            <w:tcW w:w="567" w:type="dxa"/>
          </w:tcPr>
          <w:p w14:paraId="01203FC5" w14:textId="77777777" w:rsidR="00A606CA" w:rsidRPr="003252F3" w:rsidRDefault="00000000" w:rsidP="00C20534">
            <w:pPr>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sz w:val="18"/>
                <w:szCs w:val="18"/>
                <w:lang w:val="en-GB"/>
              </w:rPr>
            </w:pPr>
            <m:oMathPara>
              <m:oMath>
                <m:acc>
                  <m:accPr>
                    <m:ctrlPr>
                      <w:rPr>
                        <w:rFonts w:ascii="Cambria Math" w:hAnsi="Cambria Math"/>
                        <w:i/>
                        <w:sz w:val="18"/>
                        <w:szCs w:val="18"/>
                        <w:lang w:val="en-GB"/>
                      </w:rPr>
                    </m:ctrlPr>
                  </m:accPr>
                  <m:e>
                    <m:sSub>
                      <m:sSubPr>
                        <m:ctrlPr>
                          <w:rPr>
                            <w:rFonts w:ascii="Cambria Math" w:hAnsi="Cambria Math"/>
                            <w:i/>
                            <w:sz w:val="18"/>
                            <w:szCs w:val="18"/>
                            <w:lang w:val="en-GB"/>
                          </w:rPr>
                        </m:ctrlPr>
                      </m:sSubPr>
                      <m:e>
                        <m:r>
                          <m:rPr>
                            <m:sty m:val="bi"/>
                          </m:rPr>
                          <w:rPr>
                            <w:rFonts w:ascii="Cambria Math" w:hAnsi="Cambria Math"/>
                            <w:sz w:val="18"/>
                            <w:szCs w:val="18"/>
                            <w:lang w:val="en-GB"/>
                          </w:rPr>
                          <m:t>P</m:t>
                        </m:r>
                      </m:e>
                      <m:sub>
                        <m:r>
                          <m:rPr>
                            <m:sty m:val="bi"/>
                          </m:rPr>
                          <w:rPr>
                            <w:rFonts w:ascii="Cambria Math" w:hAnsi="Cambria Math"/>
                            <w:sz w:val="18"/>
                            <w:szCs w:val="18"/>
                            <w:lang w:val="en-GB"/>
                          </w:rPr>
                          <m:t>3</m:t>
                        </m:r>
                      </m:sub>
                    </m:sSub>
                  </m:e>
                </m:acc>
                <m:r>
                  <m:rPr>
                    <m:sty m:val="bi"/>
                  </m:rPr>
                  <w:rPr>
                    <w:rFonts w:ascii="Cambria Math" w:hAnsi="Cambria Math"/>
                    <w:sz w:val="18"/>
                    <w:szCs w:val="18"/>
                    <w:lang w:val="en-GB"/>
                  </w:rPr>
                  <m:t>=</m:t>
                </m:r>
                <m:f>
                  <m:fPr>
                    <m:ctrlPr>
                      <w:rPr>
                        <w:rFonts w:ascii="Cambria Math" w:hAnsi="Cambria Math"/>
                        <w:i/>
                        <w:sz w:val="18"/>
                        <w:szCs w:val="18"/>
                        <w:lang w:val="en-GB"/>
                      </w:rPr>
                    </m:ctrlPr>
                  </m:fPr>
                  <m:num>
                    <m:sSub>
                      <m:sSubPr>
                        <m:ctrlPr>
                          <w:rPr>
                            <w:rFonts w:ascii="Cambria Math" w:hAnsi="Cambria Math"/>
                            <w:i/>
                            <w:sz w:val="18"/>
                            <w:szCs w:val="18"/>
                            <w:lang w:val="en-GB"/>
                          </w:rPr>
                        </m:ctrlPr>
                      </m:sSubPr>
                      <m:e>
                        <m:r>
                          <m:rPr>
                            <m:sty m:val="bi"/>
                          </m:rPr>
                          <w:rPr>
                            <w:rFonts w:ascii="Cambria Math" w:hAnsi="Cambria Math"/>
                            <w:sz w:val="18"/>
                            <w:szCs w:val="18"/>
                            <w:lang w:val="en-GB"/>
                          </w:rPr>
                          <m:t>m</m:t>
                        </m:r>
                      </m:e>
                      <m:sub>
                        <m:r>
                          <m:rPr>
                            <m:sty m:val="bi"/>
                          </m:rPr>
                          <w:rPr>
                            <w:rFonts w:ascii="Cambria Math" w:hAnsi="Cambria Math"/>
                            <w:sz w:val="18"/>
                            <w:szCs w:val="18"/>
                            <w:lang w:val="en-GB"/>
                          </w:rPr>
                          <m:t>5</m:t>
                        </m:r>
                      </m:sub>
                    </m:sSub>
                  </m:num>
                  <m:den>
                    <m:acc>
                      <m:accPr>
                        <m:ctrlPr>
                          <w:rPr>
                            <w:rFonts w:ascii="Cambria Math" w:hAnsi="Cambria Math"/>
                            <w:i/>
                            <w:sz w:val="18"/>
                            <w:szCs w:val="18"/>
                            <w:lang w:val="en-GB"/>
                          </w:rPr>
                        </m:ctrlPr>
                      </m:accPr>
                      <m:e>
                        <m:sSub>
                          <m:sSubPr>
                            <m:ctrlPr>
                              <w:rPr>
                                <w:rFonts w:ascii="Cambria Math" w:hAnsi="Cambria Math"/>
                                <w:i/>
                                <w:sz w:val="18"/>
                                <w:szCs w:val="18"/>
                                <w:lang w:val="en-GB"/>
                              </w:rPr>
                            </m:ctrlPr>
                          </m:sSubPr>
                          <m:e>
                            <m:r>
                              <m:rPr>
                                <m:sty m:val="bi"/>
                              </m:rPr>
                              <w:rPr>
                                <w:rFonts w:ascii="Cambria Math" w:hAnsi="Cambria Math"/>
                                <w:sz w:val="18"/>
                                <w:szCs w:val="18"/>
                                <w:lang w:val="en-GB"/>
                              </w:rPr>
                              <m:t>m</m:t>
                            </m:r>
                          </m:e>
                          <m:sub>
                            <m:r>
                              <m:rPr>
                                <m:sty m:val="bi"/>
                              </m:rPr>
                              <w:rPr>
                                <w:rFonts w:ascii="Cambria Math" w:hAnsi="Cambria Math"/>
                                <w:sz w:val="18"/>
                                <w:szCs w:val="18"/>
                                <w:lang w:val="en-GB"/>
                              </w:rPr>
                              <m:t>4</m:t>
                            </m:r>
                          </m:sub>
                        </m:sSub>
                      </m:e>
                    </m:acc>
                  </m:den>
                </m:f>
              </m:oMath>
            </m:oMathPara>
          </w:p>
        </w:tc>
        <w:tc>
          <w:tcPr>
            <w:tcW w:w="1418" w:type="dxa"/>
          </w:tcPr>
          <w:p w14:paraId="4D3B0C15" w14:textId="77777777" w:rsidR="00A606CA" w:rsidRPr="003252F3" w:rsidRDefault="00A606CA" w:rsidP="00C20534">
            <w:pPr>
              <w:keepNext/>
              <w:spacing w:line="240" w:lineRule="auto"/>
              <w:cnfStyle w:val="100000000000" w:firstRow="1" w:lastRow="0" w:firstColumn="0" w:lastColumn="0" w:oddVBand="0" w:evenVBand="0" w:oddHBand="0" w:evenHBand="0" w:firstRowFirstColumn="0" w:firstRowLastColumn="0" w:lastRowFirstColumn="0" w:lastRowLastColumn="0"/>
              <w:rPr>
                <w:sz w:val="18"/>
                <w:szCs w:val="18"/>
              </w:rPr>
            </w:pPr>
            <m:oMathPara>
              <m:oMath>
                <m:r>
                  <m:rPr>
                    <m:sty m:val="bi"/>
                  </m:rPr>
                  <w:rPr>
                    <w:rFonts w:ascii="Cambria Math" w:hAnsi="Cambria Math"/>
                    <w:sz w:val="18"/>
                    <w:szCs w:val="18"/>
                    <w:lang w:val="en-GB"/>
                  </w:rPr>
                  <m:t>CR</m:t>
                </m:r>
                <m:sSub>
                  <m:sSubPr>
                    <m:ctrlPr>
                      <w:rPr>
                        <w:rFonts w:ascii="Cambria Math" w:hAnsi="Cambria Math"/>
                        <w:i/>
                        <w:sz w:val="18"/>
                        <w:szCs w:val="18"/>
                        <w:lang w:val="en-GB"/>
                      </w:rPr>
                    </m:ctrlPr>
                  </m:sSubPr>
                  <m:e>
                    <m:r>
                      <m:rPr>
                        <m:sty m:val="bi"/>
                      </m:rPr>
                      <w:rPr>
                        <w:rFonts w:ascii="Cambria Math" w:hAnsi="Cambria Math"/>
                        <w:sz w:val="18"/>
                        <w:szCs w:val="18"/>
                        <w:lang w:val="en-GB"/>
                      </w:rPr>
                      <m:t>R</m:t>
                    </m:r>
                  </m:e>
                  <m:sub>
                    <m:r>
                      <m:rPr>
                        <m:sty m:val="bi"/>
                      </m:rPr>
                      <w:rPr>
                        <w:rFonts w:ascii="Cambria Math" w:hAnsi="Cambria Math"/>
                        <w:sz w:val="18"/>
                        <w:szCs w:val="18"/>
                        <w:lang w:val="en-GB"/>
                      </w:rPr>
                      <m:t>w</m:t>
                    </m:r>
                    <m:r>
                      <m:rPr>
                        <m:sty m:val="bi"/>
                      </m:rPr>
                      <w:rPr>
                        <w:rFonts w:ascii="Cambria Math" w:hAnsi="Cambria Math"/>
                        <w:sz w:val="18"/>
                        <w:szCs w:val="18"/>
                        <w:lang w:val="en-GB"/>
                      </w:rPr>
                      <m:t>12</m:t>
                    </m:r>
                  </m:sub>
                </m:sSub>
                <m:r>
                  <m:rPr>
                    <m:sty m:val="bi"/>
                  </m:rPr>
                  <w:rPr>
                    <w:rFonts w:ascii="Cambria Math" w:hAnsi="Cambria Math"/>
                    <w:sz w:val="18"/>
                    <w:szCs w:val="18"/>
                    <w:lang w:val="en-GB"/>
                  </w:rPr>
                  <m:t>=</m:t>
                </m:r>
                <m:acc>
                  <m:accPr>
                    <m:ctrlPr>
                      <w:rPr>
                        <w:rFonts w:ascii="Cambria Math" w:hAnsi="Cambria Math"/>
                        <w:i/>
                        <w:sz w:val="18"/>
                        <w:szCs w:val="18"/>
                        <w:lang w:val="en-GB"/>
                      </w:rPr>
                    </m:ctrlPr>
                  </m:accPr>
                  <m:e>
                    <m:sSub>
                      <m:sSubPr>
                        <m:ctrlPr>
                          <w:rPr>
                            <w:rFonts w:ascii="Cambria Math" w:hAnsi="Cambria Math"/>
                            <w:i/>
                            <w:sz w:val="18"/>
                            <w:szCs w:val="18"/>
                            <w:lang w:val="en-GB"/>
                          </w:rPr>
                        </m:ctrlPr>
                      </m:sSubPr>
                      <m:e>
                        <m:r>
                          <m:rPr>
                            <m:sty m:val="bi"/>
                          </m:rPr>
                          <w:rPr>
                            <w:rFonts w:ascii="Cambria Math" w:hAnsi="Cambria Math"/>
                            <w:sz w:val="18"/>
                            <w:szCs w:val="18"/>
                            <w:lang w:val="en-GB"/>
                          </w:rPr>
                          <m:t>P</m:t>
                        </m:r>
                      </m:e>
                      <m:sub>
                        <m:r>
                          <m:rPr>
                            <m:sty m:val="bi"/>
                          </m:rPr>
                          <w:rPr>
                            <w:rFonts w:ascii="Cambria Math" w:hAnsi="Cambria Math"/>
                            <w:sz w:val="18"/>
                            <w:szCs w:val="18"/>
                            <w:lang w:val="en-GB"/>
                          </w:rPr>
                          <m:t>1</m:t>
                        </m:r>
                      </m:sub>
                    </m:sSub>
                  </m:e>
                </m:acc>
                <m:r>
                  <m:rPr>
                    <m:sty m:val="bi"/>
                  </m:rPr>
                  <w:rPr>
                    <w:rFonts w:ascii="Cambria Math" w:hAnsi="Cambria Math"/>
                    <w:sz w:val="18"/>
                    <w:szCs w:val="18"/>
                    <w:lang w:val="en-GB"/>
                  </w:rPr>
                  <m:t xml:space="preserve"> x</m:t>
                </m:r>
                <m:acc>
                  <m:accPr>
                    <m:ctrlPr>
                      <w:rPr>
                        <w:rFonts w:ascii="Cambria Math" w:hAnsi="Cambria Math"/>
                        <w:i/>
                        <w:sz w:val="18"/>
                        <w:szCs w:val="18"/>
                        <w:lang w:val="en-GB"/>
                      </w:rPr>
                    </m:ctrlPr>
                  </m:accPr>
                  <m:e>
                    <m:sSub>
                      <m:sSubPr>
                        <m:ctrlPr>
                          <w:rPr>
                            <w:rFonts w:ascii="Cambria Math" w:hAnsi="Cambria Math"/>
                            <w:i/>
                            <w:sz w:val="18"/>
                            <w:szCs w:val="18"/>
                            <w:lang w:val="en-GB"/>
                          </w:rPr>
                        </m:ctrlPr>
                      </m:sSubPr>
                      <m:e>
                        <m:r>
                          <m:rPr>
                            <m:sty m:val="bi"/>
                          </m:rPr>
                          <w:rPr>
                            <w:rFonts w:ascii="Cambria Math" w:hAnsi="Cambria Math"/>
                            <w:sz w:val="18"/>
                            <w:szCs w:val="18"/>
                            <w:lang w:val="en-GB"/>
                          </w:rPr>
                          <m:t xml:space="preserve"> P</m:t>
                        </m:r>
                      </m:e>
                      <m:sub>
                        <m:r>
                          <m:rPr>
                            <m:sty m:val="bi"/>
                          </m:rPr>
                          <w:rPr>
                            <w:rFonts w:ascii="Cambria Math" w:hAnsi="Cambria Math"/>
                            <w:sz w:val="18"/>
                            <w:szCs w:val="18"/>
                            <w:lang w:val="en-GB"/>
                          </w:rPr>
                          <m:t>2</m:t>
                        </m:r>
                      </m:sub>
                    </m:sSub>
                  </m:e>
                </m:acc>
                <m:r>
                  <m:rPr>
                    <m:sty m:val="bi"/>
                  </m:rPr>
                  <w:rPr>
                    <w:rFonts w:ascii="Cambria Math" w:hAnsi="Cambria Math"/>
                    <w:sz w:val="18"/>
                    <w:szCs w:val="18"/>
                    <w:lang w:val="en-GB"/>
                  </w:rPr>
                  <m:t xml:space="preserve"> x </m:t>
                </m:r>
                <m:acc>
                  <m:accPr>
                    <m:ctrlPr>
                      <w:rPr>
                        <w:rFonts w:ascii="Cambria Math" w:hAnsi="Cambria Math"/>
                        <w:i/>
                        <w:sz w:val="18"/>
                        <w:szCs w:val="18"/>
                        <w:lang w:val="en-GB"/>
                      </w:rPr>
                    </m:ctrlPr>
                  </m:accPr>
                  <m:e>
                    <m:sSub>
                      <m:sSubPr>
                        <m:ctrlPr>
                          <w:rPr>
                            <w:rFonts w:ascii="Cambria Math" w:hAnsi="Cambria Math"/>
                            <w:i/>
                            <w:sz w:val="18"/>
                            <w:szCs w:val="18"/>
                            <w:lang w:val="en-GB"/>
                          </w:rPr>
                        </m:ctrlPr>
                      </m:sSubPr>
                      <m:e>
                        <m:r>
                          <m:rPr>
                            <m:sty m:val="bi"/>
                          </m:rPr>
                          <w:rPr>
                            <w:rFonts w:ascii="Cambria Math" w:hAnsi="Cambria Math"/>
                            <w:sz w:val="18"/>
                            <w:szCs w:val="18"/>
                            <w:lang w:val="en-GB"/>
                          </w:rPr>
                          <m:t>P</m:t>
                        </m:r>
                      </m:e>
                      <m:sub>
                        <m:r>
                          <m:rPr>
                            <m:sty m:val="bi"/>
                          </m:rPr>
                          <w:rPr>
                            <w:rFonts w:ascii="Cambria Math" w:hAnsi="Cambria Math"/>
                            <w:sz w:val="18"/>
                            <w:szCs w:val="18"/>
                            <w:lang w:val="en-GB"/>
                          </w:rPr>
                          <m:t>3</m:t>
                        </m:r>
                      </m:sub>
                    </m:sSub>
                  </m:e>
                </m:acc>
                <m:r>
                  <m:rPr>
                    <m:sty m:val="bi"/>
                  </m:rPr>
                  <w:rPr>
                    <w:rFonts w:ascii="Cambria Math" w:hAnsi="Cambria Math"/>
                    <w:sz w:val="18"/>
                    <w:szCs w:val="18"/>
                    <w:lang w:val="en-GB"/>
                  </w:rPr>
                  <m:t xml:space="preserve"> </m:t>
                </m:r>
              </m:oMath>
            </m:oMathPara>
          </w:p>
          <w:p w14:paraId="6D4B5F37" w14:textId="77777777" w:rsidR="00A606CA" w:rsidRPr="003252F3" w:rsidRDefault="00A606CA" w:rsidP="00C20534">
            <w:pPr>
              <w:spacing w:line="240" w:lineRule="auto"/>
              <w:cnfStyle w:val="100000000000" w:firstRow="1" w:lastRow="0" w:firstColumn="0" w:lastColumn="0" w:oddVBand="0" w:evenVBand="0" w:oddHBand="0" w:evenHBand="0" w:firstRowFirstColumn="0" w:firstRowLastColumn="0" w:lastRowFirstColumn="0" w:lastRowLastColumn="0"/>
              <w:rPr>
                <w:rFonts w:eastAsiaTheme="majorEastAsia"/>
                <w:sz w:val="18"/>
                <w:szCs w:val="18"/>
                <w:lang w:val="en-GB"/>
              </w:rPr>
            </w:pPr>
          </w:p>
        </w:tc>
      </w:tr>
      <w:tr w:rsidR="00A606CA" w:rsidRPr="003252F3" w14:paraId="0AE2822C" w14:textId="77777777" w:rsidTr="00C2053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985" w:type="dxa"/>
          </w:tcPr>
          <w:p w14:paraId="6A8770E9" w14:textId="77777777" w:rsidR="00A606CA" w:rsidRPr="003252F3" w:rsidRDefault="00A606CA" w:rsidP="00C20534">
            <w:pPr>
              <w:spacing w:line="240" w:lineRule="auto"/>
              <w:rPr>
                <w:rFonts w:eastAsiaTheme="majorEastAsia"/>
                <w:sz w:val="18"/>
                <w:szCs w:val="18"/>
                <w:lang w:val="en-GB"/>
              </w:rPr>
            </w:pPr>
            <w:r w:rsidRPr="003252F3">
              <w:rPr>
                <w:rFonts w:eastAsiaTheme="majorEastAsia"/>
                <w:sz w:val="18"/>
                <w:szCs w:val="18"/>
                <w:lang w:val="en-GB"/>
              </w:rPr>
              <w:t>General Population Sample (GB)</w:t>
            </w:r>
          </w:p>
        </w:tc>
        <w:tc>
          <w:tcPr>
            <w:tcW w:w="990" w:type="dxa"/>
            <w:vAlign w:val="center"/>
          </w:tcPr>
          <w:p w14:paraId="6903984C"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100,076</w:t>
            </w:r>
          </w:p>
        </w:tc>
        <w:tc>
          <w:tcPr>
            <w:tcW w:w="853" w:type="dxa"/>
            <w:vAlign w:val="center"/>
          </w:tcPr>
          <w:p w14:paraId="49F68CE7"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60,596</w:t>
            </w:r>
          </w:p>
        </w:tc>
        <w:tc>
          <w:tcPr>
            <w:tcW w:w="850" w:type="dxa"/>
            <w:vAlign w:val="center"/>
          </w:tcPr>
          <w:p w14:paraId="128845F9"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0.61</w:t>
            </w:r>
          </w:p>
        </w:tc>
        <w:tc>
          <w:tcPr>
            <w:tcW w:w="851" w:type="dxa"/>
            <w:vAlign w:val="center"/>
          </w:tcPr>
          <w:p w14:paraId="10F122F3"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47,614</w:t>
            </w:r>
          </w:p>
        </w:tc>
        <w:tc>
          <w:tcPr>
            <w:tcW w:w="850" w:type="dxa"/>
            <w:vAlign w:val="center"/>
          </w:tcPr>
          <w:p w14:paraId="0DD66E51"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39,049</w:t>
            </w:r>
          </w:p>
        </w:tc>
        <w:tc>
          <w:tcPr>
            <w:tcW w:w="709" w:type="dxa"/>
            <w:vAlign w:val="center"/>
          </w:tcPr>
          <w:p w14:paraId="7652C914"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0.82</w:t>
            </w:r>
          </w:p>
        </w:tc>
        <w:tc>
          <w:tcPr>
            <w:tcW w:w="567" w:type="dxa"/>
            <w:vAlign w:val="center"/>
          </w:tcPr>
          <w:p w14:paraId="60F8F22F"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0.98</w:t>
            </w:r>
          </w:p>
        </w:tc>
        <w:tc>
          <w:tcPr>
            <w:tcW w:w="709" w:type="dxa"/>
            <w:vAlign w:val="center"/>
          </w:tcPr>
          <w:p w14:paraId="496FE0E5"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2,625</w:t>
            </w:r>
          </w:p>
        </w:tc>
        <w:tc>
          <w:tcPr>
            <w:tcW w:w="708" w:type="dxa"/>
            <w:vAlign w:val="center"/>
          </w:tcPr>
          <w:p w14:paraId="641399A4"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1,031</w:t>
            </w:r>
          </w:p>
        </w:tc>
        <w:tc>
          <w:tcPr>
            <w:tcW w:w="851" w:type="dxa"/>
            <w:vAlign w:val="center"/>
          </w:tcPr>
          <w:p w14:paraId="5EFA0A5C"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34,681</w:t>
            </w:r>
          </w:p>
        </w:tc>
        <w:tc>
          <w:tcPr>
            <w:tcW w:w="850" w:type="dxa"/>
            <w:vAlign w:val="center"/>
          </w:tcPr>
          <w:p w14:paraId="396C46D6"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13,087</w:t>
            </w:r>
          </w:p>
        </w:tc>
        <w:tc>
          <w:tcPr>
            <w:tcW w:w="567" w:type="dxa"/>
            <w:vAlign w:val="center"/>
          </w:tcPr>
          <w:p w14:paraId="09E64A4D"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0.38</w:t>
            </w:r>
          </w:p>
        </w:tc>
        <w:tc>
          <w:tcPr>
            <w:tcW w:w="1418" w:type="dxa"/>
            <w:vAlign w:val="center"/>
          </w:tcPr>
          <w:p w14:paraId="62BD152E"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18.7</w:t>
            </w:r>
          </w:p>
        </w:tc>
      </w:tr>
      <w:tr w:rsidR="00A606CA" w:rsidRPr="003252F3" w14:paraId="4A9F3D8E" w14:textId="77777777" w:rsidTr="00C20534">
        <w:trPr>
          <w:trHeight w:val="537"/>
        </w:trPr>
        <w:tc>
          <w:tcPr>
            <w:cnfStyle w:val="001000000000" w:firstRow="0" w:lastRow="0" w:firstColumn="1" w:lastColumn="0" w:oddVBand="0" w:evenVBand="0" w:oddHBand="0" w:evenHBand="0" w:firstRowFirstColumn="0" w:firstRowLastColumn="0" w:lastRowFirstColumn="0" w:lastRowLastColumn="0"/>
            <w:tcW w:w="1985" w:type="dxa"/>
          </w:tcPr>
          <w:p w14:paraId="2EA87A26" w14:textId="77777777" w:rsidR="00A606CA" w:rsidRPr="003252F3" w:rsidRDefault="00A606CA" w:rsidP="00C20534">
            <w:pPr>
              <w:spacing w:line="240" w:lineRule="auto"/>
              <w:rPr>
                <w:rFonts w:eastAsiaTheme="majorEastAsia"/>
                <w:sz w:val="18"/>
                <w:szCs w:val="18"/>
                <w:lang w:val="en-GB"/>
              </w:rPr>
            </w:pPr>
            <w:r w:rsidRPr="003252F3">
              <w:rPr>
                <w:rFonts w:eastAsiaTheme="majorEastAsia"/>
                <w:sz w:val="18"/>
                <w:szCs w:val="18"/>
                <w:lang w:val="en-GB"/>
              </w:rPr>
              <w:t>General Population Sample (NI)</w:t>
            </w:r>
          </w:p>
        </w:tc>
        <w:tc>
          <w:tcPr>
            <w:tcW w:w="990" w:type="dxa"/>
            <w:vAlign w:val="center"/>
          </w:tcPr>
          <w:p w14:paraId="1062C512"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5,272</w:t>
            </w:r>
          </w:p>
        </w:tc>
        <w:tc>
          <w:tcPr>
            <w:tcW w:w="853" w:type="dxa"/>
            <w:vAlign w:val="center"/>
          </w:tcPr>
          <w:p w14:paraId="382EFF08"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3,351</w:t>
            </w:r>
          </w:p>
        </w:tc>
        <w:tc>
          <w:tcPr>
            <w:tcW w:w="850" w:type="dxa"/>
            <w:vAlign w:val="center"/>
          </w:tcPr>
          <w:p w14:paraId="7DFAB849"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0.64</w:t>
            </w:r>
          </w:p>
        </w:tc>
        <w:tc>
          <w:tcPr>
            <w:tcW w:w="851" w:type="dxa"/>
            <w:vAlign w:val="center"/>
          </w:tcPr>
          <w:p w14:paraId="167CB551"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2,584</w:t>
            </w:r>
          </w:p>
        </w:tc>
        <w:tc>
          <w:tcPr>
            <w:tcW w:w="850" w:type="dxa"/>
            <w:vAlign w:val="center"/>
          </w:tcPr>
          <w:p w14:paraId="4944B460"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1,997</w:t>
            </w:r>
          </w:p>
        </w:tc>
        <w:tc>
          <w:tcPr>
            <w:tcW w:w="709" w:type="dxa"/>
            <w:vAlign w:val="center"/>
          </w:tcPr>
          <w:p w14:paraId="6BC89972"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0.77</w:t>
            </w:r>
          </w:p>
        </w:tc>
        <w:tc>
          <w:tcPr>
            <w:tcW w:w="567" w:type="dxa"/>
            <w:vAlign w:val="center"/>
          </w:tcPr>
          <w:p w14:paraId="09B38AB3"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0.98</w:t>
            </w:r>
          </w:p>
        </w:tc>
        <w:tc>
          <w:tcPr>
            <w:tcW w:w="709" w:type="dxa"/>
            <w:vAlign w:val="center"/>
          </w:tcPr>
          <w:p w14:paraId="47DCB83D"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146</w:t>
            </w:r>
          </w:p>
        </w:tc>
        <w:tc>
          <w:tcPr>
            <w:tcW w:w="708" w:type="dxa"/>
            <w:vAlign w:val="center"/>
          </w:tcPr>
          <w:p w14:paraId="7994D360"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55</w:t>
            </w:r>
          </w:p>
        </w:tc>
        <w:tc>
          <w:tcPr>
            <w:tcW w:w="851" w:type="dxa"/>
            <w:vAlign w:val="center"/>
          </w:tcPr>
          <w:p w14:paraId="5D7DF432"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1,765</w:t>
            </w:r>
          </w:p>
        </w:tc>
        <w:tc>
          <w:tcPr>
            <w:tcW w:w="850" w:type="dxa"/>
            <w:vAlign w:val="center"/>
          </w:tcPr>
          <w:p w14:paraId="440E18C7"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608</w:t>
            </w:r>
          </w:p>
        </w:tc>
        <w:tc>
          <w:tcPr>
            <w:tcW w:w="567" w:type="dxa"/>
            <w:vAlign w:val="center"/>
          </w:tcPr>
          <w:p w14:paraId="6BD9525F"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0.34</w:t>
            </w:r>
          </w:p>
        </w:tc>
        <w:tc>
          <w:tcPr>
            <w:tcW w:w="1418" w:type="dxa"/>
            <w:vAlign w:val="center"/>
          </w:tcPr>
          <w:p w14:paraId="0B39FCAD"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16.9</w:t>
            </w:r>
          </w:p>
        </w:tc>
      </w:tr>
      <w:tr w:rsidR="00A606CA" w:rsidRPr="003252F3" w14:paraId="2CB0867F" w14:textId="77777777" w:rsidTr="00C2053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985" w:type="dxa"/>
          </w:tcPr>
          <w:p w14:paraId="5A096014" w14:textId="77777777" w:rsidR="00A606CA" w:rsidRPr="003252F3" w:rsidRDefault="00A606CA" w:rsidP="00C20534">
            <w:pPr>
              <w:spacing w:line="240" w:lineRule="auto"/>
              <w:rPr>
                <w:rFonts w:eastAsiaTheme="majorEastAsia"/>
                <w:sz w:val="18"/>
                <w:szCs w:val="18"/>
                <w:lang w:val="en-GB"/>
              </w:rPr>
            </w:pPr>
            <w:r w:rsidRPr="003252F3">
              <w:rPr>
                <w:rFonts w:eastAsiaTheme="majorEastAsia"/>
                <w:sz w:val="18"/>
                <w:szCs w:val="18"/>
                <w:lang w:val="en-GB"/>
              </w:rPr>
              <w:t xml:space="preserve">Ethnic Minority Boost </w:t>
            </w:r>
          </w:p>
        </w:tc>
        <w:tc>
          <w:tcPr>
            <w:tcW w:w="990" w:type="dxa"/>
            <w:vAlign w:val="center"/>
          </w:tcPr>
          <w:p w14:paraId="34B7C3E5"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22,718</w:t>
            </w:r>
          </w:p>
        </w:tc>
        <w:tc>
          <w:tcPr>
            <w:tcW w:w="853" w:type="dxa"/>
            <w:vAlign w:val="center"/>
          </w:tcPr>
          <w:p w14:paraId="08E2FFDC"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12,267</w:t>
            </w:r>
          </w:p>
        </w:tc>
        <w:tc>
          <w:tcPr>
            <w:tcW w:w="850" w:type="dxa"/>
            <w:vAlign w:val="center"/>
          </w:tcPr>
          <w:p w14:paraId="077E6255"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0.54</w:t>
            </w:r>
          </w:p>
        </w:tc>
        <w:tc>
          <w:tcPr>
            <w:tcW w:w="851" w:type="dxa"/>
            <w:vAlign w:val="center"/>
          </w:tcPr>
          <w:p w14:paraId="168F0E54"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8,375</w:t>
            </w:r>
          </w:p>
        </w:tc>
        <w:tc>
          <w:tcPr>
            <w:tcW w:w="850" w:type="dxa"/>
            <w:vAlign w:val="center"/>
          </w:tcPr>
          <w:p w14:paraId="09256FE1"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6,019</w:t>
            </w:r>
          </w:p>
        </w:tc>
        <w:tc>
          <w:tcPr>
            <w:tcW w:w="709" w:type="dxa"/>
            <w:vAlign w:val="center"/>
          </w:tcPr>
          <w:p w14:paraId="7C41C986"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0.72</w:t>
            </w:r>
          </w:p>
        </w:tc>
        <w:tc>
          <w:tcPr>
            <w:tcW w:w="567" w:type="dxa"/>
            <w:vAlign w:val="center"/>
          </w:tcPr>
          <w:p w14:paraId="02DD2221"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1.00</w:t>
            </w:r>
          </w:p>
        </w:tc>
        <w:tc>
          <w:tcPr>
            <w:tcW w:w="709" w:type="dxa"/>
            <w:vAlign w:val="center"/>
          </w:tcPr>
          <w:p w14:paraId="7872F69F"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159</w:t>
            </w:r>
          </w:p>
        </w:tc>
        <w:tc>
          <w:tcPr>
            <w:tcW w:w="708" w:type="dxa"/>
            <w:vAlign w:val="center"/>
          </w:tcPr>
          <w:p w14:paraId="6D6C192A"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292</w:t>
            </w:r>
          </w:p>
        </w:tc>
        <w:tc>
          <w:tcPr>
            <w:tcW w:w="851" w:type="dxa"/>
            <w:vAlign w:val="center"/>
          </w:tcPr>
          <w:p w14:paraId="670E4449"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5,544</w:t>
            </w:r>
          </w:p>
        </w:tc>
        <w:tc>
          <w:tcPr>
            <w:tcW w:w="850" w:type="dxa"/>
            <w:vAlign w:val="center"/>
          </w:tcPr>
          <w:p w14:paraId="295E913E"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1,251</w:t>
            </w:r>
          </w:p>
        </w:tc>
        <w:tc>
          <w:tcPr>
            <w:tcW w:w="567" w:type="dxa"/>
            <w:vAlign w:val="center"/>
          </w:tcPr>
          <w:p w14:paraId="2BF6C081"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0.23</w:t>
            </w:r>
          </w:p>
        </w:tc>
        <w:tc>
          <w:tcPr>
            <w:tcW w:w="1418" w:type="dxa"/>
            <w:vAlign w:val="center"/>
          </w:tcPr>
          <w:p w14:paraId="3443EB8E"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8.8</w:t>
            </w:r>
          </w:p>
        </w:tc>
      </w:tr>
      <w:tr w:rsidR="00A606CA" w:rsidRPr="003252F3" w14:paraId="7FEE7B9A" w14:textId="77777777" w:rsidTr="00C20534">
        <w:trPr>
          <w:trHeight w:val="537"/>
        </w:trPr>
        <w:tc>
          <w:tcPr>
            <w:cnfStyle w:val="001000000000" w:firstRow="0" w:lastRow="0" w:firstColumn="1" w:lastColumn="0" w:oddVBand="0" w:evenVBand="0" w:oddHBand="0" w:evenHBand="0" w:firstRowFirstColumn="0" w:firstRowLastColumn="0" w:lastRowFirstColumn="0" w:lastRowLastColumn="0"/>
            <w:tcW w:w="1985" w:type="dxa"/>
          </w:tcPr>
          <w:p w14:paraId="0B247CCC" w14:textId="77777777" w:rsidR="00A606CA" w:rsidRPr="003252F3" w:rsidRDefault="00A606CA" w:rsidP="00C20534">
            <w:pPr>
              <w:spacing w:line="240" w:lineRule="auto"/>
              <w:rPr>
                <w:rFonts w:eastAsiaTheme="majorEastAsia"/>
                <w:sz w:val="18"/>
                <w:szCs w:val="18"/>
                <w:lang w:val="en-GB"/>
              </w:rPr>
            </w:pPr>
            <w:r w:rsidRPr="003252F3">
              <w:rPr>
                <w:rFonts w:eastAsiaTheme="majorEastAsia"/>
                <w:sz w:val="18"/>
                <w:szCs w:val="18"/>
                <w:lang w:val="en-GB"/>
              </w:rPr>
              <w:t xml:space="preserve">Immigration and Ethnic Minority Boost </w:t>
            </w:r>
          </w:p>
        </w:tc>
        <w:tc>
          <w:tcPr>
            <w:tcW w:w="990" w:type="dxa"/>
            <w:vAlign w:val="center"/>
          </w:tcPr>
          <w:p w14:paraId="11D45C9A"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16,400</w:t>
            </w:r>
          </w:p>
        </w:tc>
        <w:tc>
          <w:tcPr>
            <w:tcW w:w="853" w:type="dxa"/>
            <w:vAlign w:val="center"/>
          </w:tcPr>
          <w:p w14:paraId="1AF14628"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7,922</w:t>
            </w:r>
          </w:p>
        </w:tc>
        <w:tc>
          <w:tcPr>
            <w:tcW w:w="850" w:type="dxa"/>
            <w:vAlign w:val="center"/>
          </w:tcPr>
          <w:p w14:paraId="351D2793"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0.48</w:t>
            </w:r>
          </w:p>
        </w:tc>
        <w:tc>
          <w:tcPr>
            <w:tcW w:w="851" w:type="dxa"/>
            <w:vAlign w:val="center"/>
          </w:tcPr>
          <w:p w14:paraId="3A841156"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5,746</w:t>
            </w:r>
          </w:p>
        </w:tc>
        <w:tc>
          <w:tcPr>
            <w:tcW w:w="850" w:type="dxa"/>
            <w:vAlign w:val="center"/>
          </w:tcPr>
          <w:p w14:paraId="7799EF66"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4,123</w:t>
            </w:r>
          </w:p>
        </w:tc>
        <w:tc>
          <w:tcPr>
            <w:tcW w:w="709" w:type="dxa"/>
            <w:vAlign w:val="center"/>
          </w:tcPr>
          <w:p w14:paraId="6782101E"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0.72</w:t>
            </w:r>
          </w:p>
        </w:tc>
        <w:tc>
          <w:tcPr>
            <w:tcW w:w="567" w:type="dxa"/>
            <w:vAlign w:val="center"/>
          </w:tcPr>
          <w:p w14:paraId="03B136AE"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1.00</w:t>
            </w:r>
          </w:p>
        </w:tc>
        <w:tc>
          <w:tcPr>
            <w:tcW w:w="709" w:type="dxa"/>
            <w:vAlign w:val="center"/>
          </w:tcPr>
          <w:p w14:paraId="408B5447"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73</w:t>
            </w:r>
          </w:p>
        </w:tc>
        <w:tc>
          <w:tcPr>
            <w:tcW w:w="708" w:type="dxa"/>
            <w:vAlign w:val="center"/>
          </w:tcPr>
          <w:p w14:paraId="3C2D01EF"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232</w:t>
            </w:r>
          </w:p>
        </w:tc>
        <w:tc>
          <w:tcPr>
            <w:tcW w:w="851" w:type="dxa"/>
            <w:vAlign w:val="center"/>
          </w:tcPr>
          <w:p w14:paraId="25AFF502"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3,818</w:t>
            </w:r>
          </w:p>
        </w:tc>
        <w:tc>
          <w:tcPr>
            <w:tcW w:w="850" w:type="dxa"/>
            <w:vAlign w:val="center"/>
          </w:tcPr>
          <w:p w14:paraId="6A5716A1"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1,023</w:t>
            </w:r>
          </w:p>
        </w:tc>
        <w:tc>
          <w:tcPr>
            <w:tcW w:w="567" w:type="dxa"/>
            <w:vAlign w:val="center"/>
          </w:tcPr>
          <w:p w14:paraId="2A0C1494"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0.27</w:t>
            </w:r>
          </w:p>
        </w:tc>
        <w:tc>
          <w:tcPr>
            <w:tcW w:w="1418" w:type="dxa"/>
            <w:vAlign w:val="center"/>
          </w:tcPr>
          <w:p w14:paraId="2C7E2F6F"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9.3</w:t>
            </w:r>
          </w:p>
        </w:tc>
      </w:tr>
      <w:tr w:rsidR="00A606CA" w:rsidRPr="003252F3" w14:paraId="2EB42E67" w14:textId="77777777" w:rsidTr="00C2053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985" w:type="dxa"/>
          </w:tcPr>
          <w:p w14:paraId="7B08D1AE" w14:textId="77777777" w:rsidR="00A606CA" w:rsidRPr="003252F3" w:rsidRDefault="00A606CA" w:rsidP="00C20534">
            <w:pPr>
              <w:spacing w:line="240" w:lineRule="auto"/>
              <w:rPr>
                <w:rFonts w:eastAsiaTheme="majorEastAsia"/>
                <w:sz w:val="18"/>
                <w:szCs w:val="18"/>
                <w:lang w:val="en-GB"/>
              </w:rPr>
            </w:pPr>
            <w:r w:rsidRPr="003252F3">
              <w:rPr>
                <w:rFonts w:eastAsiaTheme="majorEastAsia"/>
                <w:sz w:val="18"/>
                <w:szCs w:val="18"/>
                <w:lang w:val="en-GB"/>
              </w:rPr>
              <w:t xml:space="preserve">British Household Panel Survey </w:t>
            </w:r>
            <w:r>
              <w:rPr>
                <w:rFonts w:eastAsiaTheme="majorEastAsia"/>
                <w:sz w:val="18"/>
                <w:szCs w:val="18"/>
                <w:lang w:val="en-GB"/>
              </w:rPr>
              <w:t xml:space="preserve">original sample </w:t>
            </w:r>
            <w:r w:rsidRPr="003252F3">
              <w:rPr>
                <w:rFonts w:eastAsiaTheme="majorEastAsia"/>
                <w:sz w:val="18"/>
                <w:szCs w:val="18"/>
                <w:lang w:val="en-GB"/>
              </w:rPr>
              <w:t>(GB)</w:t>
            </w:r>
          </w:p>
        </w:tc>
        <w:tc>
          <w:tcPr>
            <w:tcW w:w="990" w:type="dxa"/>
            <w:vAlign w:val="center"/>
          </w:tcPr>
          <w:p w14:paraId="1C610177"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18,478</w:t>
            </w:r>
          </w:p>
        </w:tc>
        <w:tc>
          <w:tcPr>
            <w:tcW w:w="853" w:type="dxa"/>
            <w:vAlign w:val="center"/>
          </w:tcPr>
          <w:p w14:paraId="5081F271"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13,840</w:t>
            </w:r>
          </w:p>
        </w:tc>
        <w:tc>
          <w:tcPr>
            <w:tcW w:w="850" w:type="dxa"/>
            <w:vAlign w:val="center"/>
          </w:tcPr>
          <w:p w14:paraId="243ECC71"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0.75</w:t>
            </w:r>
          </w:p>
        </w:tc>
        <w:tc>
          <w:tcPr>
            <w:tcW w:w="851" w:type="dxa"/>
            <w:vAlign w:val="center"/>
          </w:tcPr>
          <w:p w14:paraId="1835DA67"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10,745</w:t>
            </w:r>
          </w:p>
        </w:tc>
        <w:tc>
          <w:tcPr>
            <w:tcW w:w="850" w:type="dxa"/>
            <w:vAlign w:val="center"/>
          </w:tcPr>
          <w:p w14:paraId="6508629B"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9,912</w:t>
            </w:r>
          </w:p>
        </w:tc>
        <w:tc>
          <w:tcPr>
            <w:tcW w:w="709" w:type="dxa"/>
            <w:vAlign w:val="center"/>
          </w:tcPr>
          <w:p w14:paraId="0DBBAF33"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0.92</w:t>
            </w:r>
          </w:p>
        </w:tc>
        <w:tc>
          <w:tcPr>
            <w:tcW w:w="567" w:type="dxa"/>
            <w:vAlign w:val="center"/>
          </w:tcPr>
          <w:p w14:paraId="743CF7AA"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0.94</w:t>
            </w:r>
          </w:p>
        </w:tc>
        <w:tc>
          <w:tcPr>
            <w:tcW w:w="709" w:type="dxa"/>
            <w:vAlign w:val="center"/>
          </w:tcPr>
          <w:p w14:paraId="61F6212D"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2,148</w:t>
            </w:r>
          </w:p>
        </w:tc>
        <w:tc>
          <w:tcPr>
            <w:tcW w:w="708" w:type="dxa"/>
            <w:vAlign w:val="center"/>
          </w:tcPr>
          <w:p w14:paraId="3A63B542"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626</w:t>
            </w:r>
          </w:p>
        </w:tc>
        <w:tc>
          <w:tcPr>
            <w:tcW w:w="851" w:type="dxa"/>
            <w:vAlign w:val="center"/>
          </w:tcPr>
          <w:p w14:paraId="1E2D6CC3"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6,553</w:t>
            </w:r>
          </w:p>
        </w:tc>
        <w:tc>
          <w:tcPr>
            <w:tcW w:w="850" w:type="dxa"/>
            <w:vAlign w:val="center"/>
          </w:tcPr>
          <w:p w14:paraId="4FB228C4"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1,979</w:t>
            </w:r>
          </w:p>
        </w:tc>
        <w:tc>
          <w:tcPr>
            <w:tcW w:w="567" w:type="dxa"/>
            <w:vAlign w:val="center"/>
          </w:tcPr>
          <w:p w14:paraId="00D2BC53"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0.30</w:t>
            </w:r>
          </w:p>
        </w:tc>
        <w:tc>
          <w:tcPr>
            <w:tcW w:w="1418" w:type="dxa"/>
            <w:vAlign w:val="center"/>
          </w:tcPr>
          <w:p w14:paraId="2F8F7CD1"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20.9</w:t>
            </w:r>
          </w:p>
        </w:tc>
      </w:tr>
      <w:tr w:rsidR="00A606CA" w:rsidRPr="003252F3" w14:paraId="17E05291" w14:textId="77777777" w:rsidTr="00C20534">
        <w:trPr>
          <w:trHeight w:val="537"/>
        </w:trPr>
        <w:tc>
          <w:tcPr>
            <w:cnfStyle w:val="001000000000" w:firstRow="0" w:lastRow="0" w:firstColumn="1" w:lastColumn="0" w:oddVBand="0" w:evenVBand="0" w:oddHBand="0" w:evenHBand="0" w:firstRowFirstColumn="0" w:firstRowLastColumn="0" w:lastRowFirstColumn="0" w:lastRowLastColumn="0"/>
            <w:tcW w:w="1985" w:type="dxa"/>
          </w:tcPr>
          <w:p w14:paraId="5164E78B" w14:textId="77777777" w:rsidR="00A606CA" w:rsidRPr="003252F3" w:rsidRDefault="00A606CA" w:rsidP="00C20534">
            <w:pPr>
              <w:spacing w:line="240" w:lineRule="auto"/>
              <w:rPr>
                <w:rFonts w:eastAsiaTheme="majorEastAsia"/>
                <w:sz w:val="18"/>
                <w:szCs w:val="18"/>
                <w:lang w:val="en-GB"/>
              </w:rPr>
            </w:pPr>
            <w:r w:rsidRPr="003252F3">
              <w:rPr>
                <w:rFonts w:eastAsiaTheme="majorEastAsia"/>
                <w:sz w:val="18"/>
                <w:szCs w:val="18"/>
                <w:lang w:val="en-GB"/>
              </w:rPr>
              <w:t>British Household Panel Boost (Scotland)</w:t>
            </w:r>
          </w:p>
        </w:tc>
        <w:tc>
          <w:tcPr>
            <w:tcW w:w="990" w:type="dxa"/>
            <w:vAlign w:val="center"/>
          </w:tcPr>
          <w:p w14:paraId="27139195"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5,444</w:t>
            </w:r>
          </w:p>
        </w:tc>
        <w:tc>
          <w:tcPr>
            <w:tcW w:w="853" w:type="dxa"/>
            <w:vAlign w:val="center"/>
          </w:tcPr>
          <w:p w14:paraId="34C4C743"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3,395</w:t>
            </w:r>
          </w:p>
        </w:tc>
        <w:tc>
          <w:tcPr>
            <w:tcW w:w="850" w:type="dxa"/>
            <w:vAlign w:val="center"/>
          </w:tcPr>
          <w:p w14:paraId="7C1D2FC6"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0.62</w:t>
            </w:r>
          </w:p>
        </w:tc>
        <w:tc>
          <w:tcPr>
            <w:tcW w:w="851" w:type="dxa"/>
            <w:vAlign w:val="center"/>
          </w:tcPr>
          <w:p w14:paraId="06BEC85A"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2,671</w:t>
            </w:r>
          </w:p>
        </w:tc>
        <w:tc>
          <w:tcPr>
            <w:tcW w:w="850" w:type="dxa"/>
            <w:vAlign w:val="center"/>
          </w:tcPr>
          <w:p w14:paraId="6018DD44"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2,405</w:t>
            </w:r>
          </w:p>
        </w:tc>
        <w:tc>
          <w:tcPr>
            <w:tcW w:w="709" w:type="dxa"/>
            <w:vAlign w:val="center"/>
          </w:tcPr>
          <w:p w14:paraId="34ED58DD"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0.90</w:t>
            </w:r>
          </w:p>
        </w:tc>
        <w:tc>
          <w:tcPr>
            <w:tcW w:w="567" w:type="dxa"/>
            <w:vAlign w:val="center"/>
          </w:tcPr>
          <w:p w14:paraId="1076E3FD"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0.95</w:t>
            </w:r>
          </w:p>
        </w:tc>
        <w:tc>
          <w:tcPr>
            <w:tcW w:w="709" w:type="dxa"/>
            <w:vAlign w:val="center"/>
          </w:tcPr>
          <w:p w14:paraId="3C152240"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335</w:t>
            </w:r>
          </w:p>
        </w:tc>
        <w:tc>
          <w:tcPr>
            <w:tcW w:w="708" w:type="dxa"/>
            <w:vAlign w:val="center"/>
          </w:tcPr>
          <w:p w14:paraId="11CFB3B7"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192</w:t>
            </w:r>
          </w:p>
        </w:tc>
        <w:tc>
          <w:tcPr>
            <w:tcW w:w="851" w:type="dxa"/>
            <w:vAlign w:val="center"/>
          </w:tcPr>
          <w:p w14:paraId="682E2B60"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1,763</w:t>
            </w:r>
          </w:p>
        </w:tc>
        <w:tc>
          <w:tcPr>
            <w:tcW w:w="850" w:type="dxa"/>
            <w:vAlign w:val="center"/>
          </w:tcPr>
          <w:p w14:paraId="4E42EF0C"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470</w:t>
            </w:r>
          </w:p>
        </w:tc>
        <w:tc>
          <w:tcPr>
            <w:tcW w:w="567" w:type="dxa"/>
            <w:vAlign w:val="center"/>
          </w:tcPr>
          <w:p w14:paraId="78D96BC8"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0.27</w:t>
            </w:r>
          </w:p>
        </w:tc>
        <w:tc>
          <w:tcPr>
            <w:tcW w:w="1418" w:type="dxa"/>
            <w:vAlign w:val="center"/>
          </w:tcPr>
          <w:p w14:paraId="4808E259"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15.0</w:t>
            </w:r>
          </w:p>
        </w:tc>
      </w:tr>
      <w:tr w:rsidR="00A606CA" w:rsidRPr="003252F3" w14:paraId="29E2C84B" w14:textId="77777777" w:rsidTr="00C2053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985" w:type="dxa"/>
          </w:tcPr>
          <w:p w14:paraId="13CC3D2D" w14:textId="77777777" w:rsidR="00A606CA" w:rsidRPr="003252F3" w:rsidRDefault="00A606CA" w:rsidP="00C20534">
            <w:pPr>
              <w:spacing w:line="240" w:lineRule="auto"/>
              <w:rPr>
                <w:rFonts w:eastAsiaTheme="majorEastAsia"/>
                <w:sz w:val="18"/>
                <w:szCs w:val="18"/>
                <w:lang w:val="en-GB"/>
              </w:rPr>
            </w:pPr>
            <w:r w:rsidRPr="003252F3">
              <w:rPr>
                <w:rFonts w:eastAsiaTheme="majorEastAsia"/>
                <w:sz w:val="18"/>
                <w:szCs w:val="18"/>
                <w:lang w:val="en-GB"/>
              </w:rPr>
              <w:t>British Household Panel Boost (Wales)</w:t>
            </w:r>
          </w:p>
        </w:tc>
        <w:tc>
          <w:tcPr>
            <w:tcW w:w="990" w:type="dxa"/>
            <w:vAlign w:val="center"/>
          </w:tcPr>
          <w:p w14:paraId="1D53992D"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5,180</w:t>
            </w:r>
          </w:p>
        </w:tc>
        <w:tc>
          <w:tcPr>
            <w:tcW w:w="853" w:type="dxa"/>
            <w:vAlign w:val="center"/>
          </w:tcPr>
          <w:p w14:paraId="2B28252C"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3,577</w:t>
            </w:r>
          </w:p>
        </w:tc>
        <w:tc>
          <w:tcPr>
            <w:tcW w:w="850" w:type="dxa"/>
            <w:vAlign w:val="center"/>
          </w:tcPr>
          <w:p w14:paraId="3E26C9F3"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0.69</w:t>
            </w:r>
          </w:p>
        </w:tc>
        <w:tc>
          <w:tcPr>
            <w:tcW w:w="851" w:type="dxa"/>
            <w:vAlign w:val="center"/>
          </w:tcPr>
          <w:p w14:paraId="711E3542"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2,770</w:t>
            </w:r>
          </w:p>
        </w:tc>
        <w:tc>
          <w:tcPr>
            <w:tcW w:w="850" w:type="dxa"/>
            <w:vAlign w:val="center"/>
          </w:tcPr>
          <w:p w14:paraId="2EEE17D8"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2,430</w:t>
            </w:r>
          </w:p>
        </w:tc>
        <w:tc>
          <w:tcPr>
            <w:tcW w:w="709" w:type="dxa"/>
            <w:vAlign w:val="center"/>
          </w:tcPr>
          <w:p w14:paraId="7F157E79"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0.88</w:t>
            </w:r>
          </w:p>
        </w:tc>
        <w:tc>
          <w:tcPr>
            <w:tcW w:w="567" w:type="dxa"/>
            <w:vAlign w:val="center"/>
          </w:tcPr>
          <w:p w14:paraId="76A1F352"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0.94</w:t>
            </w:r>
          </w:p>
        </w:tc>
        <w:tc>
          <w:tcPr>
            <w:tcW w:w="709" w:type="dxa"/>
            <w:vAlign w:val="center"/>
          </w:tcPr>
          <w:p w14:paraId="3E008B4C"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376</w:t>
            </w:r>
          </w:p>
        </w:tc>
        <w:tc>
          <w:tcPr>
            <w:tcW w:w="708" w:type="dxa"/>
            <w:vAlign w:val="center"/>
          </w:tcPr>
          <w:p w14:paraId="35ECBBDA"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192</w:t>
            </w:r>
          </w:p>
        </w:tc>
        <w:tc>
          <w:tcPr>
            <w:tcW w:w="851" w:type="dxa"/>
            <w:vAlign w:val="center"/>
          </w:tcPr>
          <w:p w14:paraId="55EF5A7C"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1,724</w:t>
            </w:r>
          </w:p>
        </w:tc>
        <w:tc>
          <w:tcPr>
            <w:tcW w:w="850" w:type="dxa"/>
            <w:vAlign w:val="center"/>
          </w:tcPr>
          <w:p w14:paraId="5A6F1B0A"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544</w:t>
            </w:r>
          </w:p>
        </w:tc>
        <w:tc>
          <w:tcPr>
            <w:tcW w:w="567" w:type="dxa"/>
            <w:vAlign w:val="center"/>
          </w:tcPr>
          <w:p w14:paraId="736D4039"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0.32</w:t>
            </w:r>
          </w:p>
        </w:tc>
        <w:tc>
          <w:tcPr>
            <w:tcW w:w="1418" w:type="dxa"/>
            <w:vAlign w:val="center"/>
          </w:tcPr>
          <w:p w14:paraId="4145B2A2"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19.1</w:t>
            </w:r>
          </w:p>
        </w:tc>
      </w:tr>
      <w:tr w:rsidR="00A606CA" w:rsidRPr="003252F3" w14:paraId="0F13E8A0" w14:textId="77777777" w:rsidTr="00C20534">
        <w:trPr>
          <w:trHeight w:val="537"/>
        </w:trPr>
        <w:tc>
          <w:tcPr>
            <w:cnfStyle w:val="001000000000" w:firstRow="0" w:lastRow="0" w:firstColumn="1" w:lastColumn="0" w:oddVBand="0" w:evenVBand="0" w:oddHBand="0" w:evenHBand="0" w:firstRowFirstColumn="0" w:firstRowLastColumn="0" w:lastRowFirstColumn="0" w:lastRowLastColumn="0"/>
            <w:tcW w:w="1985" w:type="dxa"/>
          </w:tcPr>
          <w:p w14:paraId="7C2ABE1C" w14:textId="77777777" w:rsidR="00A606CA" w:rsidRPr="003252F3" w:rsidRDefault="00A606CA" w:rsidP="00C20534">
            <w:pPr>
              <w:spacing w:line="240" w:lineRule="auto"/>
              <w:rPr>
                <w:rFonts w:eastAsiaTheme="majorEastAsia"/>
                <w:sz w:val="18"/>
                <w:szCs w:val="18"/>
                <w:lang w:val="en-GB"/>
              </w:rPr>
            </w:pPr>
            <w:r>
              <w:rPr>
                <w:rFonts w:eastAsiaTheme="majorEastAsia"/>
                <w:sz w:val="18"/>
                <w:szCs w:val="18"/>
                <w:lang w:val="en-GB"/>
              </w:rPr>
              <w:t>Northern Ireland Household Panel</w:t>
            </w:r>
          </w:p>
        </w:tc>
        <w:tc>
          <w:tcPr>
            <w:tcW w:w="990" w:type="dxa"/>
            <w:vAlign w:val="center"/>
          </w:tcPr>
          <w:p w14:paraId="0ECC2259"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7,761</w:t>
            </w:r>
          </w:p>
        </w:tc>
        <w:tc>
          <w:tcPr>
            <w:tcW w:w="853" w:type="dxa"/>
            <w:vAlign w:val="center"/>
          </w:tcPr>
          <w:p w14:paraId="484E72A5"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5,188</w:t>
            </w:r>
          </w:p>
        </w:tc>
        <w:tc>
          <w:tcPr>
            <w:tcW w:w="850" w:type="dxa"/>
            <w:vAlign w:val="center"/>
          </w:tcPr>
          <w:p w14:paraId="0490F445"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0.67</w:t>
            </w:r>
          </w:p>
        </w:tc>
        <w:tc>
          <w:tcPr>
            <w:tcW w:w="851" w:type="dxa"/>
            <w:vAlign w:val="center"/>
          </w:tcPr>
          <w:p w14:paraId="47F7A3C1"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3,897</w:t>
            </w:r>
          </w:p>
        </w:tc>
        <w:tc>
          <w:tcPr>
            <w:tcW w:w="850" w:type="dxa"/>
            <w:vAlign w:val="center"/>
          </w:tcPr>
          <w:p w14:paraId="0251EECC"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3,258</w:t>
            </w:r>
          </w:p>
        </w:tc>
        <w:tc>
          <w:tcPr>
            <w:tcW w:w="709" w:type="dxa"/>
            <w:vAlign w:val="center"/>
          </w:tcPr>
          <w:p w14:paraId="1C42A6C2"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0.84</w:t>
            </w:r>
          </w:p>
        </w:tc>
        <w:tc>
          <w:tcPr>
            <w:tcW w:w="567" w:type="dxa"/>
            <w:vAlign w:val="center"/>
          </w:tcPr>
          <w:p w14:paraId="44041F1E"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0.97</w:t>
            </w:r>
          </w:p>
        </w:tc>
        <w:tc>
          <w:tcPr>
            <w:tcW w:w="709" w:type="dxa"/>
            <w:vAlign w:val="center"/>
          </w:tcPr>
          <w:p w14:paraId="6D2AAD0B"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352</w:t>
            </w:r>
          </w:p>
        </w:tc>
        <w:tc>
          <w:tcPr>
            <w:tcW w:w="708" w:type="dxa"/>
            <w:vAlign w:val="center"/>
          </w:tcPr>
          <w:p w14:paraId="193D7576"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217</w:t>
            </w:r>
          </w:p>
        </w:tc>
        <w:tc>
          <w:tcPr>
            <w:tcW w:w="851" w:type="dxa"/>
            <w:vAlign w:val="center"/>
          </w:tcPr>
          <w:p w14:paraId="65CFEA16"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2,598</w:t>
            </w:r>
          </w:p>
        </w:tc>
        <w:tc>
          <w:tcPr>
            <w:tcW w:w="850" w:type="dxa"/>
            <w:vAlign w:val="center"/>
          </w:tcPr>
          <w:p w14:paraId="74542D00"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632</w:t>
            </w:r>
          </w:p>
        </w:tc>
        <w:tc>
          <w:tcPr>
            <w:tcW w:w="567" w:type="dxa"/>
            <w:vAlign w:val="center"/>
          </w:tcPr>
          <w:p w14:paraId="5C4F3F20"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0.24</w:t>
            </w:r>
          </w:p>
        </w:tc>
        <w:tc>
          <w:tcPr>
            <w:tcW w:w="1418" w:type="dxa"/>
            <w:vAlign w:val="center"/>
          </w:tcPr>
          <w:p w14:paraId="67359EA4" w14:textId="77777777" w:rsidR="00A606CA" w:rsidRPr="00D33481" w:rsidRDefault="00A606CA" w:rsidP="00C20534">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heme="majorEastAsia"/>
                <w:sz w:val="18"/>
                <w:szCs w:val="18"/>
                <w:lang w:val="en-GB"/>
              </w:rPr>
            </w:pPr>
            <w:r w:rsidRPr="00D33481">
              <w:rPr>
                <w:sz w:val="18"/>
                <w:szCs w:val="18"/>
              </w:rPr>
              <w:t>13.6</w:t>
            </w:r>
          </w:p>
        </w:tc>
      </w:tr>
      <w:tr w:rsidR="00A606CA" w:rsidRPr="003252F3" w14:paraId="5BEDABF2" w14:textId="77777777" w:rsidTr="00C2053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985" w:type="dxa"/>
          </w:tcPr>
          <w:p w14:paraId="09CFFCF3" w14:textId="77777777" w:rsidR="00A606CA" w:rsidRDefault="00A606CA" w:rsidP="00C20534">
            <w:pPr>
              <w:spacing w:line="240" w:lineRule="auto"/>
              <w:rPr>
                <w:rFonts w:eastAsiaTheme="majorEastAsia"/>
                <w:sz w:val="18"/>
                <w:szCs w:val="18"/>
                <w:lang w:val="en-GB"/>
              </w:rPr>
            </w:pPr>
            <w:r>
              <w:rPr>
                <w:rFonts w:eastAsiaTheme="majorEastAsia"/>
                <w:sz w:val="18"/>
                <w:szCs w:val="18"/>
                <w:lang w:val="en-GB"/>
              </w:rPr>
              <w:t>Total</w:t>
            </w:r>
          </w:p>
        </w:tc>
        <w:tc>
          <w:tcPr>
            <w:tcW w:w="990" w:type="dxa"/>
            <w:vAlign w:val="center"/>
          </w:tcPr>
          <w:p w14:paraId="0B2799F2"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181,329</w:t>
            </w:r>
          </w:p>
        </w:tc>
        <w:tc>
          <w:tcPr>
            <w:tcW w:w="853" w:type="dxa"/>
            <w:vAlign w:val="center"/>
          </w:tcPr>
          <w:p w14:paraId="09499E14"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110,136</w:t>
            </w:r>
          </w:p>
        </w:tc>
        <w:tc>
          <w:tcPr>
            <w:tcW w:w="850" w:type="dxa"/>
            <w:vAlign w:val="center"/>
          </w:tcPr>
          <w:p w14:paraId="68420B7A"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0.61</w:t>
            </w:r>
          </w:p>
        </w:tc>
        <w:tc>
          <w:tcPr>
            <w:tcW w:w="851" w:type="dxa"/>
            <w:vAlign w:val="center"/>
          </w:tcPr>
          <w:p w14:paraId="48BF3996"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84,402</w:t>
            </w:r>
          </w:p>
        </w:tc>
        <w:tc>
          <w:tcPr>
            <w:tcW w:w="850" w:type="dxa"/>
            <w:vAlign w:val="center"/>
          </w:tcPr>
          <w:p w14:paraId="6B110967"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69,193</w:t>
            </w:r>
          </w:p>
        </w:tc>
        <w:tc>
          <w:tcPr>
            <w:tcW w:w="709" w:type="dxa"/>
            <w:vAlign w:val="center"/>
          </w:tcPr>
          <w:p w14:paraId="07A2B36D"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0.82</w:t>
            </w:r>
          </w:p>
        </w:tc>
        <w:tc>
          <w:tcPr>
            <w:tcW w:w="567" w:type="dxa"/>
            <w:vAlign w:val="center"/>
          </w:tcPr>
          <w:p w14:paraId="07CA0B95"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 </w:t>
            </w:r>
          </w:p>
        </w:tc>
        <w:tc>
          <w:tcPr>
            <w:tcW w:w="709" w:type="dxa"/>
            <w:vAlign w:val="center"/>
          </w:tcPr>
          <w:p w14:paraId="6D2B0255"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 </w:t>
            </w:r>
          </w:p>
        </w:tc>
        <w:tc>
          <w:tcPr>
            <w:tcW w:w="708" w:type="dxa"/>
            <w:vAlign w:val="center"/>
          </w:tcPr>
          <w:p w14:paraId="2605615B"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 </w:t>
            </w:r>
          </w:p>
        </w:tc>
        <w:tc>
          <w:tcPr>
            <w:tcW w:w="851" w:type="dxa"/>
            <w:vAlign w:val="center"/>
          </w:tcPr>
          <w:p w14:paraId="377497E2"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58,447</w:t>
            </w:r>
          </w:p>
        </w:tc>
        <w:tc>
          <w:tcPr>
            <w:tcW w:w="850" w:type="dxa"/>
            <w:vAlign w:val="center"/>
          </w:tcPr>
          <w:p w14:paraId="0EF378F2"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19,594</w:t>
            </w:r>
          </w:p>
        </w:tc>
        <w:tc>
          <w:tcPr>
            <w:tcW w:w="567" w:type="dxa"/>
            <w:vAlign w:val="center"/>
          </w:tcPr>
          <w:p w14:paraId="2D73861A"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0.34</w:t>
            </w:r>
          </w:p>
        </w:tc>
        <w:tc>
          <w:tcPr>
            <w:tcW w:w="1418" w:type="dxa"/>
            <w:vAlign w:val="center"/>
          </w:tcPr>
          <w:p w14:paraId="43EC5109" w14:textId="77777777" w:rsidR="00A606CA" w:rsidRPr="00D33481" w:rsidRDefault="00A606CA" w:rsidP="00C20534">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heme="majorEastAsia"/>
                <w:sz w:val="18"/>
                <w:szCs w:val="18"/>
                <w:lang w:val="en-GB"/>
              </w:rPr>
            </w:pPr>
            <w:r w:rsidRPr="00D33481">
              <w:rPr>
                <w:sz w:val="18"/>
                <w:szCs w:val="18"/>
              </w:rPr>
              <w:t>16.7</w:t>
            </w:r>
          </w:p>
        </w:tc>
      </w:tr>
    </w:tbl>
    <w:p w14:paraId="6970C352" w14:textId="2E9DACFF" w:rsidR="00A606CA" w:rsidRDefault="00A606CA" w:rsidP="001512AC">
      <w:pPr>
        <w:pStyle w:val="NoSpacing"/>
        <w:rPr>
          <w:rFonts w:eastAsiaTheme="majorEastAsia"/>
          <w:b/>
          <w:bCs/>
          <w:lang w:val="en-GB"/>
        </w:rPr>
      </w:pPr>
      <w:r w:rsidRPr="001512AC">
        <w:rPr>
          <w:rFonts w:eastAsiaTheme="majorEastAsia"/>
          <w:sz w:val="20"/>
          <w:szCs w:val="20"/>
          <w:lang w:val="en-GB"/>
        </w:rPr>
        <w:t>Note</w:t>
      </w:r>
      <w:r w:rsidR="00F63EAC">
        <w:rPr>
          <w:rFonts w:eastAsiaTheme="majorEastAsia"/>
          <w:sz w:val="20"/>
          <w:szCs w:val="20"/>
          <w:lang w:val="en-GB"/>
        </w:rPr>
        <w:t xml:space="preserve"> – </w:t>
      </w:r>
      <w:r w:rsidRPr="001512AC">
        <w:rPr>
          <w:rFonts w:eastAsiaTheme="majorEastAsia"/>
          <w:sz w:val="20"/>
          <w:szCs w:val="20"/>
          <w:lang w:val="en-GB"/>
        </w:rPr>
        <w:t xml:space="preserve">The Great Britain and Northern Ireland General Population Samples and the Ethnic Minority Boost were recruited in 2009 at the initial wave of </w:t>
      </w:r>
      <w:r w:rsidRPr="001512AC">
        <w:rPr>
          <w:rFonts w:eastAsiaTheme="majorEastAsia"/>
          <w:i/>
          <w:iCs/>
          <w:sz w:val="20"/>
          <w:szCs w:val="20"/>
          <w:lang w:val="en-GB"/>
        </w:rPr>
        <w:t xml:space="preserve">Understanding Society. </w:t>
      </w:r>
      <w:r w:rsidRPr="001512AC">
        <w:rPr>
          <w:rFonts w:eastAsiaTheme="majorEastAsia"/>
          <w:sz w:val="20"/>
          <w:szCs w:val="20"/>
          <w:lang w:val="en-GB"/>
        </w:rPr>
        <w:t xml:space="preserve">The Immigration and Ethnic Minority Boost was recruited in wave six (2014-16). The BHPS original sample was selected in 1991; the BHPS Scottish and Welsh boost samples were recruited in 1999, and the Northern Ireland Household Panel was first interviewed in 2001. The BHPS and NHIS samples were added to </w:t>
      </w:r>
      <w:r w:rsidRPr="001512AC">
        <w:rPr>
          <w:rFonts w:eastAsiaTheme="majorEastAsia"/>
          <w:i/>
          <w:iCs/>
          <w:sz w:val="20"/>
          <w:szCs w:val="20"/>
          <w:lang w:val="en-GB"/>
        </w:rPr>
        <w:t>Understanding Society</w:t>
      </w:r>
      <w:r w:rsidRPr="001512AC">
        <w:rPr>
          <w:rFonts w:eastAsiaTheme="majorEastAsia"/>
          <w:sz w:val="20"/>
          <w:szCs w:val="20"/>
          <w:lang w:val="en-GB"/>
        </w:rPr>
        <w:t xml:space="preserve"> in wave 2 (2010-12). </w:t>
      </w:r>
      <w:r>
        <w:rPr>
          <w:lang w:val="en-GB"/>
        </w:rPr>
        <w:br w:type="page"/>
      </w:r>
    </w:p>
    <w:p w14:paraId="1FA6DEFA" w14:textId="77777777" w:rsidR="00A606CA" w:rsidRDefault="00A606CA">
      <w:pPr>
        <w:pStyle w:val="Heading1"/>
        <w:rPr>
          <w:lang w:val="en-GB"/>
        </w:rPr>
        <w:sectPr w:rsidR="00A606CA" w:rsidSect="001512AC">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1440" w:bottom="1440" w:left="1440" w:header="720" w:footer="720" w:gutter="0"/>
          <w:cols w:space="720"/>
          <w:docGrid w:linePitch="360"/>
        </w:sectPr>
      </w:pPr>
    </w:p>
    <w:p w14:paraId="3A0D2A03" w14:textId="547609D6" w:rsidR="003F78A0" w:rsidRDefault="003F78A0" w:rsidP="003F78A0">
      <w:pPr>
        <w:pStyle w:val="Heading1"/>
        <w:rPr>
          <w:lang w:val="en-GB"/>
        </w:rPr>
      </w:pPr>
      <w:bookmarkStart w:id="5" w:name="_Toc183429648"/>
      <w:r>
        <w:rPr>
          <w:lang w:val="en-GB"/>
        </w:rPr>
        <w:lastRenderedPageBreak/>
        <w:t>Online Appendix B. Incentive Strategy at Understanding Society</w:t>
      </w:r>
      <w:bookmarkStart w:id="6" w:name="_Ref107322010"/>
      <w:bookmarkEnd w:id="5"/>
    </w:p>
    <w:p w14:paraId="108C4DD5" w14:textId="5A9F0B7F" w:rsidR="003F78A0" w:rsidRPr="001512AC" w:rsidRDefault="003F78A0" w:rsidP="001512AC">
      <w:pPr>
        <w:rPr>
          <w:lang w:val="en-GB"/>
        </w:rPr>
      </w:pPr>
      <w:r>
        <w:rPr>
          <w:lang w:val="en-GB"/>
        </w:rPr>
        <w:t xml:space="preserve">This Online Appendix presents a table summarising the incentive strategy of </w:t>
      </w:r>
      <w:r w:rsidRPr="001512AC">
        <w:rPr>
          <w:i/>
          <w:iCs/>
          <w:lang w:val="en-GB"/>
        </w:rPr>
        <w:t>Understanding Society</w:t>
      </w:r>
      <w:r>
        <w:rPr>
          <w:lang w:val="en-GB"/>
        </w:rPr>
        <w:t xml:space="preserve"> at wave 12. The modifications introduced in this strategy by the experiment are shown in Table 1 of the article.</w:t>
      </w:r>
      <w:bookmarkEnd w:id="6"/>
    </w:p>
    <w:p w14:paraId="6AFD1FBE" w14:textId="3D927234" w:rsidR="003F78A0" w:rsidRDefault="003F78A0" w:rsidP="001512AC">
      <w:pPr>
        <w:pStyle w:val="Caption"/>
        <w:keepNext/>
      </w:pPr>
      <w:r>
        <w:t>Table A</w:t>
      </w:r>
      <w:fldSimple w:instr=" SEQ Table_A \* ARABIC ">
        <w:r>
          <w:rPr>
            <w:noProof/>
          </w:rPr>
          <w:t>3</w:t>
        </w:r>
      </w:fldSimple>
      <w:r>
        <w:t xml:space="preserve">. </w:t>
      </w:r>
      <w:r w:rsidRPr="00A46DA1">
        <w:t>Incentive strategy in wave 12 of Understanding Society</w:t>
      </w:r>
    </w:p>
    <w:tbl>
      <w:tblPr>
        <w:tblStyle w:val="TableGrid"/>
        <w:tblW w:w="884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1985"/>
        <w:gridCol w:w="1985"/>
        <w:gridCol w:w="1985"/>
      </w:tblGrid>
      <w:tr w:rsidR="003F78A0" w14:paraId="4BD2667E" w14:textId="77777777" w:rsidTr="00C20534">
        <w:tc>
          <w:tcPr>
            <w:tcW w:w="2890" w:type="dxa"/>
            <w:tcBorders>
              <w:bottom w:val="single" w:sz="4" w:space="0" w:color="auto"/>
            </w:tcBorders>
            <w:shd w:val="clear" w:color="auto" w:fill="auto"/>
            <w:vAlign w:val="center"/>
          </w:tcPr>
          <w:p w14:paraId="7192ADE2" w14:textId="77777777" w:rsidR="003F78A0" w:rsidRPr="00804EAA" w:rsidRDefault="003F78A0" w:rsidP="00C20534">
            <w:pPr>
              <w:spacing w:line="240" w:lineRule="auto"/>
              <w:jc w:val="left"/>
              <w:rPr>
                <w:b/>
                <w:bCs/>
                <w:lang w:val="en-GB"/>
              </w:rPr>
            </w:pPr>
            <w:r w:rsidRPr="00804EAA">
              <w:rPr>
                <w:b/>
                <w:bCs/>
                <w:sz w:val="22"/>
                <w:lang w:val="en-GB"/>
              </w:rPr>
              <w:t>Previous wave household outcome:</w:t>
            </w:r>
          </w:p>
        </w:tc>
        <w:tc>
          <w:tcPr>
            <w:tcW w:w="3970" w:type="dxa"/>
            <w:gridSpan w:val="2"/>
            <w:tcBorders>
              <w:bottom w:val="single" w:sz="4" w:space="0" w:color="auto"/>
            </w:tcBorders>
            <w:vAlign w:val="center"/>
          </w:tcPr>
          <w:p w14:paraId="23259836" w14:textId="77777777" w:rsidR="003F78A0" w:rsidRPr="00804EAA" w:rsidRDefault="003F78A0" w:rsidP="00C20534">
            <w:pPr>
              <w:spacing w:line="240" w:lineRule="auto"/>
              <w:jc w:val="center"/>
              <w:rPr>
                <w:b/>
                <w:bCs/>
                <w:lang w:val="en-GB"/>
              </w:rPr>
            </w:pPr>
            <w:r w:rsidRPr="00804EAA">
              <w:rPr>
                <w:b/>
                <w:bCs/>
                <w:sz w:val="22"/>
                <w:lang w:val="en-GB"/>
              </w:rPr>
              <w:t>Responding household</w:t>
            </w:r>
          </w:p>
        </w:tc>
        <w:tc>
          <w:tcPr>
            <w:tcW w:w="1985" w:type="dxa"/>
            <w:tcBorders>
              <w:bottom w:val="single" w:sz="4" w:space="0" w:color="auto"/>
            </w:tcBorders>
            <w:vAlign w:val="center"/>
          </w:tcPr>
          <w:p w14:paraId="744D12AD" w14:textId="77777777" w:rsidR="003F78A0" w:rsidRPr="00804EAA" w:rsidRDefault="003F78A0" w:rsidP="00C20534">
            <w:pPr>
              <w:spacing w:line="240" w:lineRule="auto"/>
              <w:jc w:val="center"/>
              <w:rPr>
                <w:b/>
                <w:bCs/>
                <w:lang w:val="en-GB"/>
              </w:rPr>
            </w:pPr>
            <w:r w:rsidRPr="00804EAA">
              <w:rPr>
                <w:b/>
                <w:bCs/>
                <w:sz w:val="22"/>
                <w:lang w:val="en-GB"/>
              </w:rPr>
              <w:t>Non-responding household</w:t>
            </w:r>
          </w:p>
        </w:tc>
      </w:tr>
      <w:tr w:rsidR="003F78A0" w14:paraId="6371A474" w14:textId="77777777" w:rsidTr="00C20534">
        <w:tc>
          <w:tcPr>
            <w:tcW w:w="2890" w:type="dxa"/>
            <w:tcBorders>
              <w:top w:val="single" w:sz="4" w:space="0" w:color="auto"/>
              <w:bottom w:val="single" w:sz="4" w:space="0" w:color="auto"/>
            </w:tcBorders>
            <w:shd w:val="clear" w:color="auto" w:fill="auto"/>
            <w:vAlign w:val="center"/>
          </w:tcPr>
          <w:p w14:paraId="61B2BC20" w14:textId="77777777" w:rsidR="003F78A0" w:rsidRPr="00804EAA" w:rsidRDefault="003F78A0" w:rsidP="00C20534">
            <w:pPr>
              <w:spacing w:line="240" w:lineRule="auto"/>
              <w:jc w:val="left"/>
              <w:rPr>
                <w:b/>
                <w:bCs/>
                <w:lang w:val="en-GB"/>
              </w:rPr>
            </w:pPr>
            <w:r w:rsidRPr="00804EAA">
              <w:rPr>
                <w:b/>
                <w:bCs/>
                <w:sz w:val="22"/>
                <w:lang w:val="en-GB"/>
              </w:rPr>
              <w:t>Previous wave adult interview outcome:</w:t>
            </w:r>
          </w:p>
        </w:tc>
        <w:tc>
          <w:tcPr>
            <w:tcW w:w="1985" w:type="dxa"/>
            <w:tcBorders>
              <w:top w:val="single" w:sz="4" w:space="0" w:color="auto"/>
              <w:bottom w:val="single" w:sz="4" w:space="0" w:color="auto"/>
            </w:tcBorders>
            <w:vAlign w:val="center"/>
          </w:tcPr>
          <w:p w14:paraId="20E7F4FD" w14:textId="77777777" w:rsidR="003F78A0" w:rsidRPr="00804EAA" w:rsidRDefault="003F78A0" w:rsidP="00C20534">
            <w:pPr>
              <w:spacing w:line="240" w:lineRule="auto"/>
              <w:jc w:val="center"/>
              <w:rPr>
                <w:b/>
                <w:bCs/>
                <w:lang w:val="en-GB"/>
              </w:rPr>
            </w:pPr>
            <w:r w:rsidRPr="00804EAA">
              <w:rPr>
                <w:b/>
                <w:bCs/>
                <w:sz w:val="22"/>
                <w:lang w:val="en-GB"/>
              </w:rPr>
              <w:t>Responding adult and rising 16</w:t>
            </w:r>
          </w:p>
        </w:tc>
        <w:tc>
          <w:tcPr>
            <w:tcW w:w="1985" w:type="dxa"/>
            <w:tcBorders>
              <w:top w:val="single" w:sz="4" w:space="0" w:color="auto"/>
              <w:bottom w:val="single" w:sz="4" w:space="0" w:color="auto"/>
            </w:tcBorders>
            <w:vAlign w:val="center"/>
          </w:tcPr>
          <w:p w14:paraId="7DAE4DD2" w14:textId="77777777" w:rsidR="003F78A0" w:rsidRPr="00804EAA" w:rsidRDefault="003F78A0" w:rsidP="00C20534">
            <w:pPr>
              <w:spacing w:line="240" w:lineRule="auto"/>
              <w:jc w:val="center"/>
              <w:rPr>
                <w:b/>
                <w:bCs/>
                <w:lang w:val="en-GB"/>
              </w:rPr>
            </w:pPr>
            <w:r w:rsidRPr="00804EAA">
              <w:rPr>
                <w:b/>
                <w:bCs/>
                <w:sz w:val="22"/>
                <w:lang w:val="en-GB"/>
              </w:rPr>
              <w:t>Non-responding adult and new entrants</w:t>
            </w:r>
          </w:p>
        </w:tc>
        <w:tc>
          <w:tcPr>
            <w:tcW w:w="1985" w:type="dxa"/>
            <w:tcBorders>
              <w:top w:val="single" w:sz="4" w:space="0" w:color="auto"/>
              <w:bottom w:val="single" w:sz="4" w:space="0" w:color="auto"/>
            </w:tcBorders>
            <w:vAlign w:val="center"/>
          </w:tcPr>
          <w:p w14:paraId="22EC6F2C" w14:textId="77777777" w:rsidR="003F78A0" w:rsidRPr="00804EAA" w:rsidRDefault="003F78A0" w:rsidP="00C20534">
            <w:pPr>
              <w:spacing w:line="240" w:lineRule="auto"/>
              <w:jc w:val="center"/>
              <w:rPr>
                <w:b/>
                <w:bCs/>
                <w:lang w:val="en-GB"/>
              </w:rPr>
            </w:pPr>
            <w:r w:rsidRPr="00804EAA">
              <w:rPr>
                <w:b/>
                <w:bCs/>
                <w:sz w:val="22"/>
                <w:lang w:val="en-GB"/>
              </w:rPr>
              <w:t>Non-responding adult, rising 16 and new entrants</w:t>
            </w:r>
          </w:p>
        </w:tc>
      </w:tr>
      <w:tr w:rsidR="003F78A0" w14:paraId="281338C4" w14:textId="77777777" w:rsidTr="00C20534">
        <w:tc>
          <w:tcPr>
            <w:tcW w:w="2890" w:type="dxa"/>
            <w:tcBorders>
              <w:top w:val="single" w:sz="4" w:space="0" w:color="auto"/>
              <w:bottom w:val="single" w:sz="4" w:space="0" w:color="auto"/>
            </w:tcBorders>
            <w:shd w:val="clear" w:color="auto" w:fill="auto"/>
            <w:vAlign w:val="center"/>
          </w:tcPr>
          <w:p w14:paraId="19BEDC32" w14:textId="77777777" w:rsidR="003F78A0" w:rsidRPr="005C4AA9" w:rsidRDefault="003F78A0" w:rsidP="00C20534">
            <w:pPr>
              <w:spacing w:after="80" w:line="240" w:lineRule="auto"/>
              <w:jc w:val="left"/>
              <w:rPr>
                <w:sz w:val="22"/>
                <w:lang w:val="en-GB"/>
              </w:rPr>
            </w:pPr>
            <w:r w:rsidRPr="00264DEA">
              <w:rPr>
                <w:b/>
                <w:bCs/>
                <w:sz w:val="22"/>
                <w:lang w:val="en-GB"/>
              </w:rPr>
              <w:t>Unconditional</w:t>
            </w:r>
            <w:r w:rsidRPr="005C4AA9">
              <w:rPr>
                <w:sz w:val="22"/>
                <w:lang w:val="en-GB"/>
              </w:rPr>
              <w:t xml:space="preserve"> incentive</w:t>
            </w:r>
          </w:p>
        </w:tc>
        <w:tc>
          <w:tcPr>
            <w:tcW w:w="1985" w:type="dxa"/>
            <w:tcBorders>
              <w:top w:val="single" w:sz="4" w:space="0" w:color="auto"/>
              <w:bottom w:val="single" w:sz="4" w:space="0" w:color="auto"/>
            </w:tcBorders>
            <w:vAlign w:val="center"/>
          </w:tcPr>
          <w:p w14:paraId="4A122CC6" w14:textId="77777777" w:rsidR="003F78A0" w:rsidRDefault="003F78A0" w:rsidP="00C20534">
            <w:pPr>
              <w:spacing w:after="80" w:line="240" w:lineRule="auto"/>
              <w:jc w:val="center"/>
              <w:rPr>
                <w:lang w:val="en-GB"/>
              </w:rPr>
            </w:pPr>
            <w:r>
              <w:rPr>
                <w:lang w:val="en-GB"/>
              </w:rPr>
              <w:t>£10</w:t>
            </w:r>
          </w:p>
        </w:tc>
        <w:tc>
          <w:tcPr>
            <w:tcW w:w="1985" w:type="dxa"/>
            <w:tcBorders>
              <w:top w:val="single" w:sz="4" w:space="0" w:color="auto"/>
              <w:bottom w:val="single" w:sz="4" w:space="0" w:color="auto"/>
            </w:tcBorders>
            <w:vAlign w:val="center"/>
          </w:tcPr>
          <w:p w14:paraId="364C9421" w14:textId="77777777" w:rsidR="003F78A0" w:rsidRDefault="003F78A0" w:rsidP="00C20534">
            <w:pPr>
              <w:spacing w:after="80" w:line="240" w:lineRule="auto"/>
              <w:jc w:val="center"/>
              <w:rPr>
                <w:lang w:val="en-GB"/>
              </w:rPr>
            </w:pPr>
            <w:r>
              <w:rPr>
                <w:lang w:val="en-GB"/>
              </w:rPr>
              <w:t>None</w:t>
            </w:r>
          </w:p>
        </w:tc>
        <w:tc>
          <w:tcPr>
            <w:tcW w:w="1985" w:type="dxa"/>
            <w:tcBorders>
              <w:top w:val="single" w:sz="4" w:space="0" w:color="auto"/>
              <w:bottom w:val="single" w:sz="4" w:space="0" w:color="auto"/>
            </w:tcBorders>
            <w:vAlign w:val="center"/>
          </w:tcPr>
          <w:p w14:paraId="32DB748E" w14:textId="77777777" w:rsidR="003F78A0" w:rsidRDefault="003F78A0" w:rsidP="00C20534">
            <w:pPr>
              <w:spacing w:after="80" w:line="240" w:lineRule="auto"/>
              <w:jc w:val="center"/>
              <w:rPr>
                <w:lang w:val="en-GB"/>
              </w:rPr>
            </w:pPr>
            <w:r>
              <w:rPr>
                <w:lang w:val="en-GB"/>
              </w:rPr>
              <w:t>None</w:t>
            </w:r>
          </w:p>
        </w:tc>
      </w:tr>
      <w:tr w:rsidR="003F78A0" w14:paraId="2FC31BBA" w14:textId="77777777" w:rsidTr="00C20534">
        <w:tc>
          <w:tcPr>
            <w:tcW w:w="2890" w:type="dxa"/>
            <w:tcBorders>
              <w:top w:val="single" w:sz="4" w:space="0" w:color="auto"/>
              <w:bottom w:val="single" w:sz="4" w:space="0" w:color="auto"/>
            </w:tcBorders>
            <w:shd w:val="clear" w:color="auto" w:fill="auto"/>
            <w:vAlign w:val="center"/>
          </w:tcPr>
          <w:p w14:paraId="04756E21" w14:textId="77777777" w:rsidR="003F78A0" w:rsidRPr="005C4AA9" w:rsidRDefault="003F78A0" w:rsidP="00C20534">
            <w:pPr>
              <w:spacing w:after="80" w:line="240" w:lineRule="auto"/>
              <w:jc w:val="left"/>
              <w:rPr>
                <w:sz w:val="22"/>
                <w:lang w:val="en-GB"/>
              </w:rPr>
            </w:pPr>
            <w:r w:rsidRPr="005C4AA9">
              <w:rPr>
                <w:sz w:val="22"/>
                <w:lang w:val="en-GB"/>
              </w:rPr>
              <w:t xml:space="preserve">Incentive </w:t>
            </w:r>
            <w:r w:rsidRPr="00264DEA">
              <w:rPr>
                <w:b/>
                <w:bCs/>
                <w:sz w:val="22"/>
                <w:lang w:val="en-GB"/>
              </w:rPr>
              <w:t>conditional</w:t>
            </w:r>
            <w:r w:rsidRPr="005C4AA9">
              <w:rPr>
                <w:sz w:val="22"/>
                <w:lang w:val="en-GB"/>
              </w:rPr>
              <w:t xml:space="preserve"> on completing individual questionnaire</w:t>
            </w:r>
          </w:p>
        </w:tc>
        <w:tc>
          <w:tcPr>
            <w:tcW w:w="1985" w:type="dxa"/>
            <w:tcBorders>
              <w:top w:val="single" w:sz="4" w:space="0" w:color="auto"/>
              <w:bottom w:val="single" w:sz="4" w:space="0" w:color="auto"/>
            </w:tcBorders>
            <w:vAlign w:val="center"/>
          </w:tcPr>
          <w:p w14:paraId="280EA0F0" w14:textId="77777777" w:rsidR="003F78A0" w:rsidRDefault="003F78A0" w:rsidP="00C20534">
            <w:pPr>
              <w:spacing w:after="80" w:line="240" w:lineRule="auto"/>
              <w:jc w:val="center"/>
              <w:rPr>
                <w:lang w:val="en-GB"/>
              </w:rPr>
            </w:pPr>
            <w:r>
              <w:rPr>
                <w:lang w:val="en-GB"/>
              </w:rPr>
              <w:t>None</w:t>
            </w:r>
          </w:p>
        </w:tc>
        <w:tc>
          <w:tcPr>
            <w:tcW w:w="1985" w:type="dxa"/>
            <w:tcBorders>
              <w:top w:val="single" w:sz="4" w:space="0" w:color="auto"/>
              <w:bottom w:val="single" w:sz="4" w:space="0" w:color="auto"/>
            </w:tcBorders>
            <w:vAlign w:val="center"/>
          </w:tcPr>
          <w:p w14:paraId="5440CC76" w14:textId="77777777" w:rsidR="003F78A0" w:rsidRDefault="003F78A0" w:rsidP="00C20534">
            <w:pPr>
              <w:spacing w:after="80" w:line="240" w:lineRule="auto"/>
              <w:jc w:val="center"/>
              <w:rPr>
                <w:lang w:val="en-GB"/>
              </w:rPr>
            </w:pPr>
            <w:r>
              <w:rPr>
                <w:lang w:val="en-GB"/>
              </w:rPr>
              <w:t>£10</w:t>
            </w:r>
          </w:p>
        </w:tc>
        <w:tc>
          <w:tcPr>
            <w:tcW w:w="1985" w:type="dxa"/>
            <w:tcBorders>
              <w:top w:val="single" w:sz="4" w:space="0" w:color="auto"/>
              <w:bottom w:val="single" w:sz="4" w:space="0" w:color="auto"/>
            </w:tcBorders>
            <w:vAlign w:val="center"/>
          </w:tcPr>
          <w:p w14:paraId="54F0AA53" w14:textId="77777777" w:rsidR="003F78A0" w:rsidRDefault="003F78A0" w:rsidP="00C20534">
            <w:pPr>
              <w:spacing w:after="80" w:line="240" w:lineRule="auto"/>
              <w:jc w:val="center"/>
              <w:rPr>
                <w:lang w:val="en-GB"/>
              </w:rPr>
            </w:pPr>
            <w:r>
              <w:rPr>
                <w:lang w:val="en-GB"/>
              </w:rPr>
              <w:t>£20</w:t>
            </w:r>
          </w:p>
        </w:tc>
      </w:tr>
      <w:tr w:rsidR="003F78A0" w14:paraId="4889E365" w14:textId="77777777" w:rsidTr="00C20534">
        <w:tc>
          <w:tcPr>
            <w:tcW w:w="2890" w:type="dxa"/>
            <w:tcBorders>
              <w:top w:val="single" w:sz="4" w:space="0" w:color="auto"/>
            </w:tcBorders>
            <w:shd w:val="clear" w:color="auto" w:fill="auto"/>
            <w:vAlign w:val="center"/>
          </w:tcPr>
          <w:p w14:paraId="6B0B85C9" w14:textId="77777777" w:rsidR="003F78A0" w:rsidRDefault="003F78A0" w:rsidP="00C20534">
            <w:pPr>
              <w:spacing w:after="80" w:line="240" w:lineRule="auto"/>
              <w:jc w:val="left"/>
              <w:rPr>
                <w:lang w:val="en-GB"/>
              </w:rPr>
            </w:pPr>
            <w:r w:rsidRPr="00264DEA">
              <w:rPr>
                <w:b/>
                <w:bCs/>
                <w:sz w:val="22"/>
                <w:lang w:val="en-GB"/>
              </w:rPr>
              <w:t>Early-bird incentive</w:t>
            </w:r>
            <w:r>
              <w:rPr>
                <w:sz w:val="22"/>
                <w:lang w:val="en-GB"/>
              </w:rPr>
              <w:t xml:space="preserve"> </w:t>
            </w:r>
            <w:r>
              <w:rPr>
                <w:bCs/>
                <w:sz w:val="22"/>
                <w:lang w:val="en-GB"/>
              </w:rPr>
              <w:t>conditional on</w:t>
            </w:r>
            <w:r w:rsidRPr="005C4AA9">
              <w:rPr>
                <w:bCs/>
                <w:sz w:val="22"/>
                <w:lang w:val="en-GB"/>
              </w:rPr>
              <w:t xml:space="preserve"> completing web questionnaire during first </w:t>
            </w:r>
            <w:r>
              <w:rPr>
                <w:bCs/>
                <w:sz w:val="22"/>
                <w:lang w:val="en-GB"/>
              </w:rPr>
              <w:t>5</w:t>
            </w:r>
            <w:r w:rsidRPr="005C4AA9">
              <w:rPr>
                <w:bCs/>
                <w:sz w:val="22"/>
                <w:lang w:val="en-GB"/>
              </w:rPr>
              <w:t xml:space="preserve"> weeks of fieldwork (web-first protocol</w:t>
            </w:r>
            <w:r>
              <w:rPr>
                <w:bCs/>
                <w:sz w:val="22"/>
                <w:lang w:val="en-GB"/>
              </w:rPr>
              <w:t xml:space="preserve"> only</w:t>
            </w:r>
            <w:r w:rsidRPr="005C4AA9">
              <w:rPr>
                <w:bCs/>
                <w:sz w:val="22"/>
                <w:lang w:val="en-GB"/>
              </w:rPr>
              <w:t>)</w:t>
            </w:r>
          </w:p>
        </w:tc>
        <w:tc>
          <w:tcPr>
            <w:tcW w:w="1985" w:type="dxa"/>
            <w:tcBorders>
              <w:top w:val="single" w:sz="4" w:space="0" w:color="auto"/>
            </w:tcBorders>
            <w:vAlign w:val="center"/>
          </w:tcPr>
          <w:p w14:paraId="34185A58" w14:textId="77777777" w:rsidR="003F78A0" w:rsidRDefault="003F78A0" w:rsidP="00C20534">
            <w:pPr>
              <w:spacing w:after="80" w:line="240" w:lineRule="auto"/>
              <w:jc w:val="center"/>
              <w:rPr>
                <w:lang w:val="en-GB"/>
              </w:rPr>
            </w:pPr>
            <w:r>
              <w:rPr>
                <w:lang w:val="en-GB"/>
              </w:rPr>
              <w:t>£10</w:t>
            </w:r>
          </w:p>
        </w:tc>
        <w:tc>
          <w:tcPr>
            <w:tcW w:w="1985" w:type="dxa"/>
            <w:tcBorders>
              <w:top w:val="single" w:sz="4" w:space="0" w:color="auto"/>
            </w:tcBorders>
            <w:vAlign w:val="center"/>
          </w:tcPr>
          <w:p w14:paraId="254EB238" w14:textId="77777777" w:rsidR="003F78A0" w:rsidRDefault="003F78A0" w:rsidP="00C20534">
            <w:pPr>
              <w:spacing w:after="80" w:line="240" w:lineRule="auto"/>
              <w:jc w:val="center"/>
              <w:rPr>
                <w:lang w:val="en-GB"/>
              </w:rPr>
            </w:pPr>
            <w:r>
              <w:rPr>
                <w:lang w:val="en-GB"/>
              </w:rPr>
              <w:t>£10</w:t>
            </w:r>
          </w:p>
        </w:tc>
        <w:tc>
          <w:tcPr>
            <w:tcW w:w="1985" w:type="dxa"/>
            <w:tcBorders>
              <w:top w:val="single" w:sz="4" w:space="0" w:color="auto"/>
            </w:tcBorders>
            <w:vAlign w:val="center"/>
          </w:tcPr>
          <w:p w14:paraId="5717D66C" w14:textId="77777777" w:rsidR="003F78A0" w:rsidRDefault="003F78A0" w:rsidP="00C20534">
            <w:pPr>
              <w:spacing w:after="80" w:line="240" w:lineRule="auto"/>
              <w:jc w:val="center"/>
              <w:rPr>
                <w:lang w:val="en-GB"/>
              </w:rPr>
            </w:pPr>
            <w:r>
              <w:rPr>
                <w:lang w:val="en-GB"/>
              </w:rPr>
              <w:t>£10</w:t>
            </w:r>
          </w:p>
        </w:tc>
      </w:tr>
    </w:tbl>
    <w:p w14:paraId="33E611E0" w14:textId="321E3FB4" w:rsidR="003F78A0" w:rsidRDefault="003F78A0" w:rsidP="001512AC">
      <w:pPr>
        <w:pStyle w:val="Heading1"/>
        <w:rPr>
          <w:lang w:val="en-GB"/>
        </w:rPr>
      </w:pPr>
      <w:r>
        <w:rPr>
          <w:lang w:val="en-GB"/>
        </w:rPr>
        <w:br w:type="page"/>
      </w:r>
    </w:p>
    <w:p w14:paraId="0FEA9C80" w14:textId="0D69EE42" w:rsidR="003F78A0" w:rsidRDefault="003F78A0" w:rsidP="003F78A0">
      <w:pPr>
        <w:pStyle w:val="Heading1"/>
        <w:rPr>
          <w:lang w:val="en-GB"/>
        </w:rPr>
      </w:pPr>
      <w:bookmarkStart w:id="7" w:name="_Toc183429649"/>
      <w:r>
        <w:rPr>
          <w:lang w:val="en-GB"/>
        </w:rPr>
        <w:lastRenderedPageBreak/>
        <w:t xml:space="preserve">Online Appendix C. </w:t>
      </w:r>
      <w:r>
        <w:rPr>
          <w:rFonts w:eastAsiaTheme="minorEastAsia"/>
        </w:rPr>
        <w:t>Excerpts from the letters and emails sent to participants</w:t>
      </w:r>
      <w:bookmarkEnd w:id="7"/>
    </w:p>
    <w:tbl>
      <w:tblPr>
        <w:tblStyle w:val="TableGrid"/>
        <w:tblW w:w="0" w:type="auto"/>
        <w:jc w:val="center"/>
        <w:tblLook w:val="04A0" w:firstRow="1" w:lastRow="0" w:firstColumn="1" w:lastColumn="0" w:noHBand="0" w:noVBand="1"/>
      </w:tblPr>
      <w:tblGrid>
        <w:gridCol w:w="8753"/>
      </w:tblGrid>
      <w:tr w:rsidR="003F78A0" w14:paraId="4965434D" w14:textId="77777777" w:rsidTr="00C20534">
        <w:trPr>
          <w:trHeight w:val="256"/>
          <w:jc w:val="center"/>
        </w:trPr>
        <w:tc>
          <w:tcPr>
            <w:tcW w:w="8753" w:type="dxa"/>
            <w:shd w:val="clear" w:color="auto" w:fill="E7E6E6" w:themeFill="background2"/>
          </w:tcPr>
          <w:p w14:paraId="36828CED" w14:textId="77777777" w:rsidR="003F78A0" w:rsidRPr="00B31970" w:rsidRDefault="003F78A0" w:rsidP="00C20534">
            <w:pPr>
              <w:pStyle w:val="xxmsonormal"/>
              <w:spacing w:before="0" w:beforeAutospacing="0" w:after="0" w:afterAutospacing="0"/>
              <w:jc w:val="center"/>
              <w:rPr>
                <w:rFonts w:asciiTheme="minorHAnsi" w:eastAsiaTheme="minorEastAsia" w:hAnsiTheme="minorHAnsi" w:cstheme="minorBidi"/>
                <w:b/>
                <w:bCs/>
                <w:szCs w:val="22"/>
                <w:lang w:eastAsia="en-US"/>
              </w:rPr>
            </w:pPr>
            <w:r w:rsidRPr="00B31970">
              <w:rPr>
                <w:rFonts w:asciiTheme="minorHAnsi" w:eastAsiaTheme="minorEastAsia" w:hAnsiTheme="minorHAnsi" w:cstheme="minorBidi"/>
                <w:b/>
                <w:bCs/>
                <w:szCs w:val="22"/>
                <w:lang w:eastAsia="en-US"/>
              </w:rPr>
              <w:t>Control group</w:t>
            </w:r>
            <w:r>
              <w:rPr>
                <w:rFonts w:asciiTheme="minorHAnsi" w:eastAsiaTheme="minorEastAsia" w:hAnsiTheme="minorHAnsi" w:cstheme="minorBidi"/>
                <w:b/>
                <w:bCs/>
                <w:szCs w:val="22"/>
                <w:lang w:eastAsia="en-US"/>
              </w:rPr>
              <w:t>: Unconditional incentive</w:t>
            </w:r>
          </w:p>
        </w:tc>
      </w:tr>
      <w:tr w:rsidR="003F78A0" w14:paraId="38D154D6" w14:textId="77777777" w:rsidTr="00C20534">
        <w:trPr>
          <w:trHeight w:val="1036"/>
          <w:jc w:val="center"/>
        </w:trPr>
        <w:tc>
          <w:tcPr>
            <w:tcW w:w="8753" w:type="dxa"/>
          </w:tcPr>
          <w:p w14:paraId="4CD3CDB1" w14:textId="77777777" w:rsidR="003F78A0" w:rsidRDefault="003F78A0" w:rsidP="00C20534">
            <w:pPr>
              <w:pStyle w:val="xxmsonormal"/>
              <w:spacing w:after="0" w:afterAutospacing="0"/>
              <w:rPr>
                <w:rFonts w:eastAsiaTheme="minorEastAsia"/>
                <w:szCs w:val="22"/>
                <w:lang w:eastAsia="en-US"/>
              </w:rPr>
            </w:pPr>
          </w:p>
          <w:p w14:paraId="7486EEA4" w14:textId="77777777" w:rsidR="003F78A0" w:rsidRDefault="003F78A0" w:rsidP="00C20534">
            <w:pPr>
              <w:pStyle w:val="NoSpacing"/>
              <w:jc w:val="left"/>
            </w:pPr>
            <w:r w:rsidRPr="00096889">
              <w:t xml:space="preserve">We’re very grateful that you </w:t>
            </w:r>
            <w:proofErr w:type="gramStart"/>
            <w:r w:rsidRPr="00096889">
              <w:t>take</w:t>
            </w:r>
            <w:proofErr w:type="gramEnd"/>
            <w:r w:rsidRPr="00096889">
              <w:t xml:space="preserve"> part in Understanding Society. To say thank you we’ve enclosed a £10 gift card which is activated and ready for you to use. </w:t>
            </w:r>
            <w:r w:rsidRPr="00035259">
              <w:t>If</w:t>
            </w:r>
            <w:r>
              <w:t xml:space="preserve"> </w:t>
            </w:r>
            <w:r w:rsidRPr="00035259">
              <w:t xml:space="preserve">you’re able to complete your interview online by </w:t>
            </w:r>
            <w:r>
              <w:t>[DATE]</w:t>
            </w:r>
            <w:r w:rsidRPr="00035259">
              <w:t xml:space="preserve"> we will send you an extra £10</w:t>
            </w:r>
            <w:r>
              <w:t xml:space="preserve"> </w:t>
            </w:r>
            <w:r w:rsidRPr="00035259">
              <w:t>gift card as a thank you for completing your survey early.</w:t>
            </w:r>
          </w:p>
          <w:p w14:paraId="777E06A1" w14:textId="77777777" w:rsidR="003F78A0" w:rsidRPr="00C56F3A" w:rsidRDefault="003F78A0" w:rsidP="00C20534">
            <w:pPr>
              <w:pStyle w:val="NoSpacing"/>
              <w:jc w:val="left"/>
            </w:pPr>
          </w:p>
        </w:tc>
      </w:tr>
      <w:tr w:rsidR="003F78A0" w14:paraId="76E3CDC0" w14:textId="77777777" w:rsidTr="00C20534">
        <w:trPr>
          <w:trHeight w:val="256"/>
          <w:jc w:val="center"/>
        </w:trPr>
        <w:tc>
          <w:tcPr>
            <w:tcW w:w="8753" w:type="dxa"/>
            <w:shd w:val="clear" w:color="auto" w:fill="E7E6E6" w:themeFill="background2"/>
          </w:tcPr>
          <w:p w14:paraId="51B06371" w14:textId="77777777" w:rsidR="003F78A0" w:rsidRPr="00B31970" w:rsidRDefault="003F78A0" w:rsidP="00C20534">
            <w:pPr>
              <w:pStyle w:val="xxmsonormal"/>
              <w:spacing w:before="0" w:beforeAutospacing="0" w:after="0" w:afterAutospacing="0"/>
              <w:jc w:val="center"/>
              <w:rPr>
                <w:rFonts w:asciiTheme="minorHAnsi" w:eastAsiaTheme="minorEastAsia" w:hAnsiTheme="minorHAnsi" w:cstheme="minorBidi"/>
                <w:b/>
                <w:bCs/>
                <w:szCs w:val="22"/>
                <w:lang w:eastAsia="en-US"/>
              </w:rPr>
            </w:pPr>
            <w:r>
              <w:rPr>
                <w:rFonts w:asciiTheme="minorHAnsi" w:eastAsiaTheme="minorEastAsia" w:hAnsiTheme="minorHAnsi" w:cstheme="minorBidi"/>
                <w:b/>
                <w:bCs/>
                <w:szCs w:val="22"/>
                <w:lang w:eastAsia="en-US"/>
              </w:rPr>
              <w:t>Control group: Conditional incentive</w:t>
            </w:r>
          </w:p>
        </w:tc>
      </w:tr>
      <w:tr w:rsidR="003F78A0" w14:paraId="554AB4FA" w14:textId="77777777" w:rsidTr="00C20534">
        <w:trPr>
          <w:trHeight w:val="1664"/>
          <w:jc w:val="center"/>
        </w:trPr>
        <w:tc>
          <w:tcPr>
            <w:tcW w:w="8753" w:type="dxa"/>
          </w:tcPr>
          <w:p w14:paraId="1C592794" w14:textId="77777777" w:rsidR="003F78A0" w:rsidRDefault="003F78A0" w:rsidP="00C20534">
            <w:pPr>
              <w:pStyle w:val="NoSpacing"/>
              <w:jc w:val="left"/>
            </w:pPr>
          </w:p>
          <w:p w14:paraId="235010BD" w14:textId="77777777" w:rsidR="003F78A0" w:rsidRDefault="003F78A0" w:rsidP="00C20534">
            <w:pPr>
              <w:pStyle w:val="NoSpacing"/>
              <w:jc w:val="left"/>
            </w:pPr>
            <w:r>
              <w:t xml:space="preserve">We’re very grateful that you </w:t>
            </w:r>
            <w:proofErr w:type="gramStart"/>
            <w:r>
              <w:t>take</w:t>
            </w:r>
            <w:proofErr w:type="gramEnd"/>
            <w:r>
              <w:t xml:space="preserve"> part in Understanding Society. To say thank you, if you’re</w:t>
            </w:r>
          </w:p>
          <w:p w14:paraId="519EF06F" w14:textId="77777777" w:rsidR="003F78A0" w:rsidRDefault="003F78A0" w:rsidP="00C20534">
            <w:pPr>
              <w:pStyle w:val="NoSpacing"/>
              <w:jc w:val="left"/>
            </w:pPr>
            <w:r>
              <w:t xml:space="preserve">able to take part this year we will give you a £10 gift card. </w:t>
            </w:r>
            <w:r w:rsidRPr="00035259">
              <w:t>If</w:t>
            </w:r>
            <w:r>
              <w:t xml:space="preserve"> </w:t>
            </w:r>
            <w:r w:rsidRPr="00035259">
              <w:t xml:space="preserve">you’re able to complete your interview online by </w:t>
            </w:r>
            <w:r>
              <w:t>[DATE]</w:t>
            </w:r>
            <w:r w:rsidRPr="00035259">
              <w:t xml:space="preserve"> we will send you an extra £10</w:t>
            </w:r>
            <w:r>
              <w:t xml:space="preserve"> </w:t>
            </w:r>
            <w:r w:rsidRPr="00035259">
              <w:t>gift card as a thank you for completing your survey early.</w:t>
            </w:r>
          </w:p>
          <w:p w14:paraId="597AC0FE" w14:textId="77777777" w:rsidR="003F78A0" w:rsidRDefault="003F78A0" w:rsidP="00C20534">
            <w:pPr>
              <w:pStyle w:val="NoSpacing"/>
              <w:jc w:val="left"/>
            </w:pPr>
          </w:p>
        </w:tc>
      </w:tr>
      <w:tr w:rsidR="003F78A0" w14:paraId="5F9080CA" w14:textId="77777777" w:rsidTr="00C20534">
        <w:trPr>
          <w:trHeight w:val="56"/>
          <w:jc w:val="center"/>
        </w:trPr>
        <w:tc>
          <w:tcPr>
            <w:tcW w:w="8753" w:type="dxa"/>
            <w:shd w:val="clear" w:color="auto" w:fill="E7E6E6" w:themeFill="background2"/>
          </w:tcPr>
          <w:p w14:paraId="2E0DB975" w14:textId="77777777" w:rsidR="003F78A0" w:rsidRDefault="003F78A0" w:rsidP="00C20534">
            <w:pPr>
              <w:pStyle w:val="NoSpacing"/>
              <w:jc w:val="center"/>
            </w:pPr>
            <w:r>
              <w:rPr>
                <w:b/>
                <w:bCs/>
              </w:rPr>
              <w:t>Higher incentive: Unconditional incentive</w:t>
            </w:r>
          </w:p>
        </w:tc>
      </w:tr>
      <w:tr w:rsidR="003F78A0" w14:paraId="22ED0F8C" w14:textId="77777777" w:rsidTr="00C20534">
        <w:trPr>
          <w:trHeight w:val="1664"/>
          <w:jc w:val="center"/>
        </w:trPr>
        <w:tc>
          <w:tcPr>
            <w:tcW w:w="8753" w:type="dxa"/>
          </w:tcPr>
          <w:p w14:paraId="45A9A391" w14:textId="77777777" w:rsidR="003F78A0" w:rsidRDefault="003F78A0" w:rsidP="00C20534">
            <w:pPr>
              <w:pStyle w:val="NoSpacing"/>
              <w:jc w:val="left"/>
            </w:pPr>
          </w:p>
          <w:p w14:paraId="17F4D7E1" w14:textId="77777777" w:rsidR="003F78A0" w:rsidRPr="00035259" w:rsidRDefault="003F78A0" w:rsidP="00C20534">
            <w:pPr>
              <w:pStyle w:val="NoSpacing"/>
              <w:jc w:val="left"/>
            </w:pPr>
            <w:r w:rsidRPr="00035259">
              <w:t xml:space="preserve">We’re very grateful that you </w:t>
            </w:r>
            <w:proofErr w:type="gramStart"/>
            <w:r w:rsidRPr="00035259">
              <w:t>take</w:t>
            </w:r>
            <w:proofErr w:type="gramEnd"/>
            <w:r w:rsidRPr="00035259">
              <w:t xml:space="preserve"> part in Understanding Society. To say thank you for</w:t>
            </w:r>
          </w:p>
          <w:p w14:paraId="270AA34A" w14:textId="77777777" w:rsidR="003F78A0" w:rsidRPr="00035259" w:rsidRDefault="003F78A0" w:rsidP="00C20534">
            <w:pPr>
              <w:pStyle w:val="NoSpacing"/>
              <w:jc w:val="left"/>
            </w:pPr>
            <w:r w:rsidRPr="00035259">
              <w:t>your long-term contribution we’ve increased the gift card amount for you this year.</w:t>
            </w:r>
          </w:p>
          <w:p w14:paraId="5E270B79" w14:textId="77777777" w:rsidR="003F78A0" w:rsidRPr="00035259" w:rsidRDefault="003F78A0" w:rsidP="00C20534">
            <w:pPr>
              <w:pStyle w:val="NoSpacing"/>
              <w:jc w:val="left"/>
            </w:pPr>
            <w:r w:rsidRPr="00035259">
              <w:t>Please find enclosed a £20 gift card which is activated and ready for you to use. If</w:t>
            </w:r>
          </w:p>
          <w:p w14:paraId="1AF006A3" w14:textId="77777777" w:rsidR="003F78A0" w:rsidRPr="00035259" w:rsidRDefault="003F78A0" w:rsidP="00C20534">
            <w:pPr>
              <w:pStyle w:val="NoSpacing"/>
              <w:jc w:val="left"/>
            </w:pPr>
            <w:r w:rsidRPr="00035259">
              <w:t xml:space="preserve">you’re able to complete your interview online by </w:t>
            </w:r>
            <w:r>
              <w:t>[DATE]</w:t>
            </w:r>
            <w:r w:rsidRPr="00035259">
              <w:t xml:space="preserve"> we will send you an extra £10</w:t>
            </w:r>
          </w:p>
          <w:p w14:paraId="053B615A" w14:textId="77777777" w:rsidR="003F78A0" w:rsidRDefault="003F78A0" w:rsidP="00C20534">
            <w:pPr>
              <w:pStyle w:val="NoSpacing"/>
              <w:jc w:val="left"/>
            </w:pPr>
            <w:r w:rsidRPr="00035259">
              <w:t>gift card as a thank you for completing your survey early.</w:t>
            </w:r>
          </w:p>
          <w:p w14:paraId="52126DC5" w14:textId="77777777" w:rsidR="003F78A0" w:rsidRDefault="003F78A0" w:rsidP="00C20534">
            <w:pPr>
              <w:pStyle w:val="NoSpacing"/>
              <w:jc w:val="left"/>
            </w:pPr>
          </w:p>
          <w:p w14:paraId="280A01A0" w14:textId="77777777" w:rsidR="003F78A0" w:rsidRDefault="003F78A0" w:rsidP="00C20534">
            <w:pPr>
              <w:pStyle w:val="NoSpacing"/>
              <w:jc w:val="left"/>
            </w:pPr>
          </w:p>
        </w:tc>
      </w:tr>
      <w:tr w:rsidR="003F78A0" w14:paraId="1BD2DE93" w14:textId="77777777" w:rsidTr="00C20534">
        <w:trPr>
          <w:trHeight w:val="283"/>
          <w:jc w:val="center"/>
        </w:trPr>
        <w:tc>
          <w:tcPr>
            <w:tcW w:w="8753" w:type="dxa"/>
            <w:shd w:val="clear" w:color="auto" w:fill="E7E6E6" w:themeFill="background2"/>
          </w:tcPr>
          <w:p w14:paraId="7B7A3F14" w14:textId="77777777" w:rsidR="003F78A0" w:rsidRDefault="003F78A0" w:rsidP="00C20534">
            <w:pPr>
              <w:pStyle w:val="NoSpacing"/>
              <w:jc w:val="center"/>
            </w:pPr>
            <w:r>
              <w:rPr>
                <w:b/>
                <w:bCs/>
              </w:rPr>
              <w:t>Higher incentive: Conditional incentive</w:t>
            </w:r>
          </w:p>
        </w:tc>
      </w:tr>
      <w:tr w:rsidR="003F78A0" w14:paraId="263E0BAF" w14:textId="77777777" w:rsidTr="00C20534">
        <w:trPr>
          <w:trHeight w:val="1202"/>
          <w:jc w:val="center"/>
        </w:trPr>
        <w:tc>
          <w:tcPr>
            <w:tcW w:w="8753" w:type="dxa"/>
          </w:tcPr>
          <w:p w14:paraId="03B16E12" w14:textId="77777777" w:rsidR="003F78A0" w:rsidRDefault="003F78A0" w:rsidP="00C20534">
            <w:pPr>
              <w:pStyle w:val="NoSpacing"/>
              <w:jc w:val="left"/>
            </w:pPr>
          </w:p>
          <w:p w14:paraId="48D852A6" w14:textId="77777777" w:rsidR="003F78A0" w:rsidRDefault="003F78A0" w:rsidP="00C20534">
            <w:pPr>
              <w:pStyle w:val="NoSpacing"/>
              <w:jc w:val="left"/>
            </w:pPr>
            <w:r>
              <w:t xml:space="preserve">We’re very grateful that you </w:t>
            </w:r>
            <w:proofErr w:type="gramStart"/>
            <w:r>
              <w:t>take</w:t>
            </w:r>
            <w:proofErr w:type="gramEnd"/>
            <w:r>
              <w:t xml:space="preserve"> part in Understanding Society. To say thank you, if you’re able to take part this year we’ll give you a £20 gift card. </w:t>
            </w:r>
            <w:r w:rsidRPr="00035259">
              <w:t>If</w:t>
            </w:r>
            <w:r>
              <w:t xml:space="preserve"> </w:t>
            </w:r>
            <w:r w:rsidRPr="00035259">
              <w:t xml:space="preserve">you’re able to complete your interview online by </w:t>
            </w:r>
            <w:r>
              <w:t>[DATE]</w:t>
            </w:r>
            <w:r w:rsidRPr="00035259">
              <w:t xml:space="preserve"> we will send you an extra £10</w:t>
            </w:r>
            <w:r>
              <w:t xml:space="preserve"> </w:t>
            </w:r>
            <w:r w:rsidRPr="00035259">
              <w:t>gift card as a thank you for completing your survey early.</w:t>
            </w:r>
          </w:p>
          <w:p w14:paraId="2DE7874B" w14:textId="77777777" w:rsidR="003F78A0" w:rsidRDefault="003F78A0" w:rsidP="00C20534">
            <w:pPr>
              <w:pStyle w:val="NoSpacing"/>
              <w:keepNext/>
              <w:jc w:val="left"/>
            </w:pPr>
          </w:p>
        </w:tc>
      </w:tr>
    </w:tbl>
    <w:p w14:paraId="3552FE55" w14:textId="77777777" w:rsidR="003F78A0" w:rsidRPr="008E3493" w:rsidRDefault="003F78A0" w:rsidP="003F78A0">
      <w:pPr>
        <w:pStyle w:val="Caption"/>
        <w:tabs>
          <w:tab w:val="left" w:pos="1410"/>
        </w:tabs>
        <w:rPr>
          <w:lang w:val="en-GB"/>
        </w:rPr>
      </w:pPr>
      <w:r>
        <w:t xml:space="preserve">Figure </w:t>
      </w:r>
      <w:fldSimple w:instr=" SEQ Figure \* ARABIC ">
        <w:r>
          <w:rPr>
            <w:noProof/>
          </w:rPr>
          <w:t>1</w:t>
        </w:r>
      </w:fldSimple>
      <w:r>
        <w:t xml:space="preserve">. </w:t>
      </w:r>
      <w:r w:rsidRPr="008E3493">
        <w:t>Excerpts from the letters and emails sent to participants</w:t>
      </w:r>
      <w:r>
        <w:t>.</w:t>
      </w:r>
    </w:p>
    <w:p w14:paraId="4BF3E0D7" w14:textId="77777777" w:rsidR="003F78A0" w:rsidRPr="008E3493" w:rsidRDefault="003F78A0" w:rsidP="003F78A0">
      <w:pPr>
        <w:spacing w:line="252" w:lineRule="auto"/>
      </w:pPr>
      <w:r>
        <w:br w:type="page"/>
      </w:r>
    </w:p>
    <w:p w14:paraId="632AC1C3" w14:textId="563A0C49" w:rsidR="00012880" w:rsidRDefault="00DD11A5" w:rsidP="00DD11A5">
      <w:pPr>
        <w:pStyle w:val="Heading1"/>
        <w:rPr>
          <w:lang w:val="en-GB"/>
        </w:rPr>
      </w:pPr>
      <w:bookmarkStart w:id="8" w:name="_Toc183429650"/>
      <w:r>
        <w:rPr>
          <w:lang w:val="en-GB"/>
        </w:rPr>
        <w:lastRenderedPageBreak/>
        <w:t xml:space="preserve">Online Appendix </w:t>
      </w:r>
      <w:r w:rsidR="00563A0E">
        <w:rPr>
          <w:lang w:val="en-GB"/>
        </w:rPr>
        <w:t>D</w:t>
      </w:r>
      <w:r>
        <w:rPr>
          <w:lang w:val="en-GB"/>
        </w:rPr>
        <w:t xml:space="preserve">. </w:t>
      </w:r>
      <w:r w:rsidR="007158C9">
        <w:rPr>
          <w:lang w:val="en-GB"/>
        </w:rPr>
        <w:t>Heterogenous effects</w:t>
      </w:r>
      <w:bookmarkEnd w:id="8"/>
    </w:p>
    <w:p w14:paraId="29D62558" w14:textId="140B2A5B" w:rsidR="007158C9" w:rsidRDefault="007158C9" w:rsidP="001512AC">
      <w:r>
        <w:rPr>
          <w:lang w:val="en-GB"/>
        </w:rPr>
        <w:t xml:space="preserve">This appendix contains the replication of the heterogeneous effects table included in the body of the paper (Table </w:t>
      </w:r>
      <w:r w:rsidR="00D42488">
        <w:rPr>
          <w:lang w:val="en-GB"/>
        </w:rPr>
        <w:t>3</w:t>
      </w:r>
      <w:r>
        <w:rPr>
          <w:lang w:val="en-GB"/>
        </w:rPr>
        <w:t>) using the multivariate models. The table in the results section presents the uncontrolled heterogeneous effects derived from simple logistic regression models, while these include the heterogeneous effect controlled by the rest of the moderators. The simple and controlled heterogeneous effects are almost identical for the analysis of the last wave respondents, where we have complete information for all cases. However, when analysing the previous wave non</w:t>
      </w:r>
      <w:r w:rsidR="00F63EAC">
        <w:rPr>
          <w:lang w:val="en-GB"/>
        </w:rPr>
        <w:t>-</w:t>
      </w:r>
      <w:r>
        <w:rPr>
          <w:lang w:val="en-GB"/>
        </w:rPr>
        <w:t xml:space="preserve">respondents from responding households, there are some critical differences because the estimation samples are also different after excluding the cases with missing values in at least one moderator. </w:t>
      </w:r>
    </w:p>
    <w:p w14:paraId="201A2E4A" w14:textId="77777777" w:rsidR="00434819" w:rsidRDefault="00434819">
      <w:pPr>
        <w:pStyle w:val="Caption"/>
        <w:keepNext/>
        <w:divId w:val="1426874971"/>
        <w:sectPr w:rsidR="00434819" w:rsidSect="00427129">
          <w:pgSz w:w="12240" w:h="15840"/>
          <w:pgMar w:top="1440" w:right="1440" w:bottom="1440" w:left="1440" w:header="720" w:footer="720" w:gutter="0"/>
          <w:cols w:space="720"/>
          <w:docGrid w:linePitch="360"/>
        </w:sectPr>
      </w:pPr>
    </w:p>
    <w:p w14:paraId="5D031ECE" w14:textId="66D9147D" w:rsidR="00190525" w:rsidRDefault="00190525">
      <w:pPr>
        <w:pStyle w:val="Caption"/>
        <w:keepNext/>
        <w:divId w:val="1426874971"/>
      </w:pPr>
      <w:r>
        <w:lastRenderedPageBreak/>
        <w:t>Table A</w:t>
      </w:r>
      <w:fldSimple w:instr=" SEQ Table_A \* ARABIC ">
        <w:r w:rsidR="003F78A0">
          <w:rPr>
            <w:noProof/>
          </w:rPr>
          <w:t>5</w:t>
        </w:r>
      </w:fldSimple>
      <w:r>
        <w:t xml:space="preserve">. </w:t>
      </w:r>
      <w:r w:rsidRPr="00BD0859">
        <w:t>Heterogeneous effects of the higher unconditional incentive by moderators for last wave respondents and last wave nonrespondents from responding households</w:t>
      </w:r>
    </w:p>
    <w:tbl>
      <w:tblPr>
        <w:tblW w:w="13430" w:type="dxa"/>
        <w:tblLook w:val="04A0" w:firstRow="1" w:lastRow="0" w:firstColumn="1" w:lastColumn="0" w:noHBand="0" w:noVBand="1"/>
      </w:tblPr>
      <w:tblGrid>
        <w:gridCol w:w="2110"/>
        <w:gridCol w:w="1230"/>
        <w:gridCol w:w="1170"/>
        <w:gridCol w:w="1140"/>
        <w:gridCol w:w="1170"/>
        <w:gridCol w:w="1050"/>
        <w:gridCol w:w="1320"/>
        <w:gridCol w:w="1170"/>
        <w:gridCol w:w="1320"/>
        <w:gridCol w:w="1170"/>
        <w:gridCol w:w="580"/>
      </w:tblGrid>
      <w:tr w:rsidR="00434819" w:rsidRPr="00434819" w14:paraId="3968CBB1" w14:textId="77777777" w:rsidTr="00434819">
        <w:trPr>
          <w:divId w:val="1426874971"/>
          <w:trHeight w:val="525"/>
        </w:trPr>
        <w:tc>
          <w:tcPr>
            <w:tcW w:w="2110" w:type="dxa"/>
            <w:tcBorders>
              <w:top w:val="single" w:sz="4" w:space="0" w:color="auto"/>
              <w:left w:val="nil"/>
              <w:bottom w:val="nil"/>
              <w:right w:val="nil"/>
            </w:tcBorders>
            <w:shd w:val="clear" w:color="000000" w:fill="FFFFFF"/>
            <w:noWrap/>
            <w:vAlign w:val="bottom"/>
            <w:hideMark/>
          </w:tcPr>
          <w:p w14:paraId="532FFAA9" w14:textId="77777777" w:rsidR="00434819" w:rsidRPr="00434819" w:rsidRDefault="00434819" w:rsidP="00434819">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4710" w:type="dxa"/>
            <w:gridSpan w:val="4"/>
            <w:tcBorders>
              <w:top w:val="single" w:sz="4" w:space="0" w:color="auto"/>
              <w:left w:val="nil"/>
              <w:bottom w:val="single" w:sz="4" w:space="0" w:color="auto"/>
              <w:right w:val="nil"/>
            </w:tcBorders>
            <w:shd w:val="clear" w:color="000000" w:fill="FFFFFF"/>
            <w:vAlign w:val="bottom"/>
            <w:hideMark/>
          </w:tcPr>
          <w:p w14:paraId="72B014F6"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Previous wave respondents</w:t>
            </w:r>
            <w:r w:rsidRPr="00434819">
              <w:rPr>
                <w:rFonts w:ascii="Times New Roman" w:eastAsia="Times New Roman" w:hAnsi="Times New Roman" w:cs="Times New Roman"/>
                <w:b/>
                <w:bCs/>
                <w:sz w:val="18"/>
                <w:szCs w:val="18"/>
                <w:lang w:val="en-GB" w:eastAsia="en-GB"/>
              </w:rPr>
              <w:br/>
              <w:t>(Unconditional incentive)</w:t>
            </w:r>
          </w:p>
        </w:tc>
        <w:tc>
          <w:tcPr>
            <w:tcW w:w="1050" w:type="dxa"/>
            <w:vMerge w:val="restart"/>
            <w:tcBorders>
              <w:top w:val="single" w:sz="4" w:space="0" w:color="auto"/>
              <w:left w:val="nil"/>
              <w:bottom w:val="single" w:sz="4" w:space="0" w:color="000000"/>
              <w:right w:val="nil"/>
            </w:tcBorders>
            <w:shd w:val="clear" w:color="000000" w:fill="FFFFFF"/>
            <w:noWrap/>
            <w:vAlign w:val="bottom"/>
            <w:hideMark/>
          </w:tcPr>
          <w:p w14:paraId="68210CF6"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N</w:t>
            </w:r>
          </w:p>
        </w:tc>
        <w:tc>
          <w:tcPr>
            <w:tcW w:w="4980" w:type="dxa"/>
            <w:gridSpan w:val="4"/>
            <w:tcBorders>
              <w:top w:val="single" w:sz="4" w:space="0" w:color="auto"/>
              <w:left w:val="nil"/>
              <w:bottom w:val="single" w:sz="4" w:space="0" w:color="auto"/>
              <w:right w:val="nil"/>
            </w:tcBorders>
            <w:shd w:val="clear" w:color="000000" w:fill="FFFFFF"/>
            <w:vAlign w:val="bottom"/>
            <w:hideMark/>
          </w:tcPr>
          <w:p w14:paraId="56FB3346"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Previous wave non-respondents</w:t>
            </w:r>
            <w:r w:rsidRPr="00434819">
              <w:rPr>
                <w:rFonts w:ascii="Times New Roman" w:eastAsia="Times New Roman" w:hAnsi="Times New Roman" w:cs="Times New Roman"/>
                <w:b/>
                <w:bCs/>
                <w:sz w:val="18"/>
                <w:szCs w:val="18"/>
                <w:lang w:val="en-GB" w:eastAsia="en-GB"/>
              </w:rPr>
              <w:br/>
              <w:t>(Conditional incentive)</w:t>
            </w:r>
          </w:p>
        </w:tc>
        <w:tc>
          <w:tcPr>
            <w:tcW w:w="580" w:type="dxa"/>
            <w:vMerge w:val="restart"/>
            <w:tcBorders>
              <w:top w:val="single" w:sz="4" w:space="0" w:color="auto"/>
              <w:left w:val="nil"/>
              <w:bottom w:val="single" w:sz="4" w:space="0" w:color="000000"/>
              <w:right w:val="nil"/>
            </w:tcBorders>
            <w:shd w:val="clear" w:color="000000" w:fill="FFFFFF"/>
            <w:noWrap/>
            <w:vAlign w:val="bottom"/>
            <w:hideMark/>
          </w:tcPr>
          <w:p w14:paraId="7DEAF292"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N</w:t>
            </w:r>
          </w:p>
        </w:tc>
      </w:tr>
      <w:tr w:rsidR="00434819" w:rsidRPr="00434819" w14:paraId="7C39F620" w14:textId="77777777" w:rsidTr="00434819">
        <w:trPr>
          <w:divId w:val="1426874971"/>
          <w:trHeight w:val="600"/>
        </w:trPr>
        <w:tc>
          <w:tcPr>
            <w:tcW w:w="2110" w:type="dxa"/>
            <w:tcBorders>
              <w:top w:val="nil"/>
              <w:left w:val="nil"/>
              <w:bottom w:val="nil"/>
              <w:right w:val="nil"/>
            </w:tcBorders>
            <w:shd w:val="clear" w:color="000000" w:fill="FFFFFF"/>
            <w:noWrap/>
            <w:vAlign w:val="bottom"/>
            <w:hideMark/>
          </w:tcPr>
          <w:p w14:paraId="045B1A80" w14:textId="77777777" w:rsidR="00434819" w:rsidRPr="00434819" w:rsidRDefault="00434819" w:rsidP="00434819">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2400" w:type="dxa"/>
            <w:gridSpan w:val="2"/>
            <w:tcBorders>
              <w:top w:val="single" w:sz="4" w:space="0" w:color="auto"/>
              <w:left w:val="nil"/>
              <w:bottom w:val="single" w:sz="4" w:space="0" w:color="auto"/>
              <w:right w:val="nil"/>
            </w:tcBorders>
            <w:shd w:val="clear" w:color="000000" w:fill="FFFFFF"/>
            <w:noWrap/>
            <w:vAlign w:val="bottom"/>
            <w:hideMark/>
          </w:tcPr>
          <w:p w14:paraId="361441C5"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Web</w:t>
            </w:r>
          </w:p>
        </w:tc>
        <w:tc>
          <w:tcPr>
            <w:tcW w:w="2310" w:type="dxa"/>
            <w:gridSpan w:val="2"/>
            <w:tcBorders>
              <w:top w:val="single" w:sz="4" w:space="0" w:color="auto"/>
              <w:left w:val="nil"/>
              <w:bottom w:val="single" w:sz="4" w:space="0" w:color="auto"/>
              <w:right w:val="nil"/>
            </w:tcBorders>
            <w:shd w:val="clear" w:color="000000" w:fill="FFFFFF"/>
            <w:vAlign w:val="bottom"/>
            <w:hideMark/>
          </w:tcPr>
          <w:p w14:paraId="422BEEEB"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Final response</w:t>
            </w:r>
            <w:r w:rsidRPr="00434819">
              <w:rPr>
                <w:rFonts w:ascii="Times New Roman" w:eastAsia="Times New Roman" w:hAnsi="Times New Roman" w:cs="Times New Roman"/>
                <w:b/>
                <w:bCs/>
                <w:sz w:val="18"/>
                <w:szCs w:val="18"/>
                <w:lang w:val="en-GB" w:eastAsia="en-GB"/>
              </w:rPr>
              <w:br/>
              <w:t>(</w:t>
            </w:r>
            <w:proofErr w:type="spellStart"/>
            <w:r w:rsidRPr="00434819">
              <w:rPr>
                <w:rFonts w:ascii="Times New Roman" w:eastAsia="Times New Roman" w:hAnsi="Times New Roman" w:cs="Times New Roman"/>
                <w:b/>
                <w:bCs/>
                <w:sz w:val="18"/>
                <w:szCs w:val="18"/>
                <w:lang w:val="en-GB" w:eastAsia="en-GB"/>
              </w:rPr>
              <w:t>Web+CATI</w:t>
            </w:r>
            <w:proofErr w:type="spellEnd"/>
            <w:r w:rsidRPr="00434819">
              <w:rPr>
                <w:rFonts w:ascii="Times New Roman" w:eastAsia="Times New Roman" w:hAnsi="Times New Roman" w:cs="Times New Roman"/>
                <w:b/>
                <w:bCs/>
                <w:sz w:val="18"/>
                <w:szCs w:val="18"/>
                <w:lang w:val="en-GB" w:eastAsia="en-GB"/>
              </w:rPr>
              <w:t>)</w:t>
            </w:r>
          </w:p>
        </w:tc>
        <w:tc>
          <w:tcPr>
            <w:tcW w:w="1050" w:type="dxa"/>
            <w:vMerge/>
            <w:tcBorders>
              <w:top w:val="single" w:sz="4" w:space="0" w:color="auto"/>
              <w:left w:val="nil"/>
              <w:bottom w:val="single" w:sz="4" w:space="0" w:color="000000"/>
              <w:right w:val="nil"/>
            </w:tcBorders>
            <w:vAlign w:val="center"/>
            <w:hideMark/>
          </w:tcPr>
          <w:p w14:paraId="2A798ABC" w14:textId="77777777" w:rsidR="00434819" w:rsidRPr="00434819" w:rsidRDefault="00434819" w:rsidP="00434819">
            <w:pPr>
              <w:spacing w:after="0" w:line="240" w:lineRule="auto"/>
              <w:jc w:val="left"/>
              <w:rPr>
                <w:rFonts w:ascii="Times New Roman" w:eastAsia="Times New Roman" w:hAnsi="Times New Roman" w:cs="Times New Roman"/>
                <w:b/>
                <w:bCs/>
                <w:sz w:val="18"/>
                <w:szCs w:val="18"/>
                <w:lang w:val="en-GB" w:eastAsia="en-GB"/>
              </w:rPr>
            </w:pPr>
          </w:p>
        </w:tc>
        <w:tc>
          <w:tcPr>
            <w:tcW w:w="2490" w:type="dxa"/>
            <w:gridSpan w:val="2"/>
            <w:tcBorders>
              <w:top w:val="nil"/>
              <w:left w:val="nil"/>
              <w:bottom w:val="single" w:sz="4" w:space="0" w:color="auto"/>
              <w:right w:val="nil"/>
            </w:tcBorders>
            <w:shd w:val="clear" w:color="000000" w:fill="FFFFFF"/>
            <w:vAlign w:val="bottom"/>
            <w:hideMark/>
          </w:tcPr>
          <w:p w14:paraId="13CC0E37"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Web</w:t>
            </w:r>
          </w:p>
        </w:tc>
        <w:tc>
          <w:tcPr>
            <w:tcW w:w="2490" w:type="dxa"/>
            <w:gridSpan w:val="2"/>
            <w:tcBorders>
              <w:top w:val="nil"/>
              <w:left w:val="nil"/>
              <w:bottom w:val="single" w:sz="4" w:space="0" w:color="auto"/>
              <w:right w:val="nil"/>
            </w:tcBorders>
            <w:shd w:val="clear" w:color="000000" w:fill="FFFFFF"/>
            <w:vAlign w:val="bottom"/>
            <w:hideMark/>
          </w:tcPr>
          <w:p w14:paraId="164A0523"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Final response</w:t>
            </w:r>
            <w:r w:rsidRPr="00434819">
              <w:rPr>
                <w:rFonts w:ascii="Times New Roman" w:eastAsia="Times New Roman" w:hAnsi="Times New Roman" w:cs="Times New Roman"/>
                <w:b/>
                <w:bCs/>
                <w:sz w:val="18"/>
                <w:szCs w:val="18"/>
                <w:lang w:val="en-GB" w:eastAsia="en-GB"/>
              </w:rPr>
              <w:br/>
              <w:t>(</w:t>
            </w:r>
            <w:proofErr w:type="spellStart"/>
            <w:r w:rsidRPr="00434819">
              <w:rPr>
                <w:rFonts w:ascii="Times New Roman" w:eastAsia="Times New Roman" w:hAnsi="Times New Roman" w:cs="Times New Roman"/>
                <w:b/>
                <w:bCs/>
                <w:sz w:val="18"/>
                <w:szCs w:val="18"/>
                <w:lang w:val="en-GB" w:eastAsia="en-GB"/>
              </w:rPr>
              <w:t>Web+CATI</w:t>
            </w:r>
            <w:proofErr w:type="spellEnd"/>
            <w:r w:rsidRPr="00434819">
              <w:rPr>
                <w:rFonts w:ascii="Times New Roman" w:eastAsia="Times New Roman" w:hAnsi="Times New Roman" w:cs="Times New Roman"/>
                <w:b/>
                <w:bCs/>
                <w:sz w:val="18"/>
                <w:szCs w:val="18"/>
                <w:lang w:val="en-GB" w:eastAsia="en-GB"/>
              </w:rPr>
              <w:t>)</w:t>
            </w:r>
          </w:p>
        </w:tc>
        <w:tc>
          <w:tcPr>
            <w:tcW w:w="580" w:type="dxa"/>
            <w:vMerge/>
            <w:tcBorders>
              <w:top w:val="single" w:sz="4" w:space="0" w:color="auto"/>
              <w:left w:val="nil"/>
              <w:bottom w:val="single" w:sz="4" w:space="0" w:color="000000"/>
              <w:right w:val="nil"/>
            </w:tcBorders>
            <w:vAlign w:val="center"/>
            <w:hideMark/>
          </w:tcPr>
          <w:p w14:paraId="30B3C930" w14:textId="77777777" w:rsidR="00434819" w:rsidRPr="00434819" w:rsidRDefault="00434819" w:rsidP="00434819">
            <w:pPr>
              <w:spacing w:after="0" w:line="240" w:lineRule="auto"/>
              <w:jc w:val="left"/>
              <w:rPr>
                <w:rFonts w:ascii="Times New Roman" w:eastAsia="Times New Roman" w:hAnsi="Times New Roman" w:cs="Times New Roman"/>
                <w:b/>
                <w:bCs/>
                <w:sz w:val="18"/>
                <w:szCs w:val="18"/>
                <w:lang w:val="en-GB" w:eastAsia="en-GB"/>
              </w:rPr>
            </w:pPr>
          </w:p>
        </w:tc>
      </w:tr>
      <w:tr w:rsidR="00434819" w:rsidRPr="00434819" w14:paraId="3551CB97" w14:textId="77777777" w:rsidTr="00434819">
        <w:trPr>
          <w:divId w:val="1426874971"/>
          <w:trHeight w:val="300"/>
        </w:trPr>
        <w:tc>
          <w:tcPr>
            <w:tcW w:w="2110" w:type="dxa"/>
            <w:tcBorders>
              <w:top w:val="nil"/>
              <w:left w:val="nil"/>
              <w:bottom w:val="single" w:sz="4" w:space="0" w:color="auto"/>
              <w:right w:val="nil"/>
            </w:tcBorders>
            <w:shd w:val="clear" w:color="000000" w:fill="FFFFFF"/>
            <w:noWrap/>
            <w:vAlign w:val="bottom"/>
            <w:hideMark/>
          </w:tcPr>
          <w:p w14:paraId="56A41299" w14:textId="77777777" w:rsidR="00434819" w:rsidRPr="00434819" w:rsidRDefault="00434819" w:rsidP="00434819">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230" w:type="dxa"/>
            <w:tcBorders>
              <w:top w:val="nil"/>
              <w:left w:val="nil"/>
              <w:bottom w:val="single" w:sz="4" w:space="0" w:color="auto"/>
              <w:right w:val="nil"/>
            </w:tcBorders>
            <w:shd w:val="clear" w:color="000000" w:fill="FFFFFF"/>
            <w:noWrap/>
            <w:vAlign w:val="bottom"/>
            <w:hideMark/>
          </w:tcPr>
          <w:p w14:paraId="6F6A63DA"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Est.</w:t>
            </w:r>
          </w:p>
        </w:tc>
        <w:tc>
          <w:tcPr>
            <w:tcW w:w="1170" w:type="dxa"/>
            <w:tcBorders>
              <w:top w:val="nil"/>
              <w:left w:val="nil"/>
              <w:bottom w:val="single" w:sz="4" w:space="0" w:color="auto"/>
              <w:right w:val="nil"/>
            </w:tcBorders>
            <w:shd w:val="clear" w:color="000000" w:fill="FFFFFF"/>
            <w:noWrap/>
            <w:vAlign w:val="bottom"/>
            <w:hideMark/>
          </w:tcPr>
          <w:p w14:paraId="5F858E17"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SE</w:t>
            </w:r>
          </w:p>
        </w:tc>
        <w:tc>
          <w:tcPr>
            <w:tcW w:w="1140" w:type="dxa"/>
            <w:tcBorders>
              <w:top w:val="nil"/>
              <w:left w:val="nil"/>
              <w:bottom w:val="single" w:sz="4" w:space="0" w:color="auto"/>
              <w:right w:val="nil"/>
            </w:tcBorders>
            <w:shd w:val="clear" w:color="000000" w:fill="FFFFFF"/>
            <w:noWrap/>
            <w:vAlign w:val="bottom"/>
            <w:hideMark/>
          </w:tcPr>
          <w:p w14:paraId="21A8F7C7"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Est.</w:t>
            </w:r>
          </w:p>
        </w:tc>
        <w:tc>
          <w:tcPr>
            <w:tcW w:w="1170" w:type="dxa"/>
            <w:tcBorders>
              <w:top w:val="nil"/>
              <w:left w:val="nil"/>
              <w:bottom w:val="single" w:sz="4" w:space="0" w:color="auto"/>
              <w:right w:val="nil"/>
            </w:tcBorders>
            <w:shd w:val="clear" w:color="000000" w:fill="FFFFFF"/>
            <w:noWrap/>
            <w:vAlign w:val="bottom"/>
            <w:hideMark/>
          </w:tcPr>
          <w:p w14:paraId="6A364496"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SE</w:t>
            </w:r>
          </w:p>
        </w:tc>
        <w:tc>
          <w:tcPr>
            <w:tcW w:w="1050" w:type="dxa"/>
            <w:vMerge/>
            <w:tcBorders>
              <w:top w:val="single" w:sz="4" w:space="0" w:color="auto"/>
              <w:left w:val="nil"/>
              <w:bottom w:val="single" w:sz="4" w:space="0" w:color="000000"/>
              <w:right w:val="nil"/>
            </w:tcBorders>
            <w:vAlign w:val="center"/>
            <w:hideMark/>
          </w:tcPr>
          <w:p w14:paraId="3EF230A5" w14:textId="77777777" w:rsidR="00434819" w:rsidRPr="00434819" w:rsidRDefault="00434819" w:rsidP="00434819">
            <w:pPr>
              <w:spacing w:after="0" w:line="240" w:lineRule="auto"/>
              <w:jc w:val="left"/>
              <w:rPr>
                <w:rFonts w:ascii="Times New Roman" w:eastAsia="Times New Roman" w:hAnsi="Times New Roman" w:cs="Times New Roman"/>
                <w:b/>
                <w:bCs/>
                <w:sz w:val="18"/>
                <w:szCs w:val="18"/>
                <w:lang w:val="en-GB" w:eastAsia="en-GB"/>
              </w:rPr>
            </w:pPr>
          </w:p>
        </w:tc>
        <w:tc>
          <w:tcPr>
            <w:tcW w:w="1320" w:type="dxa"/>
            <w:tcBorders>
              <w:top w:val="nil"/>
              <w:left w:val="nil"/>
              <w:bottom w:val="single" w:sz="4" w:space="0" w:color="auto"/>
              <w:right w:val="nil"/>
            </w:tcBorders>
            <w:shd w:val="clear" w:color="000000" w:fill="FFFFFF"/>
            <w:noWrap/>
            <w:vAlign w:val="bottom"/>
            <w:hideMark/>
          </w:tcPr>
          <w:p w14:paraId="6C40F0F9"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Est.</w:t>
            </w:r>
          </w:p>
        </w:tc>
        <w:tc>
          <w:tcPr>
            <w:tcW w:w="1170" w:type="dxa"/>
            <w:tcBorders>
              <w:top w:val="nil"/>
              <w:left w:val="nil"/>
              <w:bottom w:val="single" w:sz="4" w:space="0" w:color="auto"/>
              <w:right w:val="nil"/>
            </w:tcBorders>
            <w:shd w:val="clear" w:color="000000" w:fill="FFFFFF"/>
            <w:noWrap/>
            <w:vAlign w:val="bottom"/>
            <w:hideMark/>
          </w:tcPr>
          <w:p w14:paraId="126961CB"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SE</w:t>
            </w:r>
          </w:p>
        </w:tc>
        <w:tc>
          <w:tcPr>
            <w:tcW w:w="1320" w:type="dxa"/>
            <w:tcBorders>
              <w:top w:val="nil"/>
              <w:left w:val="nil"/>
              <w:bottom w:val="single" w:sz="4" w:space="0" w:color="auto"/>
              <w:right w:val="nil"/>
            </w:tcBorders>
            <w:shd w:val="clear" w:color="000000" w:fill="FFFFFF"/>
            <w:noWrap/>
            <w:vAlign w:val="bottom"/>
            <w:hideMark/>
          </w:tcPr>
          <w:p w14:paraId="6FD95A6C"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Est.</w:t>
            </w:r>
          </w:p>
        </w:tc>
        <w:tc>
          <w:tcPr>
            <w:tcW w:w="1170" w:type="dxa"/>
            <w:tcBorders>
              <w:top w:val="nil"/>
              <w:left w:val="nil"/>
              <w:bottom w:val="single" w:sz="4" w:space="0" w:color="auto"/>
              <w:right w:val="nil"/>
            </w:tcBorders>
            <w:shd w:val="clear" w:color="000000" w:fill="FFFFFF"/>
            <w:noWrap/>
            <w:vAlign w:val="bottom"/>
            <w:hideMark/>
          </w:tcPr>
          <w:p w14:paraId="006ECB7D" w14:textId="77777777" w:rsidR="00434819" w:rsidRPr="00434819" w:rsidRDefault="00434819" w:rsidP="00434819">
            <w:pPr>
              <w:spacing w:after="0" w:line="240" w:lineRule="auto"/>
              <w:jc w:val="center"/>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SE</w:t>
            </w:r>
          </w:p>
        </w:tc>
        <w:tc>
          <w:tcPr>
            <w:tcW w:w="580" w:type="dxa"/>
            <w:vMerge/>
            <w:tcBorders>
              <w:top w:val="single" w:sz="4" w:space="0" w:color="auto"/>
              <w:left w:val="nil"/>
              <w:bottom w:val="single" w:sz="4" w:space="0" w:color="000000"/>
              <w:right w:val="nil"/>
            </w:tcBorders>
            <w:vAlign w:val="center"/>
            <w:hideMark/>
          </w:tcPr>
          <w:p w14:paraId="35811D67" w14:textId="77777777" w:rsidR="00434819" w:rsidRPr="00434819" w:rsidRDefault="00434819" w:rsidP="00434819">
            <w:pPr>
              <w:spacing w:after="0" w:line="240" w:lineRule="auto"/>
              <w:jc w:val="left"/>
              <w:rPr>
                <w:rFonts w:ascii="Times New Roman" w:eastAsia="Times New Roman" w:hAnsi="Times New Roman" w:cs="Times New Roman"/>
                <w:b/>
                <w:bCs/>
                <w:sz w:val="18"/>
                <w:szCs w:val="18"/>
                <w:lang w:val="en-GB" w:eastAsia="en-GB"/>
              </w:rPr>
            </w:pPr>
          </w:p>
        </w:tc>
      </w:tr>
      <w:tr w:rsidR="00434819" w:rsidRPr="00434819" w14:paraId="2D3A10E3"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1DFC36A0" w14:textId="77777777" w:rsidR="00434819" w:rsidRPr="00434819" w:rsidRDefault="00434819" w:rsidP="00434819">
            <w:pPr>
              <w:spacing w:after="0" w:line="240" w:lineRule="auto"/>
              <w:jc w:val="left"/>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Gender</w:t>
            </w:r>
          </w:p>
        </w:tc>
        <w:tc>
          <w:tcPr>
            <w:tcW w:w="1230" w:type="dxa"/>
            <w:tcBorders>
              <w:top w:val="nil"/>
              <w:left w:val="nil"/>
              <w:bottom w:val="nil"/>
              <w:right w:val="nil"/>
            </w:tcBorders>
            <w:shd w:val="clear" w:color="000000" w:fill="FFFFFF"/>
            <w:noWrap/>
            <w:vAlign w:val="bottom"/>
            <w:hideMark/>
          </w:tcPr>
          <w:p w14:paraId="6FC858A3" w14:textId="77777777" w:rsidR="00434819" w:rsidRPr="00434819" w:rsidRDefault="00434819" w:rsidP="001512AC">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73FD4E1D" w14:textId="77777777" w:rsidR="00434819" w:rsidRPr="00434819" w:rsidRDefault="00434819" w:rsidP="001512AC">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40" w:type="dxa"/>
            <w:tcBorders>
              <w:top w:val="nil"/>
              <w:left w:val="nil"/>
              <w:bottom w:val="nil"/>
              <w:right w:val="nil"/>
            </w:tcBorders>
            <w:shd w:val="clear" w:color="000000" w:fill="FFFFFF"/>
            <w:noWrap/>
            <w:vAlign w:val="bottom"/>
            <w:hideMark/>
          </w:tcPr>
          <w:p w14:paraId="57AA93C3" w14:textId="77777777" w:rsidR="00434819" w:rsidRPr="00434819" w:rsidRDefault="00434819" w:rsidP="001512AC">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45F388F7" w14:textId="77777777" w:rsidR="00434819" w:rsidRPr="00434819" w:rsidRDefault="00434819" w:rsidP="001512AC">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2ADA3F80" w14:textId="77777777" w:rsidR="00434819" w:rsidRPr="00434819" w:rsidRDefault="00434819" w:rsidP="001512AC">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nil"/>
              <w:left w:val="nil"/>
              <w:bottom w:val="nil"/>
              <w:right w:val="nil"/>
            </w:tcBorders>
            <w:shd w:val="clear" w:color="000000" w:fill="FFFFFF"/>
            <w:noWrap/>
            <w:vAlign w:val="bottom"/>
            <w:hideMark/>
          </w:tcPr>
          <w:p w14:paraId="11C2EE30" w14:textId="77777777" w:rsidR="00434819" w:rsidRPr="00434819" w:rsidRDefault="00434819" w:rsidP="001512AC">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7E38755C" w14:textId="77777777" w:rsidR="00434819" w:rsidRPr="00434819" w:rsidRDefault="00434819" w:rsidP="001512AC">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nil"/>
              <w:left w:val="nil"/>
              <w:bottom w:val="nil"/>
              <w:right w:val="nil"/>
            </w:tcBorders>
            <w:shd w:val="clear" w:color="000000" w:fill="FFFFFF"/>
            <w:noWrap/>
            <w:vAlign w:val="bottom"/>
            <w:hideMark/>
          </w:tcPr>
          <w:p w14:paraId="56FB4707" w14:textId="77777777" w:rsidR="00434819" w:rsidRPr="00434819" w:rsidRDefault="00434819" w:rsidP="00434819">
            <w:pPr>
              <w:spacing w:after="0" w:line="240" w:lineRule="auto"/>
              <w:jc w:val="center"/>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00E0B415" w14:textId="77777777" w:rsidR="00434819" w:rsidRPr="00434819" w:rsidRDefault="00434819" w:rsidP="00434819">
            <w:pPr>
              <w:spacing w:after="0" w:line="240" w:lineRule="auto"/>
              <w:jc w:val="center"/>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580" w:type="dxa"/>
            <w:tcBorders>
              <w:top w:val="nil"/>
              <w:left w:val="nil"/>
              <w:bottom w:val="nil"/>
              <w:right w:val="nil"/>
            </w:tcBorders>
            <w:shd w:val="clear" w:color="000000" w:fill="FFFFFF"/>
            <w:noWrap/>
            <w:vAlign w:val="bottom"/>
            <w:hideMark/>
          </w:tcPr>
          <w:p w14:paraId="4769499E" w14:textId="77777777" w:rsidR="00434819" w:rsidRPr="00434819" w:rsidRDefault="00434819" w:rsidP="00434819">
            <w:pPr>
              <w:spacing w:after="0" w:line="240" w:lineRule="auto"/>
              <w:jc w:val="center"/>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r>
      <w:tr w:rsidR="00434819" w:rsidRPr="00434819" w14:paraId="4BC556A8"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27A6954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Male</w:t>
            </w:r>
          </w:p>
        </w:tc>
        <w:tc>
          <w:tcPr>
            <w:tcW w:w="1230" w:type="dxa"/>
            <w:tcBorders>
              <w:top w:val="nil"/>
              <w:left w:val="nil"/>
              <w:bottom w:val="nil"/>
              <w:right w:val="nil"/>
            </w:tcBorders>
            <w:shd w:val="clear" w:color="000000" w:fill="FFFFFF"/>
            <w:noWrap/>
            <w:vAlign w:val="bottom"/>
            <w:hideMark/>
          </w:tcPr>
          <w:p w14:paraId="3CB9A334"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0.029</w:t>
            </w:r>
          </w:p>
        </w:tc>
        <w:tc>
          <w:tcPr>
            <w:tcW w:w="1170" w:type="dxa"/>
            <w:tcBorders>
              <w:top w:val="nil"/>
              <w:left w:val="nil"/>
              <w:bottom w:val="nil"/>
              <w:right w:val="nil"/>
            </w:tcBorders>
            <w:shd w:val="clear" w:color="000000" w:fill="FFFFFF"/>
            <w:noWrap/>
            <w:vAlign w:val="bottom"/>
            <w:hideMark/>
          </w:tcPr>
          <w:p w14:paraId="38B6D6A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(0.021)</w:t>
            </w:r>
          </w:p>
        </w:tc>
        <w:tc>
          <w:tcPr>
            <w:tcW w:w="1140" w:type="dxa"/>
            <w:tcBorders>
              <w:top w:val="nil"/>
              <w:left w:val="nil"/>
              <w:bottom w:val="nil"/>
              <w:right w:val="nil"/>
            </w:tcBorders>
            <w:shd w:val="clear" w:color="000000" w:fill="FFFFFF"/>
            <w:noWrap/>
            <w:vAlign w:val="bottom"/>
            <w:hideMark/>
          </w:tcPr>
          <w:p w14:paraId="5954EF66"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0.029*</w:t>
            </w:r>
          </w:p>
        </w:tc>
        <w:tc>
          <w:tcPr>
            <w:tcW w:w="1170" w:type="dxa"/>
            <w:tcBorders>
              <w:top w:val="nil"/>
              <w:left w:val="nil"/>
              <w:bottom w:val="nil"/>
              <w:right w:val="nil"/>
            </w:tcBorders>
            <w:shd w:val="clear" w:color="000000" w:fill="FFFFFF"/>
            <w:noWrap/>
            <w:vAlign w:val="bottom"/>
            <w:hideMark/>
          </w:tcPr>
          <w:p w14:paraId="2A710122"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(0.016)</w:t>
            </w:r>
          </w:p>
        </w:tc>
        <w:tc>
          <w:tcPr>
            <w:tcW w:w="1050" w:type="dxa"/>
            <w:tcBorders>
              <w:top w:val="nil"/>
              <w:left w:val="nil"/>
              <w:bottom w:val="nil"/>
              <w:right w:val="nil"/>
            </w:tcBorders>
            <w:shd w:val="clear" w:color="000000" w:fill="FFFFFF"/>
            <w:noWrap/>
            <w:vAlign w:val="bottom"/>
            <w:hideMark/>
          </w:tcPr>
          <w:p w14:paraId="4C45507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2,552</w:t>
            </w:r>
          </w:p>
        </w:tc>
        <w:tc>
          <w:tcPr>
            <w:tcW w:w="1320" w:type="dxa"/>
            <w:tcBorders>
              <w:top w:val="nil"/>
              <w:left w:val="nil"/>
              <w:bottom w:val="nil"/>
              <w:right w:val="nil"/>
            </w:tcBorders>
            <w:shd w:val="clear" w:color="000000" w:fill="FFFFFF"/>
            <w:noWrap/>
            <w:vAlign w:val="bottom"/>
            <w:hideMark/>
          </w:tcPr>
          <w:p w14:paraId="1A2CBA4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-0.034</w:t>
            </w:r>
          </w:p>
        </w:tc>
        <w:tc>
          <w:tcPr>
            <w:tcW w:w="1170" w:type="dxa"/>
            <w:tcBorders>
              <w:top w:val="nil"/>
              <w:left w:val="nil"/>
              <w:bottom w:val="nil"/>
              <w:right w:val="nil"/>
            </w:tcBorders>
            <w:shd w:val="clear" w:color="000000" w:fill="FFFFFF"/>
            <w:noWrap/>
            <w:vAlign w:val="bottom"/>
            <w:hideMark/>
          </w:tcPr>
          <w:p w14:paraId="40F2EF7D"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(0.031)</w:t>
            </w:r>
          </w:p>
        </w:tc>
        <w:tc>
          <w:tcPr>
            <w:tcW w:w="1320" w:type="dxa"/>
            <w:tcBorders>
              <w:top w:val="nil"/>
              <w:left w:val="nil"/>
              <w:bottom w:val="nil"/>
              <w:right w:val="nil"/>
            </w:tcBorders>
            <w:shd w:val="clear" w:color="000000" w:fill="FFFFFF"/>
            <w:noWrap/>
            <w:vAlign w:val="bottom"/>
            <w:hideMark/>
          </w:tcPr>
          <w:p w14:paraId="42DA630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-0.004</w:t>
            </w:r>
          </w:p>
        </w:tc>
        <w:tc>
          <w:tcPr>
            <w:tcW w:w="1170" w:type="dxa"/>
            <w:tcBorders>
              <w:top w:val="nil"/>
              <w:left w:val="nil"/>
              <w:bottom w:val="nil"/>
              <w:right w:val="nil"/>
            </w:tcBorders>
            <w:shd w:val="clear" w:color="000000" w:fill="FFFFFF"/>
            <w:noWrap/>
            <w:vAlign w:val="bottom"/>
            <w:hideMark/>
          </w:tcPr>
          <w:p w14:paraId="4F14F9F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(0.038)</w:t>
            </w:r>
          </w:p>
        </w:tc>
        <w:tc>
          <w:tcPr>
            <w:tcW w:w="580" w:type="dxa"/>
            <w:tcBorders>
              <w:top w:val="nil"/>
              <w:left w:val="nil"/>
              <w:bottom w:val="nil"/>
              <w:right w:val="nil"/>
            </w:tcBorders>
            <w:shd w:val="clear" w:color="000000" w:fill="FFFFFF"/>
            <w:noWrap/>
            <w:vAlign w:val="bottom"/>
            <w:hideMark/>
          </w:tcPr>
          <w:p w14:paraId="72C6B2C6"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381</w:t>
            </w:r>
          </w:p>
        </w:tc>
      </w:tr>
      <w:tr w:rsidR="00434819" w:rsidRPr="00434819" w14:paraId="6FC32AA3" w14:textId="77777777" w:rsidTr="00434819">
        <w:trPr>
          <w:divId w:val="1426874971"/>
          <w:trHeight w:val="300"/>
        </w:trPr>
        <w:tc>
          <w:tcPr>
            <w:tcW w:w="2110" w:type="dxa"/>
            <w:tcBorders>
              <w:top w:val="nil"/>
              <w:left w:val="nil"/>
              <w:bottom w:val="single" w:sz="4" w:space="0" w:color="auto"/>
              <w:right w:val="nil"/>
            </w:tcBorders>
            <w:shd w:val="clear" w:color="000000" w:fill="FFFFFF"/>
            <w:noWrap/>
            <w:vAlign w:val="bottom"/>
            <w:hideMark/>
          </w:tcPr>
          <w:p w14:paraId="6C9A4744"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Female</w:t>
            </w:r>
          </w:p>
        </w:tc>
        <w:tc>
          <w:tcPr>
            <w:tcW w:w="1230" w:type="dxa"/>
            <w:tcBorders>
              <w:top w:val="nil"/>
              <w:left w:val="nil"/>
              <w:bottom w:val="single" w:sz="4" w:space="0" w:color="auto"/>
              <w:right w:val="nil"/>
            </w:tcBorders>
            <w:shd w:val="clear" w:color="000000" w:fill="FFFFFF"/>
            <w:noWrap/>
            <w:vAlign w:val="bottom"/>
            <w:hideMark/>
          </w:tcPr>
          <w:p w14:paraId="75ACEC8B"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-0.002</w:t>
            </w:r>
          </w:p>
        </w:tc>
        <w:tc>
          <w:tcPr>
            <w:tcW w:w="1170" w:type="dxa"/>
            <w:tcBorders>
              <w:top w:val="nil"/>
              <w:left w:val="nil"/>
              <w:bottom w:val="single" w:sz="4" w:space="0" w:color="auto"/>
              <w:right w:val="nil"/>
            </w:tcBorders>
            <w:shd w:val="clear" w:color="000000" w:fill="FFFFFF"/>
            <w:noWrap/>
            <w:vAlign w:val="bottom"/>
            <w:hideMark/>
          </w:tcPr>
          <w:p w14:paraId="05FB7F9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(0.019)</w:t>
            </w:r>
          </w:p>
        </w:tc>
        <w:tc>
          <w:tcPr>
            <w:tcW w:w="1140" w:type="dxa"/>
            <w:tcBorders>
              <w:top w:val="nil"/>
              <w:left w:val="nil"/>
              <w:bottom w:val="single" w:sz="4" w:space="0" w:color="auto"/>
              <w:right w:val="nil"/>
            </w:tcBorders>
            <w:shd w:val="clear" w:color="000000" w:fill="FFFFFF"/>
            <w:noWrap/>
            <w:vAlign w:val="bottom"/>
            <w:hideMark/>
          </w:tcPr>
          <w:p w14:paraId="1C5B924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0.012</w:t>
            </w:r>
          </w:p>
        </w:tc>
        <w:tc>
          <w:tcPr>
            <w:tcW w:w="1170" w:type="dxa"/>
            <w:tcBorders>
              <w:top w:val="nil"/>
              <w:left w:val="nil"/>
              <w:bottom w:val="single" w:sz="4" w:space="0" w:color="auto"/>
              <w:right w:val="nil"/>
            </w:tcBorders>
            <w:shd w:val="clear" w:color="000000" w:fill="FFFFFF"/>
            <w:noWrap/>
            <w:vAlign w:val="bottom"/>
            <w:hideMark/>
          </w:tcPr>
          <w:p w14:paraId="0006E13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(0.012)</w:t>
            </w:r>
          </w:p>
        </w:tc>
        <w:tc>
          <w:tcPr>
            <w:tcW w:w="1050" w:type="dxa"/>
            <w:tcBorders>
              <w:top w:val="nil"/>
              <w:left w:val="nil"/>
              <w:bottom w:val="single" w:sz="4" w:space="0" w:color="auto"/>
              <w:right w:val="nil"/>
            </w:tcBorders>
            <w:shd w:val="clear" w:color="000000" w:fill="FFFFFF"/>
            <w:noWrap/>
            <w:vAlign w:val="bottom"/>
            <w:hideMark/>
          </w:tcPr>
          <w:p w14:paraId="22FAE2C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3,209</w:t>
            </w:r>
          </w:p>
        </w:tc>
        <w:tc>
          <w:tcPr>
            <w:tcW w:w="1320" w:type="dxa"/>
            <w:tcBorders>
              <w:top w:val="nil"/>
              <w:left w:val="nil"/>
              <w:bottom w:val="single" w:sz="4" w:space="0" w:color="auto"/>
              <w:right w:val="nil"/>
            </w:tcBorders>
            <w:shd w:val="clear" w:color="000000" w:fill="FFFFFF"/>
            <w:noWrap/>
            <w:vAlign w:val="bottom"/>
            <w:hideMark/>
          </w:tcPr>
          <w:p w14:paraId="0DD9F5E9"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0.178***</w:t>
            </w:r>
          </w:p>
        </w:tc>
        <w:tc>
          <w:tcPr>
            <w:tcW w:w="1170" w:type="dxa"/>
            <w:tcBorders>
              <w:top w:val="nil"/>
              <w:left w:val="nil"/>
              <w:bottom w:val="single" w:sz="4" w:space="0" w:color="auto"/>
              <w:right w:val="nil"/>
            </w:tcBorders>
            <w:shd w:val="clear" w:color="000000" w:fill="FFFFFF"/>
            <w:noWrap/>
            <w:vAlign w:val="bottom"/>
            <w:hideMark/>
          </w:tcPr>
          <w:p w14:paraId="7DBBAD0E"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(0.055)</w:t>
            </w:r>
          </w:p>
        </w:tc>
        <w:tc>
          <w:tcPr>
            <w:tcW w:w="1320" w:type="dxa"/>
            <w:tcBorders>
              <w:top w:val="nil"/>
              <w:left w:val="nil"/>
              <w:bottom w:val="single" w:sz="4" w:space="0" w:color="auto"/>
              <w:right w:val="nil"/>
            </w:tcBorders>
            <w:shd w:val="clear" w:color="000000" w:fill="FFFFFF"/>
            <w:noWrap/>
            <w:vAlign w:val="bottom"/>
            <w:hideMark/>
          </w:tcPr>
          <w:p w14:paraId="23EAE1E2"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0.202***</w:t>
            </w:r>
          </w:p>
        </w:tc>
        <w:tc>
          <w:tcPr>
            <w:tcW w:w="1170" w:type="dxa"/>
            <w:tcBorders>
              <w:top w:val="nil"/>
              <w:left w:val="nil"/>
              <w:bottom w:val="single" w:sz="4" w:space="0" w:color="auto"/>
              <w:right w:val="nil"/>
            </w:tcBorders>
            <w:shd w:val="clear" w:color="000000" w:fill="FFFFFF"/>
            <w:noWrap/>
            <w:vAlign w:val="bottom"/>
            <w:hideMark/>
          </w:tcPr>
          <w:p w14:paraId="04E84EE2"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(0.059)</w:t>
            </w:r>
          </w:p>
        </w:tc>
        <w:tc>
          <w:tcPr>
            <w:tcW w:w="580" w:type="dxa"/>
            <w:tcBorders>
              <w:top w:val="nil"/>
              <w:left w:val="nil"/>
              <w:bottom w:val="single" w:sz="4" w:space="0" w:color="auto"/>
              <w:right w:val="nil"/>
            </w:tcBorders>
            <w:shd w:val="clear" w:color="000000" w:fill="FFFFFF"/>
            <w:noWrap/>
            <w:vAlign w:val="bottom"/>
            <w:hideMark/>
          </w:tcPr>
          <w:p w14:paraId="5F26D4EB"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227</w:t>
            </w:r>
          </w:p>
        </w:tc>
      </w:tr>
      <w:tr w:rsidR="00434819" w:rsidRPr="00434819" w14:paraId="0376ACDC"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2D47A54E" w14:textId="77777777" w:rsidR="00434819" w:rsidRPr="00434819" w:rsidRDefault="00434819" w:rsidP="00434819">
            <w:pPr>
              <w:spacing w:after="0" w:line="240" w:lineRule="auto"/>
              <w:jc w:val="left"/>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Age groups</w:t>
            </w:r>
          </w:p>
        </w:tc>
        <w:tc>
          <w:tcPr>
            <w:tcW w:w="1230" w:type="dxa"/>
            <w:tcBorders>
              <w:top w:val="nil"/>
              <w:left w:val="nil"/>
              <w:bottom w:val="nil"/>
              <w:right w:val="nil"/>
            </w:tcBorders>
            <w:shd w:val="clear" w:color="000000" w:fill="FFFFFF"/>
            <w:noWrap/>
            <w:vAlign w:val="bottom"/>
            <w:hideMark/>
          </w:tcPr>
          <w:p w14:paraId="309D5F0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20526FA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40" w:type="dxa"/>
            <w:tcBorders>
              <w:top w:val="nil"/>
              <w:left w:val="nil"/>
              <w:bottom w:val="nil"/>
              <w:right w:val="nil"/>
            </w:tcBorders>
            <w:shd w:val="clear" w:color="000000" w:fill="FFFFFF"/>
            <w:noWrap/>
            <w:vAlign w:val="bottom"/>
            <w:hideMark/>
          </w:tcPr>
          <w:p w14:paraId="1591F55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1B7CFF3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2558A6B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nil"/>
              <w:left w:val="nil"/>
              <w:bottom w:val="nil"/>
              <w:right w:val="nil"/>
            </w:tcBorders>
            <w:shd w:val="clear" w:color="000000" w:fill="FFFFFF"/>
            <w:noWrap/>
            <w:vAlign w:val="bottom"/>
            <w:hideMark/>
          </w:tcPr>
          <w:p w14:paraId="54FFC4D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732F659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nil"/>
              <w:left w:val="nil"/>
              <w:bottom w:val="nil"/>
              <w:right w:val="nil"/>
            </w:tcBorders>
            <w:shd w:val="clear" w:color="000000" w:fill="FFFFFF"/>
            <w:noWrap/>
            <w:vAlign w:val="bottom"/>
            <w:hideMark/>
          </w:tcPr>
          <w:p w14:paraId="7C58300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5E36AFBD"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580" w:type="dxa"/>
            <w:tcBorders>
              <w:top w:val="nil"/>
              <w:left w:val="nil"/>
              <w:bottom w:val="nil"/>
              <w:right w:val="nil"/>
            </w:tcBorders>
            <w:shd w:val="clear" w:color="000000" w:fill="FFFFFF"/>
            <w:noWrap/>
            <w:vAlign w:val="bottom"/>
            <w:hideMark/>
          </w:tcPr>
          <w:p w14:paraId="7300DEF7" w14:textId="77777777" w:rsidR="00434819" w:rsidRPr="00434819" w:rsidRDefault="00434819" w:rsidP="00434819">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r>
      <w:tr w:rsidR="00434819" w:rsidRPr="00434819" w14:paraId="4B783AF7"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7AD2229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16-29</w:t>
            </w:r>
          </w:p>
        </w:tc>
        <w:tc>
          <w:tcPr>
            <w:tcW w:w="1230" w:type="dxa"/>
            <w:tcBorders>
              <w:top w:val="nil"/>
              <w:left w:val="nil"/>
              <w:bottom w:val="nil"/>
              <w:right w:val="nil"/>
            </w:tcBorders>
            <w:shd w:val="clear" w:color="000000" w:fill="FFFFFF"/>
            <w:noWrap/>
            <w:vAlign w:val="bottom"/>
            <w:hideMark/>
          </w:tcPr>
          <w:p w14:paraId="6A864E0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0.016</w:t>
            </w:r>
          </w:p>
        </w:tc>
        <w:tc>
          <w:tcPr>
            <w:tcW w:w="1170" w:type="dxa"/>
            <w:tcBorders>
              <w:top w:val="nil"/>
              <w:left w:val="nil"/>
              <w:bottom w:val="nil"/>
              <w:right w:val="nil"/>
            </w:tcBorders>
            <w:shd w:val="clear" w:color="000000" w:fill="FFFFFF"/>
            <w:noWrap/>
            <w:vAlign w:val="bottom"/>
            <w:hideMark/>
          </w:tcPr>
          <w:p w14:paraId="3D6B511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(0.040)</w:t>
            </w:r>
          </w:p>
        </w:tc>
        <w:tc>
          <w:tcPr>
            <w:tcW w:w="1140" w:type="dxa"/>
            <w:tcBorders>
              <w:top w:val="nil"/>
              <w:left w:val="nil"/>
              <w:bottom w:val="nil"/>
              <w:right w:val="nil"/>
            </w:tcBorders>
            <w:shd w:val="clear" w:color="000000" w:fill="FFFFFF"/>
            <w:noWrap/>
            <w:vAlign w:val="bottom"/>
            <w:hideMark/>
          </w:tcPr>
          <w:p w14:paraId="5913635B"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-0.006</w:t>
            </w:r>
          </w:p>
        </w:tc>
        <w:tc>
          <w:tcPr>
            <w:tcW w:w="1170" w:type="dxa"/>
            <w:tcBorders>
              <w:top w:val="nil"/>
              <w:left w:val="nil"/>
              <w:bottom w:val="nil"/>
              <w:right w:val="nil"/>
            </w:tcBorders>
            <w:shd w:val="clear" w:color="000000" w:fill="FFFFFF"/>
            <w:noWrap/>
            <w:vAlign w:val="bottom"/>
            <w:hideMark/>
          </w:tcPr>
          <w:p w14:paraId="57D77F2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(0.033)</w:t>
            </w:r>
          </w:p>
        </w:tc>
        <w:tc>
          <w:tcPr>
            <w:tcW w:w="1050" w:type="dxa"/>
            <w:tcBorders>
              <w:top w:val="nil"/>
              <w:left w:val="nil"/>
              <w:bottom w:val="nil"/>
              <w:right w:val="nil"/>
            </w:tcBorders>
            <w:shd w:val="clear" w:color="000000" w:fill="FFFFFF"/>
            <w:noWrap/>
            <w:vAlign w:val="bottom"/>
            <w:hideMark/>
          </w:tcPr>
          <w:p w14:paraId="01353CD5"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915</w:t>
            </w:r>
          </w:p>
        </w:tc>
        <w:tc>
          <w:tcPr>
            <w:tcW w:w="1320" w:type="dxa"/>
            <w:tcBorders>
              <w:top w:val="nil"/>
              <w:left w:val="nil"/>
              <w:bottom w:val="nil"/>
              <w:right w:val="nil"/>
            </w:tcBorders>
            <w:shd w:val="clear" w:color="000000" w:fill="FFFFFF"/>
            <w:noWrap/>
            <w:vAlign w:val="bottom"/>
            <w:hideMark/>
          </w:tcPr>
          <w:p w14:paraId="726B660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0.044</w:t>
            </w:r>
          </w:p>
        </w:tc>
        <w:tc>
          <w:tcPr>
            <w:tcW w:w="1170" w:type="dxa"/>
            <w:tcBorders>
              <w:top w:val="nil"/>
              <w:left w:val="nil"/>
              <w:bottom w:val="nil"/>
              <w:right w:val="nil"/>
            </w:tcBorders>
            <w:shd w:val="clear" w:color="000000" w:fill="FFFFFF"/>
            <w:noWrap/>
            <w:vAlign w:val="bottom"/>
            <w:hideMark/>
          </w:tcPr>
          <w:p w14:paraId="1D372D8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(0.043)</w:t>
            </w:r>
          </w:p>
        </w:tc>
        <w:tc>
          <w:tcPr>
            <w:tcW w:w="1320" w:type="dxa"/>
            <w:tcBorders>
              <w:top w:val="nil"/>
              <w:left w:val="nil"/>
              <w:bottom w:val="nil"/>
              <w:right w:val="nil"/>
            </w:tcBorders>
            <w:shd w:val="clear" w:color="000000" w:fill="FFFFFF"/>
            <w:noWrap/>
            <w:vAlign w:val="bottom"/>
            <w:hideMark/>
          </w:tcPr>
          <w:p w14:paraId="68D9B45B"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0.079</w:t>
            </w:r>
          </w:p>
        </w:tc>
        <w:tc>
          <w:tcPr>
            <w:tcW w:w="1170" w:type="dxa"/>
            <w:tcBorders>
              <w:top w:val="nil"/>
              <w:left w:val="nil"/>
              <w:bottom w:val="nil"/>
              <w:right w:val="nil"/>
            </w:tcBorders>
            <w:shd w:val="clear" w:color="000000" w:fill="FFFFFF"/>
            <w:noWrap/>
            <w:vAlign w:val="bottom"/>
            <w:hideMark/>
          </w:tcPr>
          <w:p w14:paraId="02E908FD"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(0.051)</w:t>
            </w:r>
          </w:p>
        </w:tc>
        <w:tc>
          <w:tcPr>
            <w:tcW w:w="580" w:type="dxa"/>
            <w:tcBorders>
              <w:top w:val="nil"/>
              <w:left w:val="nil"/>
              <w:bottom w:val="nil"/>
              <w:right w:val="nil"/>
            </w:tcBorders>
            <w:shd w:val="clear" w:color="000000" w:fill="FFFFFF"/>
            <w:noWrap/>
            <w:vAlign w:val="bottom"/>
            <w:hideMark/>
          </w:tcPr>
          <w:p w14:paraId="410A840A"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227</w:t>
            </w:r>
          </w:p>
        </w:tc>
      </w:tr>
      <w:tr w:rsidR="00434819" w:rsidRPr="00434819" w14:paraId="2C1E89AD"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5E7B039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30-44</w:t>
            </w:r>
          </w:p>
        </w:tc>
        <w:tc>
          <w:tcPr>
            <w:tcW w:w="1230" w:type="dxa"/>
            <w:tcBorders>
              <w:top w:val="nil"/>
              <w:left w:val="nil"/>
              <w:bottom w:val="nil"/>
              <w:right w:val="nil"/>
            </w:tcBorders>
            <w:shd w:val="clear" w:color="000000" w:fill="FFFFFF"/>
            <w:noWrap/>
            <w:vAlign w:val="bottom"/>
            <w:hideMark/>
          </w:tcPr>
          <w:p w14:paraId="3045032F"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0.092**</w:t>
            </w:r>
          </w:p>
        </w:tc>
        <w:tc>
          <w:tcPr>
            <w:tcW w:w="1170" w:type="dxa"/>
            <w:tcBorders>
              <w:top w:val="nil"/>
              <w:left w:val="nil"/>
              <w:bottom w:val="nil"/>
              <w:right w:val="nil"/>
            </w:tcBorders>
            <w:shd w:val="clear" w:color="000000" w:fill="FFFFFF"/>
            <w:noWrap/>
            <w:vAlign w:val="bottom"/>
            <w:hideMark/>
          </w:tcPr>
          <w:p w14:paraId="6297E150"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(0.038)</w:t>
            </w:r>
          </w:p>
        </w:tc>
        <w:tc>
          <w:tcPr>
            <w:tcW w:w="1140" w:type="dxa"/>
            <w:tcBorders>
              <w:top w:val="nil"/>
              <w:left w:val="nil"/>
              <w:bottom w:val="nil"/>
              <w:right w:val="nil"/>
            </w:tcBorders>
            <w:shd w:val="clear" w:color="000000" w:fill="FFFFFF"/>
            <w:noWrap/>
            <w:vAlign w:val="bottom"/>
            <w:hideMark/>
          </w:tcPr>
          <w:p w14:paraId="77AB9F9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0.040</w:t>
            </w:r>
          </w:p>
        </w:tc>
        <w:tc>
          <w:tcPr>
            <w:tcW w:w="1170" w:type="dxa"/>
            <w:tcBorders>
              <w:top w:val="nil"/>
              <w:left w:val="nil"/>
              <w:bottom w:val="nil"/>
              <w:right w:val="nil"/>
            </w:tcBorders>
            <w:shd w:val="clear" w:color="000000" w:fill="FFFFFF"/>
            <w:noWrap/>
            <w:vAlign w:val="bottom"/>
            <w:hideMark/>
          </w:tcPr>
          <w:p w14:paraId="0E16426B"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(0.029)</w:t>
            </w:r>
          </w:p>
        </w:tc>
        <w:tc>
          <w:tcPr>
            <w:tcW w:w="1050" w:type="dxa"/>
            <w:tcBorders>
              <w:top w:val="nil"/>
              <w:left w:val="nil"/>
              <w:bottom w:val="nil"/>
              <w:right w:val="nil"/>
            </w:tcBorders>
            <w:shd w:val="clear" w:color="000000" w:fill="FFFFFF"/>
            <w:noWrap/>
            <w:vAlign w:val="bottom"/>
            <w:hideMark/>
          </w:tcPr>
          <w:p w14:paraId="06FEBF5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1,093</w:t>
            </w:r>
          </w:p>
        </w:tc>
        <w:tc>
          <w:tcPr>
            <w:tcW w:w="1320" w:type="dxa"/>
            <w:tcBorders>
              <w:top w:val="nil"/>
              <w:left w:val="nil"/>
              <w:bottom w:val="nil"/>
              <w:right w:val="nil"/>
            </w:tcBorders>
            <w:shd w:val="clear" w:color="000000" w:fill="FFFFFF"/>
            <w:noWrap/>
            <w:vAlign w:val="bottom"/>
            <w:hideMark/>
          </w:tcPr>
          <w:p w14:paraId="75FF367B"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-0.035</w:t>
            </w:r>
          </w:p>
        </w:tc>
        <w:tc>
          <w:tcPr>
            <w:tcW w:w="1170" w:type="dxa"/>
            <w:tcBorders>
              <w:top w:val="nil"/>
              <w:left w:val="nil"/>
              <w:bottom w:val="nil"/>
              <w:right w:val="nil"/>
            </w:tcBorders>
            <w:shd w:val="clear" w:color="000000" w:fill="FFFFFF"/>
            <w:noWrap/>
            <w:vAlign w:val="bottom"/>
            <w:hideMark/>
          </w:tcPr>
          <w:p w14:paraId="5ADA10A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(0.076)</w:t>
            </w:r>
          </w:p>
        </w:tc>
        <w:tc>
          <w:tcPr>
            <w:tcW w:w="1320" w:type="dxa"/>
            <w:tcBorders>
              <w:top w:val="nil"/>
              <w:left w:val="nil"/>
              <w:bottom w:val="nil"/>
              <w:right w:val="nil"/>
            </w:tcBorders>
            <w:shd w:val="clear" w:color="000000" w:fill="FFFFFF"/>
            <w:noWrap/>
            <w:vAlign w:val="bottom"/>
            <w:hideMark/>
          </w:tcPr>
          <w:p w14:paraId="7ABCEBB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-0.068</w:t>
            </w:r>
          </w:p>
        </w:tc>
        <w:tc>
          <w:tcPr>
            <w:tcW w:w="1170" w:type="dxa"/>
            <w:tcBorders>
              <w:top w:val="nil"/>
              <w:left w:val="nil"/>
              <w:bottom w:val="nil"/>
              <w:right w:val="nil"/>
            </w:tcBorders>
            <w:shd w:val="clear" w:color="000000" w:fill="FFFFFF"/>
            <w:noWrap/>
            <w:vAlign w:val="bottom"/>
            <w:hideMark/>
          </w:tcPr>
          <w:p w14:paraId="3CACD08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(0.070)</w:t>
            </w:r>
          </w:p>
        </w:tc>
        <w:tc>
          <w:tcPr>
            <w:tcW w:w="580" w:type="dxa"/>
            <w:tcBorders>
              <w:top w:val="nil"/>
              <w:left w:val="nil"/>
              <w:bottom w:val="nil"/>
              <w:right w:val="nil"/>
            </w:tcBorders>
            <w:shd w:val="clear" w:color="000000" w:fill="FFFFFF"/>
            <w:noWrap/>
            <w:vAlign w:val="bottom"/>
            <w:hideMark/>
          </w:tcPr>
          <w:p w14:paraId="4CC7E810"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106</w:t>
            </w:r>
          </w:p>
        </w:tc>
      </w:tr>
      <w:tr w:rsidR="00434819" w:rsidRPr="00434819" w14:paraId="543663BC"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2A947FD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45-64</w:t>
            </w:r>
          </w:p>
        </w:tc>
        <w:tc>
          <w:tcPr>
            <w:tcW w:w="1230" w:type="dxa"/>
            <w:tcBorders>
              <w:top w:val="nil"/>
              <w:left w:val="nil"/>
              <w:bottom w:val="nil"/>
              <w:right w:val="nil"/>
            </w:tcBorders>
            <w:shd w:val="clear" w:color="000000" w:fill="FFFFFF"/>
            <w:noWrap/>
            <w:vAlign w:val="bottom"/>
            <w:hideMark/>
          </w:tcPr>
          <w:p w14:paraId="1DF9850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-0.009</w:t>
            </w:r>
          </w:p>
        </w:tc>
        <w:tc>
          <w:tcPr>
            <w:tcW w:w="1170" w:type="dxa"/>
            <w:tcBorders>
              <w:top w:val="nil"/>
              <w:left w:val="nil"/>
              <w:bottom w:val="nil"/>
              <w:right w:val="nil"/>
            </w:tcBorders>
            <w:shd w:val="clear" w:color="000000" w:fill="FFFFFF"/>
            <w:noWrap/>
            <w:vAlign w:val="bottom"/>
            <w:hideMark/>
          </w:tcPr>
          <w:p w14:paraId="0871CF5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(0.024)</w:t>
            </w:r>
          </w:p>
        </w:tc>
        <w:tc>
          <w:tcPr>
            <w:tcW w:w="1140" w:type="dxa"/>
            <w:tcBorders>
              <w:top w:val="nil"/>
              <w:left w:val="nil"/>
              <w:bottom w:val="nil"/>
              <w:right w:val="nil"/>
            </w:tcBorders>
            <w:shd w:val="clear" w:color="000000" w:fill="FFFFFF"/>
            <w:noWrap/>
            <w:vAlign w:val="bottom"/>
            <w:hideMark/>
          </w:tcPr>
          <w:p w14:paraId="112BF60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0.019</w:t>
            </w:r>
          </w:p>
        </w:tc>
        <w:tc>
          <w:tcPr>
            <w:tcW w:w="1170" w:type="dxa"/>
            <w:tcBorders>
              <w:top w:val="nil"/>
              <w:left w:val="nil"/>
              <w:bottom w:val="nil"/>
              <w:right w:val="nil"/>
            </w:tcBorders>
            <w:shd w:val="clear" w:color="000000" w:fill="FFFFFF"/>
            <w:noWrap/>
            <w:vAlign w:val="bottom"/>
            <w:hideMark/>
          </w:tcPr>
          <w:p w14:paraId="5E893D15"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(0.015)</w:t>
            </w:r>
          </w:p>
        </w:tc>
        <w:tc>
          <w:tcPr>
            <w:tcW w:w="1050" w:type="dxa"/>
            <w:tcBorders>
              <w:top w:val="nil"/>
              <w:left w:val="nil"/>
              <w:bottom w:val="nil"/>
              <w:right w:val="nil"/>
            </w:tcBorders>
            <w:shd w:val="clear" w:color="000000" w:fill="FFFFFF"/>
            <w:noWrap/>
            <w:vAlign w:val="bottom"/>
            <w:hideMark/>
          </w:tcPr>
          <w:p w14:paraId="51F93BB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2,031</w:t>
            </w:r>
          </w:p>
        </w:tc>
        <w:tc>
          <w:tcPr>
            <w:tcW w:w="1320" w:type="dxa"/>
            <w:tcBorders>
              <w:top w:val="nil"/>
              <w:left w:val="nil"/>
              <w:bottom w:val="nil"/>
              <w:right w:val="nil"/>
            </w:tcBorders>
            <w:shd w:val="clear" w:color="000000" w:fill="FFFFFF"/>
            <w:noWrap/>
            <w:vAlign w:val="bottom"/>
            <w:hideMark/>
          </w:tcPr>
          <w:p w14:paraId="6175140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0.075</w:t>
            </w:r>
          </w:p>
        </w:tc>
        <w:tc>
          <w:tcPr>
            <w:tcW w:w="1170" w:type="dxa"/>
            <w:tcBorders>
              <w:top w:val="nil"/>
              <w:left w:val="nil"/>
              <w:bottom w:val="nil"/>
              <w:right w:val="nil"/>
            </w:tcBorders>
            <w:shd w:val="clear" w:color="000000" w:fill="FFFFFF"/>
            <w:noWrap/>
            <w:vAlign w:val="bottom"/>
            <w:hideMark/>
          </w:tcPr>
          <w:p w14:paraId="638E38F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(0.055)</w:t>
            </w:r>
          </w:p>
        </w:tc>
        <w:tc>
          <w:tcPr>
            <w:tcW w:w="1320" w:type="dxa"/>
            <w:tcBorders>
              <w:top w:val="nil"/>
              <w:left w:val="nil"/>
              <w:bottom w:val="nil"/>
              <w:right w:val="nil"/>
            </w:tcBorders>
            <w:shd w:val="clear" w:color="000000" w:fill="FFFFFF"/>
            <w:noWrap/>
            <w:vAlign w:val="bottom"/>
            <w:hideMark/>
          </w:tcPr>
          <w:p w14:paraId="622D4A0E"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0.152**</w:t>
            </w:r>
          </w:p>
        </w:tc>
        <w:tc>
          <w:tcPr>
            <w:tcW w:w="1170" w:type="dxa"/>
            <w:tcBorders>
              <w:top w:val="nil"/>
              <w:left w:val="nil"/>
              <w:bottom w:val="nil"/>
              <w:right w:val="nil"/>
            </w:tcBorders>
            <w:shd w:val="clear" w:color="000000" w:fill="FFFFFF"/>
            <w:noWrap/>
            <w:vAlign w:val="bottom"/>
            <w:hideMark/>
          </w:tcPr>
          <w:p w14:paraId="7E7ED67F"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(0.061)</w:t>
            </w:r>
          </w:p>
        </w:tc>
        <w:tc>
          <w:tcPr>
            <w:tcW w:w="580" w:type="dxa"/>
            <w:tcBorders>
              <w:top w:val="nil"/>
              <w:left w:val="nil"/>
              <w:bottom w:val="nil"/>
              <w:right w:val="nil"/>
            </w:tcBorders>
            <w:shd w:val="clear" w:color="000000" w:fill="FFFFFF"/>
            <w:noWrap/>
            <w:vAlign w:val="bottom"/>
            <w:hideMark/>
          </w:tcPr>
          <w:p w14:paraId="62F7B70D"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194</w:t>
            </w:r>
          </w:p>
        </w:tc>
      </w:tr>
      <w:tr w:rsidR="00434819" w:rsidRPr="00434819" w14:paraId="3EBFE7FA" w14:textId="77777777" w:rsidTr="00434819">
        <w:trPr>
          <w:divId w:val="1426874971"/>
          <w:trHeight w:val="300"/>
        </w:trPr>
        <w:tc>
          <w:tcPr>
            <w:tcW w:w="2110" w:type="dxa"/>
            <w:tcBorders>
              <w:top w:val="nil"/>
              <w:left w:val="nil"/>
              <w:bottom w:val="single" w:sz="4" w:space="0" w:color="auto"/>
              <w:right w:val="nil"/>
            </w:tcBorders>
            <w:shd w:val="clear" w:color="000000" w:fill="FFFFFF"/>
            <w:noWrap/>
            <w:vAlign w:val="bottom"/>
            <w:hideMark/>
          </w:tcPr>
          <w:p w14:paraId="459D005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65+</w:t>
            </w:r>
          </w:p>
        </w:tc>
        <w:tc>
          <w:tcPr>
            <w:tcW w:w="1230" w:type="dxa"/>
            <w:tcBorders>
              <w:top w:val="nil"/>
              <w:left w:val="nil"/>
              <w:bottom w:val="single" w:sz="4" w:space="0" w:color="auto"/>
              <w:right w:val="nil"/>
            </w:tcBorders>
            <w:shd w:val="clear" w:color="000000" w:fill="FFFFFF"/>
            <w:noWrap/>
            <w:vAlign w:val="bottom"/>
            <w:hideMark/>
          </w:tcPr>
          <w:p w14:paraId="332393D4"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0.000</w:t>
            </w:r>
          </w:p>
        </w:tc>
        <w:tc>
          <w:tcPr>
            <w:tcW w:w="1170" w:type="dxa"/>
            <w:tcBorders>
              <w:top w:val="nil"/>
              <w:left w:val="nil"/>
              <w:bottom w:val="single" w:sz="4" w:space="0" w:color="auto"/>
              <w:right w:val="nil"/>
            </w:tcBorders>
            <w:shd w:val="clear" w:color="000000" w:fill="FFFFFF"/>
            <w:noWrap/>
            <w:vAlign w:val="bottom"/>
            <w:hideMark/>
          </w:tcPr>
          <w:p w14:paraId="76EAEDA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(0.027)</w:t>
            </w:r>
          </w:p>
        </w:tc>
        <w:tc>
          <w:tcPr>
            <w:tcW w:w="1140" w:type="dxa"/>
            <w:tcBorders>
              <w:top w:val="nil"/>
              <w:left w:val="nil"/>
              <w:bottom w:val="single" w:sz="4" w:space="0" w:color="auto"/>
              <w:right w:val="nil"/>
            </w:tcBorders>
            <w:shd w:val="clear" w:color="000000" w:fill="FFFFFF"/>
            <w:noWrap/>
            <w:vAlign w:val="bottom"/>
            <w:hideMark/>
          </w:tcPr>
          <w:p w14:paraId="2DABFE0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0.025</w:t>
            </w:r>
          </w:p>
        </w:tc>
        <w:tc>
          <w:tcPr>
            <w:tcW w:w="1170" w:type="dxa"/>
            <w:tcBorders>
              <w:top w:val="nil"/>
              <w:left w:val="nil"/>
              <w:bottom w:val="single" w:sz="4" w:space="0" w:color="auto"/>
              <w:right w:val="nil"/>
            </w:tcBorders>
            <w:shd w:val="clear" w:color="000000" w:fill="FFFFFF"/>
            <w:noWrap/>
            <w:vAlign w:val="bottom"/>
            <w:hideMark/>
          </w:tcPr>
          <w:p w14:paraId="3A3C3A3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(0.020)</w:t>
            </w:r>
          </w:p>
        </w:tc>
        <w:tc>
          <w:tcPr>
            <w:tcW w:w="1050" w:type="dxa"/>
            <w:tcBorders>
              <w:top w:val="nil"/>
              <w:left w:val="nil"/>
              <w:bottom w:val="single" w:sz="4" w:space="0" w:color="auto"/>
              <w:right w:val="nil"/>
            </w:tcBorders>
            <w:shd w:val="clear" w:color="000000" w:fill="FFFFFF"/>
            <w:noWrap/>
            <w:vAlign w:val="bottom"/>
            <w:hideMark/>
          </w:tcPr>
          <w:p w14:paraId="33921F4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1,722</w:t>
            </w:r>
          </w:p>
        </w:tc>
        <w:tc>
          <w:tcPr>
            <w:tcW w:w="1320" w:type="dxa"/>
            <w:tcBorders>
              <w:top w:val="nil"/>
              <w:left w:val="nil"/>
              <w:bottom w:val="single" w:sz="4" w:space="0" w:color="auto"/>
              <w:right w:val="nil"/>
            </w:tcBorders>
            <w:shd w:val="clear" w:color="000000" w:fill="FFFFFF"/>
            <w:noWrap/>
            <w:vAlign w:val="bottom"/>
            <w:hideMark/>
          </w:tcPr>
          <w:p w14:paraId="07C5E13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0.061</w:t>
            </w:r>
          </w:p>
        </w:tc>
        <w:tc>
          <w:tcPr>
            <w:tcW w:w="1170" w:type="dxa"/>
            <w:tcBorders>
              <w:top w:val="nil"/>
              <w:left w:val="nil"/>
              <w:bottom w:val="single" w:sz="4" w:space="0" w:color="auto"/>
              <w:right w:val="nil"/>
            </w:tcBorders>
            <w:shd w:val="clear" w:color="000000" w:fill="FFFFFF"/>
            <w:noWrap/>
            <w:vAlign w:val="bottom"/>
            <w:hideMark/>
          </w:tcPr>
          <w:p w14:paraId="4D5D1A2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(0.067)</w:t>
            </w:r>
          </w:p>
        </w:tc>
        <w:tc>
          <w:tcPr>
            <w:tcW w:w="1320" w:type="dxa"/>
            <w:tcBorders>
              <w:top w:val="nil"/>
              <w:left w:val="nil"/>
              <w:bottom w:val="single" w:sz="4" w:space="0" w:color="auto"/>
              <w:right w:val="nil"/>
            </w:tcBorders>
            <w:shd w:val="clear" w:color="000000" w:fill="FFFFFF"/>
            <w:noWrap/>
            <w:vAlign w:val="bottom"/>
            <w:hideMark/>
          </w:tcPr>
          <w:p w14:paraId="07C1F01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0.022</w:t>
            </w:r>
          </w:p>
        </w:tc>
        <w:tc>
          <w:tcPr>
            <w:tcW w:w="1170" w:type="dxa"/>
            <w:tcBorders>
              <w:top w:val="nil"/>
              <w:left w:val="nil"/>
              <w:bottom w:val="single" w:sz="4" w:space="0" w:color="auto"/>
              <w:right w:val="nil"/>
            </w:tcBorders>
            <w:shd w:val="clear" w:color="000000" w:fill="FFFFFF"/>
            <w:noWrap/>
            <w:vAlign w:val="bottom"/>
            <w:hideMark/>
          </w:tcPr>
          <w:p w14:paraId="3625521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(0.086)</w:t>
            </w:r>
          </w:p>
        </w:tc>
        <w:tc>
          <w:tcPr>
            <w:tcW w:w="580" w:type="dxa"/>
            <w:tcBorders>
              <w:top w:val="nil"/>
              <w:left w:val="nil"/>
              <w:bottom w:val="single" w:sz="4" w:space="0" w:color="auto"/>
              <w:right w:val="nil"/>
            </w:tcBorders>
            <w:shd w:val="clear" w:color="000000" w:fill="FFFFFF"/>
            <w:noWrap/>
            <w:vAlign w:val="bottom"/>
            <w:hideMark/>
          </w:tcPr>
          <w:p w14:paraId="50CC0A9C"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81</w:t>
            </w:r>
          </w:p>
        </w:tc>
      </w:tr>
      <w:tr w:rsidR="00434819" w:rsidRPr="00434819" w14:paraId="6624D13F"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63332B79" w14:textId="77777777" w:rsidR="00434819" w:rsidRPr="00434819" w:rsidRDefault="00434819" w:rsidP="00434819">
            <w:pPr>
              <w:spacing w:after="0" w:line="240" w:lineRule="auto"/>
              <w:jc w:val="left"/>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Education</w:t>
            </w:r>
          </w:p>
        </w:tc>
        <w:tc>
          <w:tcPr>
            <w:tcW w:w="1230" w:type="dxa"/>
            <w:tcBorders>
              <w:top w:val="nil"/>
              <w:left w:val="nil"/>
              <w:bottom w:val="nil"/>
              <w:right w:val="nil"/>
            </w:tcBorders>
            <w:shd w:val="clear" w:color="000000" w:fill="FFFFFF"/>
            <w:noWrap/>
            <w:vAlign w:val="bottom"/>
            <w:hideMark/>
          </w:tcPr>
          <w:p w14:paraId="3D17B00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50C7D12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40" w:type="dxa"/>
            <w:tcBorders>
              <w:top w:val="nil"/>
              <w:left w:val="nil"/>
              <w:bottom w:val="nil"/>
              <w:right w:val="nil"/>
            </w:tcBorders>
            <w:shd w:val="clear" w:color="000000" w:fill="FFFFFF"/>
            <w:noWrap/>
            <w:vAlign w:val="bottom"/>
            <w:hideMark/>
          </w:tcPr>
          <w:p w14:paraId="1CB0C21B"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44134AF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332FD8A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nil"/>
              <w:left w:val="nil"/>
              <w:bottom w:val="nil"/>
              <w:right w:val="nil"/>
            </w:tcBorders>
            <w:shd w:val="clear" w:color="000000" w:fill="FFFFFF"/>
            <w:noWrap/>
            <w:vAlign w:val="bottom"/>
            <w:hideMark/>
          </w:tcPr>
          <w:p w14:paraId="4D980A6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5CD351E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nil"/>
              <w:left w:val="nil"/>
              <w:bottom w:val="nil"/>
              <w:right w:val="nil"/>
            </w:tcBorders>
            <w:shd w:val="clear" w:color="000000" w:fill="FFFFFF"/>
            <w:noWrap/>
            <w:vAlign w:val="bottom"/>
            <w:hideMark/>
          </w:tcPr>
          <w:p w14:paraId="31F8FD6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381D478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580" w:type="dxa"/>
            <w:tcBorders>
              <w:top w:val="nil"/>
              <w:left w:val="nil"/>
              <w:bottom w:val="nil"/>
              <w:right w:val="nil"/>
            </w:tcBorders>
            <w:shd w:val="clear" w:color="000000" w:fill="FFFFFF"/>
            <w:noWrap/>
            <w:vAlign w:val="bottom"/>
            <w:hideMark/>
          </w:tcPr>
          <w:p w14:paraId="564D14D3" w14:textId="77777777" w:rsidR="00434819" w:rsidRPr="00434819" w:rsidRDefault="00434819" w:rsidP="00434819">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r>
      <w:tr w:rsidR="00434819" w:rsidRPr="00434819" w14:paraId="380782C1"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2D7C3BA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No degree</w:t>
            </w:r>
          </w:p>
        </w:tc>
        <w:tc>
          <w:tcPr>
            <w:tcW w:w="1230" w:type="dxa"/>
            <w:tcBorders>
              <w:top w:val="nil"/>
              <w:left w:val="nil"/>
              <w:bottom w:val="nil"/>
              <w:right w:val="nil"/>
            </w:tcBorders>
            <w:shd w:val="clear" w:color="000000" w:fill="FFFFFF"/>
            <w:noWrap/>
            <w:vAlign w:val="bottom"/>
            <w:hideMark/>
          </w:tcPr>
          <w:p w14:paraId="12082585"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0.013</w:t>
            </w:r>
          </w:p>
        </w:tc>
        <w:tc>
          <w:tcPr>
            <w:tcW w:w="1170" w:type="dxa"/>
            <w:tcBorders>
              <w:top w:val="nil"/>
              <w:left w:val="nil"/>
              <w:bottom w:val="nil"/>
              <w:right w:val="nil"/>
            </w:tcBorders>
            <w:shd w:val="clear" w:color="000000" w:fill="FFFFFF"/>
            <w:noWrap/>
            <w:vAlign w:val="bottom"/>
            <w:hideMark/>
          </w:tcPr>
          <w:p w14:paraId="5D94223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(0.052)</w:t>
            </w:r>
          </w:p>
        </w:tc>
        <w:tc>
          <w:tcPr>
            <w:tcW w:w="1140" w:type="dxa"/>
            <w:tcBorders>
              <w:top w:val="nil"/>
              <w:left w:val="nil"/>
              <w:bottom w:val="nil"/>
              <w:right w:val="nil"/>
            </w:tcBorders>
            <w:shd w:val="clear" w:color="000000" w:fill="FFFFFF"/>
            <w:noWrap/>
            <w:vAlign w:val="bottom"/>
            <w:hideMark/>
          </w:tcPr>
          <w:p w14:paraId="16F1ECC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0.027*</w:t>
            </w:r>
          </w:p>
        </w:tc>
        <w:tc>
          <w:tcPr>
            <w:tcW w:w="1170" w:type="dxa"/>
            <w:tcBorders>
              <w:top w:val="nil"/>
              <w:left w:val="nil"/>
              <w:bottom w:val="nil"/>
              <w:right w:val="nil"/>
            </w:tcBorders>
            <w:shd w:val="clear" w:color="000000" w:fill="FFFFFF"/>
            <w:noWrap/>
            <w:vAlign w:val="bottom"/>
            <w:hideMark/>
          </w:tcPr>
          <w:p w14:paraId="5A1562B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(0.015)</w:t>
            </w:r>
          </w:p>
        </w:tc>
        <w:tc>
          <w:tcPr>
            <w:tcW w:w="1050" w:type="dxa"/>
            <w:tcBorders>
              <w:top w:val="nil"/>
              <w:left w:val="nil"/>
              <w:bottom w:val="nil"/>
              <w:right w:val="nil"/>
            </w:tcBorders>
            <w:shd w:val="clear" w:color="000000" w:fill="FFFFFF"/>
            <w:noWrap/>
            <w:vAlign w:val="bottom"/>
            <w:hideMark/>
          </w:tcPr>
          <w:p w14:paraId="0179BB5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4,152</w:t>
            </w:r>
          </w:p>
        </w:tc>
        <w:tc>
          <w:tcPr>
            <w:tcW w:w="1320" w:type="dxa"/>
            <w:tcBorders>
              <w:top w:val="nil"/>
              <w:left w:val="nil"/>
              <w:bottom w:val="nil"/>
              <w:right w:val="nil"/>
            </w:tcBorders>
            <w:shd w:val="clear" w:color="000000" w:fill="FFFFFF"/>
            <w:noWrap/>
            <w:vAlign w:val="bottom"/>
            <w:hideMark/>
          </w:tcPr>
          <w:p w14:paraId="3614A17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0.046</w:t>
            </w:r>
          </w:p>
        </w:tc>
        <w:tc>
          <w:tcPr>
            <w:tcW w:w="1170" w:type="dxa"/>
            <w:tcBorders>
              <w:top w:val="nil"/>
              <w:left w:val="nil"/>
              <w:bottom w:val="nil"/>
              <w:right w:val="nil"/>
            </w:tcBorders>
            <w:shd w:val="clear" w:color="000000" w:fill="FFFFFF"/>
            <w:noWrap/>
            <w:vAlign w:val="bottom"/>
            <w:hideMark/>
          </w:tcPr>
          <w:p w14:paraId="508245A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(0.053)</w:t>
            </w:r>
          </w:p>
        </w:tc>
        <w:tc>
          <w:tcPr>
            <w:tcW w:w="1320" w:type="dxa"/>
            <w:tcBorders>
              <w:top w:val="nil"/>
              <w:left w:val="nil"/>
              <w:bottom w:val="nil"/>
              <w:right w:val="nil"/>
            </w:tcBorders>
            <w:shd w:val="clear" w:color="000000" w:fill="FFFFFF"/>
            <w:noWrap/>
            <w:vAlign w:val="bottom"/>
            <w:hideMark/>
          </w:tcPr>
          <w:p w14:paraId="30B7795A"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0.067*</w:t>
            </w:r>
          </w:p>
        </w:tc>
        <w:tc>
          <w:tcPr>
            <w:tcW w:w="1170" w:type="dxa"/>
            <w:tcBorders>
              <w:top w:val="nil"/>
              <w:left w:val="nil"/>
              <w:bottom w:val="nil"/>
              <w:right w:val="nil"/>
            </w:tcBorders>
            <w:shd w:val="clear" w:color="000000" w:fill="FFFFFF"/>
            <w:noWrap/>
            <w:vAlign w:val="bottom"/>
            <w:hideMark/>
          </w:tcPr>
          <w:p w14:paraId="09B74F6F"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(0.039)</w:t>
            </w:r>
          </w:p>
        </w:tc>
        <w:tc>
          <w:tcPr>
            <w:tcW w:w="580" w:type="dxa"/>
            <w:tcBorders>
              <w:top w:val="nil"/>
              <w:left w:val="nil"/>
              <w:bottom w:val="nil"/>
              <w:right w:val="nil"/>
            </w:tcBorders>
            <w:shd w:val="clear" w:color="000000" w:fill="FFFFFF"/>
            <w:noWrap/>
            <w:vAlign w:val="bottom"/>
            <w:hideMark/>
          </w:tcPr>
          <w:p w14:paraId="586F11B7"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472</w:t>
            </w:r>
          </w:p>
        </w:tc>
      </w:tr>
      <w:tr w:rsidR="00434819" w:rsidRPr="00434819" w14:paraId="2C8146DF" w14:textId="77777777" w:rsidTr="00434819">
        <w:trPr>
          <w:divId w:val="1426874971"/>
          <w:trHeight w:val="300"/>
        </w:trPr>
        <w:tc>
          <w:tcPr>
            <w:tcW w:w="2110" w:type="dxa"/>
            <w:tcBorders>
              <w:top w:val="nil"/>
              <w:left w:val="nil"/>
              <w:bottom w:val="single" w:sz="4" w:space="0" w:color="auto"/>
              <w:right w:val="nil"/>
            </w:tcBorders>
            <w:shd w:val="clear" w:color="000000" w:fill="FFFFFF"/>
            <w:noWrap/>
            <w:vAlign w:val="bottom"/>
            <w:hideMark/>
          </w:tcPr>
          <w:p w14:paraId="133007D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Degree</w:t>
            </w:r>
          </w:p>
        </w:tc>
        <w:tc>
          <w:tcPr>
            <w:tcW w:w="1230" w:type="dxa"/>
            <w:tcBorders>
              <w:top w:val="nil"/>
              <w:left w:val="nil"/>
              <w:bottom w:val="single" w:sz="4" w:space="0" w:color="auto"/>
              <w:right w:val="nil"/>
            </w:tcBorders>
            <w:shd w:val="clear" w:color="000000" w:fill="FFFFFF"/>
            <w:noWrap/>
            <w:vAlign w:val="bottom"/>
            <w:hideMark/>
          </w:tcPr>
          <w:p w14:paraId="34A8D7B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0.000</w:t>
            </w:r>
          </w:p>
        </w:tc>
        <w:tc>
          <w:tcPr>
            <w:tcW w:w="1170" w:type="dxa"/>
            <w:tcBorders>
              <w:top w:val="nil"/>
              <w:left w:val="nil"/>
              <w:bottom w:val="single" w:sz="4" w:space="0" w:color="auto"/>
              <w:right w:val="nil"/>
            </w:tcBorders>
            <w:shd w:val="clear" w:color="000000" w:fill="FFFFFF"/>
            <w:noWrap/>
            <w:vAlign w:val="bottom"/>
            <w:hideMark/>
          </w:tcPr>
          <w:p w14:paraId="4C6915F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(0.028)</w:t>
            </w:r>
          </w:p>
        </w:tc>
        <w:tc>
          <w:tcPr>
            <w:tcW w:w="1140" w:type="dxa"/>
            <w:tcBorders>
              <w:top w:val="nil"/>
              <w:left w:val="nil"/>
              <w:bottom w:val="single" w:sz="4" w:space="0" w:color="auto"/>
              <w:right w:val="nil"/>
            </w:tcBorders>
            <w:shd w:val="clear" w:color="000000" w:fill="FFFFFF"/>
            <w:noWrap/>
            <w:vAlign w:val="bottom"/>
            <w:hideMark/>
          </w:tcPr>
          <w:p w14:paraId="767CC0A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-0.001</w:t>
            </w:r>
          </w:p>
        </w:tc>
        <w:tc>
          <w:tcPr>
            <w:tcW w:w="1170" w:type="dxa"/>
            <w:tcBorders>
              <w:top w:val="nil"/>
              <w:left w:val="nil"/>
              <w:bottom w:val="single" w:sz="4" w:space="0" w:color="auto"/>
              <w:right w:val="nil"/>
            </w:tcBorders>
            <w:shd w:val="clear" w:color="000000" w:fill="FFFFFF"/>
            <w:noWrap/>
            <w:vAlign w:val="bottom"/>
            <w:hideMark/>
          </w:tcPr>
          <w:p w14:paraId="2AF7C6A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(0.017)</w:t>
            </w:r>
          </w:p>
        </w:tc>
        <w:tc>
          <w:tcPr>
            <w:tcW w:w="1050" w:type="dxa"/>
            <w:tcBorders>
              <w:top w:val="nil"/>
              <w:left w:val="nil"/>
              <w:bottom w:val="single" w:sz="4" w:space="0" w:color="auto"/>
              <w:right w:val="nil"/>
            </w:tcBorders>
            <w:shd w:val="clear" w:color="000000" w:fill="FFFFFF"/>
            <w:noWrap/>
            <w:vAlign w:val="bottom"/>
            <w:hideMark/>
          </w:tcPr>
          <w:p w14:paraId="7E8C8B1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1,609</w:t>
            </w:r>
          </w:p>
        </w:tc>
        <w:tc>
          <w:tcPr>
            <w:tcW w:w="1320" w:type="dxa"/>
            <w:tcBorders>
              <w:top w:val="nil"/>
              <w:left w:val="nil"/>
              <w:bottom w:val="single" w:sz="4" w:space="0" w:color="auto"/>
              <w:right w:val="nil"/>
            </w:tcBorders>
            <w:shd w:val="clear" w:color="000000" w:fill="FFFFFF"/>
            <w:noWrap/>
            <w:vAlign w:val="bottom"/>
            <w:hideMark/>
          </w:tcPr>
          <w:p w14:paraId="70C0174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0.022</w:t>
            </w:r>
          </w:p>
        </w:tc>
        <w:tc>
          <w:tcPr>
            <w:tcW w:w="1170" w:type="dxa"/>
            <w:tcBorders>
              <w:top w:val="nil"/>
              <w:left w:val="nil"/>
              <w:bottom w:val="single" w:sz="4" w:space="0" w:color="auto"/>
              <w:right w:val="nil"/>
            </w:tcBorders>
            <w:shd w:val="clear" w:color="000000" w:fill="FFFFFF"/>
            <w:noWrap/>
            <w:vAlign w:val="bottom"/>
            <w:hideMark/>
          </w:tcPr>
          <w:p w14:paraId="144A658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(0.048)</w:t>
            </w:r>
          </w:p>
        </w:tc>
        <w:tc>
          <w:tcPr>
            <w:tcW w:w="1320" w:type="dxa"/>
            <w:tcBorders>
              <w:top w:val="nil"/>
              <w:left w:val="nil"/>
              <w:bottom w:val="single" w:sz="4" w:space="0" w:color="auto"/>
              <w:right w:val="nil"/>
            </w:tcBorders>
            <w:shd w:val="clear" w:color="000000" w:fill="FFFFFF"/>
            <w:noWrap/>
            <w:vAlign w:val="bottom"/>
            <w:hideMark/>
          </w:tcPr>
          <w:p w14:paraId="05249D7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0.068</w:t>
            </w:r>
          </w:p>
        </w:tc>
        <w:tc>
          <w:tcPr>
            <w:tcW w:w="1170" w:type="dxa"/>
            <w:tcBorders>
              <w:top w:val="nil"/>
              <w:left w:val="nil"/>
              <w:bottom w:val="single" w:sz="4" w:space="0" w:color="auto"/>
              <w:right w:val="nil"/>
            </w:tcBorders>
            <w:shd w:val="clear" w:color="000000" w:fill="FFFFFF"/>
            <w:noWrap/>
            <w:vAlign w:val="bottom"/>
            <w:hideMark/>
          </w:tcPr>
          <w:p w14:paraId="68B9C06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(0.053)</w:t>
            </w:r>
          </w:p>
        </w:tc>
        <w:tc>
          <w:tcPr>
            <w:tcW w:w="580" w:type="dxa"/>
            <w:tcBorders>
              <w:top w:val="nil"/>
              <w:left w:val="nil"/>
              <w:bottom w:val="single" w:sz="4" w:space="0" w:color="auto"/>
              <w:right w:val="nil"/>
            </w:tcBorders>
            <w:shd w:val="clear" w:color="000000" w:fill="FFFFFF"/>
            <w:noWrap/>
            <w:vAlign w:val="bottom"/>
            <w:hideMark/>
          </w:tcPr>
          <w:p w14:paraId="39166DDB"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136</w:t>
            </w:r>
          </w:p>
        </w:tc>
      </w:tr>
      <w:tr w:rsidR="00434819" w:rsidRPr="00434819" w14:paraId="32110605"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7688AA75" w14:textId="77777777" w:rsidR="00434819" w:rsidRPr="00434819" w:rsidRDefault="00434819" w:rsidP="00434819">
            <w:pPr>
              <w:spacing w:after="0" w:line="240" w:lineRule="auto"/>
              <w:jc w:val="left"/>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Ethnic background</w:t>
            </w:r>
          </w:p>
        </w:tc>
        <w:tc>
          <w:tcPr>
            <w:tcW w:w="1230" w:type="dxa"/>
            <w:tcBorders>
              <w:top w:val="nil"/>
              <w:left w:val="nil"/>
              <w:bottom w:val="nil"/>
              <w:right w:val="nil"/>
            </w:tcBorders>
            <w:shd w:val="clear" w:color="000000" w:fill="FFFFFF"/>
            <w:noWrap/>
            <w:vAlign w:val="bottom"/>
            <w:hideMark/>
          </w:tcPr>
          <w:p w14:paraId="7400355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470B986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40" w:type="dxa"/>
            <w:tcBorders>
              <w:top w:val="nil"/>
              <w:left w:val="nil"/>
              <w:bottom w:val="nil"/>
              <w:right w:val="nil"/>
            </w:tcBorders>
            <w:shd w:val="clear" w:color="000000" w:fill="FFFFFF"/>
            <w:noWrap/>
            <w:vAlign w:val="bottom"/>
            <w:hideMark/>
          </w:tcPr>
          <w:p w14:paraId="22E3B2F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1455830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2F8F659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nil"/>
              <w:left w:val="nil"/>
              <w:bottom w:val="nil"/>
              <w:right w:val="nil"/>
            </w:tcBorders>
            <w:shd w:val="clear" w:color="000000" w:fill="FFFFFF"/>
            <w:noWrap/>
            <w:vAlign w:val="bottom"/>
            <w:hideMark/>
          </w:tcPr>
          <w:p w14:paraId="2B398D2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59E9D515"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nil"/>
              <w:left w:val="nil"/>
              <w:bottom w:val="nil"/>
              <w:right w:val="nil"/>
            </w:tcBorders>
            <w:shd w:val="clear" w:color="000000" w:fill="FFFFFF"/>
            <w:noWrap/>
            <w:vAlign w:val="bottom"/>
            <w:hideMark/>
          </w:tcPr>
          <w:p w14:paraId="7AA0696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76F7BDD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580" w:type="dxa"/>
            <w:tcBorders>
              <w:top w:val="nil"/>
              <w:left w:val="nil"/>
              <w:bottom w:val="nil"/>
              <w:right w:val="nil"/>
            </w:tcBorders>
            <w:shd w:val="clear" w:color="000000" w:fill="FFFFFF"/>
            <w:noWrap/>
            <w:vAlign w:val="bottom"/>
            <w:hideMark/>
          </w:tcPr>
          <w:p w14:paraId="193C1C29" w14:textId="77777777" w:rsidR="00434819" w:rsidRPr="00434819" w:rsidRDefault="00434819" w:rsidP="00434819">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r>
      <w:tr w:rsidR="00434819" w:rsidRPr="00434819" w14:paraId="144F38A8"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5220BF5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Ethnic minority</w:t>
            </w:r>
          </w:p>
        </w:tc>
        <w:tc>
          <w:tcPr>
            <w:tcW w:w="1230" w:type="dxa"/>
            <w:tcBorders>
              <w:top w:val="nil"/>
              <w:left w:val="nil"/>
              <w:bottom w:val="nil"/>
              <w:right w:val="nil"/>
            </w:tcBorders>
            <w:shd w:val="clear" w:color="000000" w:fill="FFFFFF"/>
            <w:noWrap/>
            <w:vAlign w:val="bottom"/>
            <w:hideMark/>
          </w:tcPr>
          <w:p w14:paraId="4D59380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0.005</w:t>
            </w:r>
          </w:p>
        </w:tc>
        <w:tc>
          <w:tcPr>
            <w:tcW w:w="1170" w:type="dxa"/>
            <w:tcBorders>
              <w:top w:val="nil"/>
              <w:left w:val="nil"/>
              <w:bottom w:val="nil"/>
              <w:right w:val="nil"/>
            </w:tcBorders>
            <w:shd w:val="clear" w:color="000000" w:fill="FFFFFF"/>
            <w:noWrap/>
            <w:vAlign w:val="bottom"/>
            <w:hideMark/>
          </w:tcPr>
          <w:p w14:paraId="72C86DE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(0.052)</w:t>
            </w:r>
          </w:p>
        </w:tc>
        <w:tc>
          <w:tcPr>
            <w:tcW w:w="1140" w:type="dxa"/>
            <w:tcBorders>
              <w:top w:val="nil"/>
              <w:left w:val="nil"/>
              <w:bottom w:val="nil"/>
              <w:right w:val="nil"/>
            </w:tcBorders>
            <w:shd w:val="clear" w:color="000000" w:fill="FFFFFF"/>
            <w:noWrap/>
            <w:vAlign w:val="bottom"/>
            <w:hideMark/>
          </w:tcPr>
          <w:p w14:paraId="0E2D9B6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-0.004</w:t>
            </w:r>
          </w:p>
        </w:tc>
        <w:tc>
          <w:tcPr>
            <w:tcW w:w="1170" w:type="dxa"/>
            <w:tcBorders>
              <w:top w:val="nil"/>
              <w:left w:val="nil"/>
              <w:bottom w:val="nil"/>
              <w:right w:val="nil"/>
            </w:tcBorders>
            <w:shd w:val="clear" w:color="000000" w:fill="FFFFFF"/>
            <w:noWrap/>
            <w:vAlign w:val="bottom"/>
            <w:hideMark/>
          </w:tcPr>
          <w:p w14:paraId="06AE84F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(0.038)</w:t>
            </w:r>
          </w:p>
        </w:tc>
        <w:tc>
          <w:tcPr>
            <w:tcW w:w="1050" w:type="dxa"/>
            <w:tcBorders>
              <w:top w:val="nil"/>
              <w:left w:val="nil"/>
              <w:bottom w:val="nil"/>
              <w:right w:val="nil"/>
            </w:tcBorders>
            <w:shd w:val="clear" w:color="000000" w:fill="FFFFFF"/>
            <w:noWrap/>
            <w:vAlign w:val="bottom"/>
            <w:hideMark/>
          </w:tcPr>
          <w:p w14:paraId="703008C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815</w:t>
            </w:r>
          </w:p>
        </w:tc>
        <w:tc>
          <w:tcPr>
            <w:tcW w:w="1320" w:type="dxa"/>
            <w:tcBorders>
              <w:top w:val="nil"/>
              <w:left w:val="nil"/>
              <w:bottom w:val="nil"/>
              <w:right w:val="nil"/>
            </w:tcBorders>
            <w:shd w:val="clear" w:color="000000" w:fill="FFFFFF"/>
            <w:noWrap/>
            <w:vAlign w:val="bottom"/>
            <w:hideMark/>
          </w:tcPr>
          <w:p w14:paraId="7DCE2065"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0.077</w:t>
            </w:r>
          </w:p>
        </w:tc>
        <w:tc>
          <w:tcPr>
            <w:tcW w:w="1170" w:type="dxa"/>
            <w:tcBorders>
              <w:top w:val="nil"/>
              <w:left w:val="nil"/>
              <w:bottom w:val="nil"/>
              <w:right w:val="nil"/>
            </w:tcBorders>
            <w:shd w:val="clear" w:color="000000" w:fill="FFFFFF"/>
            <w:noWrap/>
            <w:vAlign w:val="bottom"/>
            <w:hideMark/>
          </w:tcPr>
          <w:p w14:paraId="67BDBC0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(0.053)</w:t>
            </w:r>
          </w:p>
        </w:tc>
        <w:tc>
          <w:tcPr>
            <w:tcW w:w="1320" w:type="dxa"/>
            <w:tcBorders>
              <w:top w:val="nil"/>
              <w:left w:val="nil"/>
              <w:bottom w:val="nil"/>
              <w:right w:val="nil"/>
            </w:tcBorders>
            <w:shd w:val="clear" w:color="000000" w:fill="FFFFFF"/>
            <w:noWrap/>
            <w:vAlign w:val="bottom"/>
            <w:hideMark/>
          </w:tcPr>
          <w:p w14:paraId="74E228D5"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0.155**</w:t>
            </w:r>
          </w:p>
        </w:tc>
        <w:tc>
          <w:tcPr>
            <w:tcW w:w="1170" w:type="dxa"/>
            <w:tcBorders>
              <w:top w:val="nil"/>
              <w:left w:val="nil"/>
              <w:bottom w:val="nil"/>
              <w:right w:val="nil"/>
            </w:tcBorders>
            <w:shd w:val="clear" w:color="000000" w:fill="FFFFFF"/>
            <w:noWrap/>
            <w:vAlign w:val="bottom"/>
            <w:hideMark/>
          </w:tcPr>
          <w:p w14:paraId="2345759B"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(0.065)</w:t>
            </w:r>
          </w:p>
        </w:tc>
        <w:tc>
          <w:tcPr>
            <w:tcW w:w="580" w:type="dxa"/>
            <w:tcBorders>
              <w:top w:val="nil"/>
              <w:left w:val="nil"/>
              <w:bottom w:val="nil"/>
              <w:right w:val="nil"/>
            </w:tcBorders>
            <w:shd w:val="clear" w:color="000000" w:fill="FFFFFF"/>
            <w:noWrap/>
            <w:vAlign w:val="bottom"/>
            <w:hideMark/>
          </w:tcPr>
          <w:p w14:paraId="3ABD8976"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174</w:t>
            </w:r>
          </w:p>
        </w:tc>
      </w:tr>
      <w:tr w:rsidR="00434819" w:rsidRPr="00434819" w14:paraId="2A765961" w14:textId="77777777" w:rsidTr="00434819">
        <w:trPr>
          <w:divId w:val="1426874971"/>
          <w:trHeight w:val="300"/>
        </w:trPr>
        <w:tc>
          <w:tcPr>
            <w:tcW w:w="2110" w:type="dxa"/>
            <w:tcBorders>
              <w:top w:val="nil"/>
              <w:left w:val="nil"/>
              <w:bottom w:val="single" w:sz="4" w:space="0" w:color="auto"/>
              <w:right w:val="nil"/>
            </w:tcBorders>
            <w:shd w:val="clear" w:color="000000" w:fill="FFFFFF"/>
            <w:noWrap/>
            <w:vAlign w:val="bottom"/>
            <w:hideMark/>
          </w:tcPr>
          <w:p w14:paraId="3E3D2EC4"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White British</w:t>
            </w:r>
          </w:p>
        </w:tc>
        <w:tc>
          <w:tcPr>
            <w:tcW w:w="1230" w:type="dxa"/>
            <w:tcBorders>
              <w:top w:val="nil"/>
              <w:left w:val="nil"/>
              <w:bottom w:val="single" w:sz="4" w:space="0" w:color="auto"/>
              <w:right w:val="nil"/>
            </w:tcBorders>
            <w:shd w:val="clear" w:color="000000" w:fill="FFFFFF"/>
            <w:noWrap/>
            <w:vAlign w:val="bottom"/>
            <w:hideMark/>
          </w:tcPr>
          <w:p w14:paraId="4C37F5B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0.013</w:t>
            </w:r>
          </w:p>
        </w:tc>
        <w:tc>
          <w:tcPr>
            <w:tcW w:w="1170" w:type="dxa"/>
            <w:tcBorders>
              <w:top w:val="nil"/>
              <w:left w:val="nil"/>
              <w:bottom w:val="single" w:sz="4" w:space="0" w:color="auto"/>
              <w:right w:val="nil"/>
            </w:tcBorders>
            <w:shd w:val="clear" w:color="000000" w:fill="FFFFFF"/>
            <w:noWrap/>
            <w:vAlign w:val="bottom"/>
            <w:hideMark/>
          </w:tcPr>
          <w:p w14:paraId="19DA1F2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(0.017)</w:t>
            </w:r>
          </w:p>
        </w:tc>
        <w:tc>
          <w:tcPr>
            <w:tcW w:w="1140" w:type="dxa"/>
            <w:tcBorders>
              <w:top w:val="nil"/>
              <w:left w:val="nil"/>
              <w:bottom w:val="single" w:sz="4" w:space="0" w:color="auto"/>
              <w:right w:val="nil"/>
            </w:tcBorders>
            <w:shd w:val="clear" w:color="000000" w:fill="FFFFFF"/>
            <w:noWrap/>
            <w:vAlign w:val="bottom"/>
            <w:hideMark/>
          </w:tcPr>
          <w:p w14:paraId="5FEA2BC7"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0.023*</w:t>
            </w:r>
          </w:p>
        </w:tc>
        <w:tc>
          <w:tcPr>
            <w:tcW w:w="1170" w:type="dxa"/>
            <w:tcBorders>
              <w:top w:val="nil"/>
              <w:left w:val="nil"/>
              <w:bottom w:val="single" w:sz="4" w:space="0" w:color="auto"/>
              <w:right w:val="nil"/>
            </w:tcBorders>
            <w:shd w:val="clear" w:color="000000" w:fill="FFFFFF"/>
            <w:noWrap/>
            <w:vAlign w:val="bottom"/>
            <w:hideMark/>
          </w:tcPr>
          <w:p w14:paraId="359E60DD"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(0.012)</w:t>
            </w:r>
          </w:p>
        </w:tc>
        <w:tc>
          <w:tcPr>
            <w:tcW w:w="1050" w:type="dxa"/>
            <w:tcBorders>
              <w:top w:val="nil"/>
              <w:left w:val="nil"/>
              <w:bottom w:val="single" w:sz="4" w:space="0" w:color="auto"/>
              <w:right w:val="nil"/>
            </w:tcBorders>
            <w:shd w:val="clear" w:color="000000" w:fill="FFFFFF"/>
            <w:noWrap/>
            <w:vAlign w:val="bottom"/>
            <w:hideMark/>
          </w:tcPr>
          <w:p w14:paraId="17F6C38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4,946</w:t>
            </w:r>
          </w:p>
        </w:tc>
        <w:tc>
          <w:tcPr>
            <w:tcW w:w="1320" w:type="dxa"/>
            <w:tcBorders>
              <w:top w:val="nil"/>
              <w:left w:val="nil"/>
              <w:bottom w:val="single" w:sz="4" w:space="0" w:color="auto"/>
              <w:right w:val="nil"/>
            </w:tcBorders>
            <w:shd w:val="clear" w:color="000000" w:fill="FFFFFF"/>
            <w:noWrap/>
            <w:vAlign w:val="bottom"/>
            <w:hideMark/>
          </w:tcPr>
          <w:p w14:paraId="70B798D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0.031</w:t>
            </w:r>
          </w:p>
        </w:tc>
        <w:tc>
          <w:tcPr>
            <w:tcW w:w="1170" w:type="dxa"/>
            <w:tcBorders>
              <w:top w:val="nil"/>
              <w:left w:val="nil"/>
              <w:bottom w:val="single" w:sz="4" w:space="0" w:color="auto"/>
              <w:right w:val="nil"/>
            </w:tcBorders>
            <w:shd w:val="clear" w:color="000000" w:fill="FFFFFF"/>
            <w:noWrap/>
            <w:vAlign w:val="bottom"/>
            <w:hideMark/>
          </w:tcPr>
          <w:p w14:paraId="4E701E1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(0.033)</w:t>
            </w:r>
          </w:p>
        </w:tc>
        <w:tc>
          <w:tcPr>
            <w:tcW w:w="1320" w:type="dxa"/>
            <w:tcBorders>
              <w:top w:val="nil"/>
              <w:left w:val="nil"/>
              <w:bottom w:val="single" w:sz="4" w:space="0" w:color="auto"/>
              <w:right w:val="nil"/>
            </w:tcBorders>
            <w:shd w:val="clear" w:color="000000" w:fill="FFFFFF"/>
            <w:noWrap/>
            <w:vAlign w:val="bottom"/>
            <w:hideMark/>
          </w:tcPr>
          <w:p w14:paraId="3E3E4C9D"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0.047</w:t>
            </w:r>
          </w:p>
        </w:tc>
        <w:tc>
          <w:tcPr>
            <w:tcW w:w="1170" w:type="dxa"/>
            <w:tcBorders>
              <w:top w:val="nil"/>
              <w:left w:val="nil"/>
              <w:bottom w:val="single" w:sz="4" w:space="0" w:color="auto"/>
              <w:right w:val="nil"/>
            </w:tcBorders>
            <w:shd w:val="clear" w:color="000000" w:fill="FFFFFF"/>
            <w:noWrap/>
            <w:vAlign w:val="bottom"/>
            <w:hideMark/>
          </w:tcPr>
          <w:p w14:paraId="770E061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(0.038)</w:t>
            </w:r>
          </w:p>
        </w:tc>
        <w:tc>
          <w:tcPr>
            <w:tcW w:w="580" w:type="dxa"/>
            <w:tcBorders>
              <w:top w:val="nil"/>
              <w:left w:val="nil"/>
              <w:bottom w:val="single" w:sz="4" w:space="0" w:color="auto"/>
              <w:right w:val="nil"/>
            </w:tcBorders>
            <w:shd w:val="clear" w:color="000000" w:fill="FFFFFF"/>
            <w:noWrap/>
            <w:vAlign w:val="bottom"/>
            <w:hideMark/>
          </w:tcPr>
          <w:p w14:paraId="700C7F23"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434</w:t>
            </w:r>
          </w:p>
        </w:tc>
      </w:tr>
      <w:tr w:rsidR="00434819" w:rsidRPr="00434819" w14:paraId="7C8E4903"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194F94DD" w14:textId="77777777" w:rsidR="00434819" w:rsidRPr="00434819" w:rsidRDefault="00434819" w:rsidP="00434819">
            <w:pPr>
              <w:spacing w:after="0" w:line="240" w:lineRule="auto"/>
              <w:jc w:val="left"/>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Individual income</w:t>
            </w:r>
          </w:p>
        </w:tc>
        <w:tc>
          <w:tcPr>
            <w:tcW w:w="1230" w:type="dxa"/>
            <w:tcBorders>
              <w:top w:val="nil"/>
              <w:left w:val="nil"/>
              <w:bottom w:val="nil"/>
              <w:right w:val="nil"/>
            </w:tcBorders>
            <w:shd w:val="clear" w:color="000000" w:fill="FFFFFF"/>
            <w:noWrap/>
            <w:vAlign w:val="bottom"/>
            <w:hideMark/>
          </w:tcPr>
          <w:p w14:paraId="1D0EA5B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55F86FF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40" w:type="dxa"/>
            <w:tcBorders>
              <w:top w:val="nil"/>
              <w:left w:val="nil"/>
              <w:bottom w:val="nil"/>
              <w:right w:val="nil"/>
            </w:tcBorders>
            <w:shd w:val="clear" w:color="000000" w:fill="FFFFFF"/>
            <w:noWrap/>
            <w:vAlign w:val="bottom"/>
            <w:hideMark/>
          </w:tcPr>
          <w:p w14:paraId="36EC34B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1EAE3B9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1D31397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nil"/>
              <w:left w:val="nil"/>
              <w:bottom w:val="nil"/>
              <w:right w:val="nil"/>
            </w:tcBorders>
            <w:shd w:val="clear" w:color="000000" w:fill="FFFFFF"/>
            <w:noWrap/>
            <w:vAlign w:val="bottom"/>
            <w:hideMark/>
          </w:tcPr>
          <w:p w14:paraId="0477799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7680F92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nil"/>
              <w:left w:val="nil"/>
              <w:bottom w:val="nil"/>
              <w:right w:val="nil"/>
            </w:tcBorders>
            <w:shd w:val="clear" w:color="000000" w:fill="FFFFFF"/>
            <w:noWrap/>
            <w:vAlign w:val="bottom"/>
            <w:hideMark/>
          </w:tcPr>
          <w:p w14:paraId="4CE4840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75A9AF1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580" w:type="dxa"/>
            <w:tcBorders>
              <w:top w:val="nil"/>
              <w:left w:val="nil"/>
              <w:bottom w:val="nil"/>
              <w:right w:val="nil"/>
            </w:tcBorders>
            <w:shd w:val="clear" w:color="000000" w:fill="FFFFFF"/>
            <w:noWrap/>
            <w:vAlign w:val="bottom"/>
            <w:hideMark/>
          </w:tcPr>
          <w:p w14:paraId="09AE3E07" w14:textId="77777777" w:rsidR="00434819" w:rsidRPr="00434819" w:rsidRDefault="00434819" w:rsidP="00434819">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r>
      <w:tr w:rsidR="00434819" w:rsidRPr="00434819" w14:paraId="118D693F"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7993FA5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Q1</w:t>
            </w:r>
          </w:p>
        </w:tc>
        <w:tc>
          <w:tcPr>
            <w:tcW w:w="1230" w:type="dxa"/>
            <w:tcBorders>
              <w:top w:val="nil"/>
              <w:left w:val="nil"/>
              <w:bottom w:val="nil"/>
              <w:right w:val="nil"/>
            </w:tcBorders>
            <w:shd w:val="clear" w:color="000000" w:fill="FFFFFF"/>
            <w:noWrap/>
            <w:vAlign w:val="bottom"/>
            <w:hideMark/>
          </w:tcPr>
          <w:p w14:paraId="3CF6C394"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-0.003</w:t>
            </w:r>
          </w:p>
        </w:tc>
        <w:tc>
          <w:tcPr>
            <w:tcW w:w="1170" w:type="dxa"/>
            <w:tcBorders>
              <w:top w:val="nil"/>
              <w:left w:val="nil"/>
              <w:bottom w:val="nil"/>
              <w:right w:val="nil"/>
            </w:tcBorders>
            <w:shd w:val="clear" w:color="000000" w:fill="FFFFFF"/>
            <w:noWrap/>
            <w:vAlign w:val="bottom"/>
            <w:hideMark/>
          </w:tcPr>
          <w:p w14:paraId="61B9C99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(0.030)</w:t>
            </w:r>
          </w:p>
        </w:tc>
        <w:tc>
          <w:tcPr>
            <w:tcW w:w="1140" w:type="dxa"/>
            <w:tcBorders>
              <w:top w:val="nil"/>
              <w:left w:val="nil"/>
              <w:bottom w:val="nil"/>
              <w:right w:val="nil"/>
            </w:tcBorders>
            <w:shd w:val="clear" w:color="000000" w:fill="FFFFFF"/>
            <w:noWrap/>
            <w:vAlign w:val="bottom"/>
            <w:hideMark/>
          </w:tcPr>
          <w:p w14:paraId="2F78D63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0.009</w:t>
            </w:r>
          </w:p>
        </w:tc>
        <w:tc>
          <w:tcPr>
            <w:tcW w:w="1170" w:type="dxa"/>
            <w:tcBorders>
              <w:top w:val="nil"/>
              <w:left w:val="nil"/>
              <w:bottom w:val="nil"/>
              <w:right w:val="nil"/>
            </w:tcBorders>
            <w:shd w:val="clear" w:color="000000" w:fill="FFFFFF"/>
            <w:noWrap/>
            <w:vAlign w:val="bottom"/>
            <w:hideMark/>
          </w:tcPr>
          <w:p w14:paraId="49BDF23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(0.023)</w:t>
            </w:r>
          </w:p>
        </w:tc>
        <w:tc>
          <w:tcPr>
            <w:tcW w:w="1050" w:type="dxa"/>
            <w:tcBorders>
              <w:top w:val="nil"/>
              <w:left w:val="nil"/>
              <w:bottom w:val="nil"/>
              <w:right w:val="nil"/>
            </w:tcBorders>
            <w:shd w:val="clear" w:color="000000" w:fill="FFFFFF"/>
            <w:noWrap/>
            <w:vAlign w:val="bottom"/>
            <w:hideMark/>
          </w:tcPr>
          <w:p w14:paraId="1700F3DB"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1,361</w:t>
            </w:r>
          </w:p>
        </w:tc>
        <w:tc>
          <w:tcPr>
            <w:tcW w:w="1320" w:type="dxa"/>
            <w:tcBorders>
              <w:top w:val="nil"/>
              <w:left w:val="nil"/>
              <w:bottom w:val="nil"/>
              <w:right w:val="nil"/>
            </w:tcBorders>
            <w:shd w:val="clear" w:color="000000" w:fill="FFFFFF"/>
            <w:noWrap/>
            <w:vAlign w:val="bottom"/>
            <w:hideMark/>
          </w:tcPr>
          <w:p w14:paraId="1A97D8ED"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-0.005</w:t>
            </w:r>
          </w:p>
        </w:tc>
        <w:tc>
          <w:tcPr>
            <w:tcW w:w="1170" w:type="dxa"/>
            <w:tcBorders>
              <w:top w:val="nil"/>
              <w:left w:val="nil"/>
              <w:bottom w:val="nil"/>
              <w:right w:val="nil"/>
            </w:tcBorders>
            <w:shd w:val="clear" w:color="000000" w:fill="FFFFFF"/>
            <w:noWrap/>
            <w:vAlign w:val="bottom"/>
            <w:hideMark/>
          </w:tcPr>
          <w:p w14:paraId="4E69B0B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(0.046)</w:t>
            </w:r>
          </w:p>
        </w:tc>
        <w:tc>
          <w:tcPr>
            <w:tcW w:w="1320" w:type="dxa"/>
            <w:tcBorders>
              <w:top w:val="nil"/>
              <w:left w:val="nil"/>
              <w:bottom w:val="nil"/>
              <w:right w:val="nil"/>
            </w:tcBorders>
            <w:shd w:val="clear" w:color="000000" w:fill="FFFFFF"/>
            <w:noWrap/>
            <w:vAlign w:val="bottom"/>
            <w:hideMark/>
          </w:tcPr>
          <w:p w14:paraId="47AC8A2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0.052</w:t>
            </w:r>
          </w:p>
        </w:tc>
        <w:tc>
          <w:tcPr>
            <w:tcW w:w="1170" w:type="dxa"/>
            <w:tcBorders>
              <w:top w:val="nil"/>
              <w:left w:val="nil"/>
              <w:bottom w:val="nil"/>
              <w:right w:val="nil"/>
            </w:tcBorders>
            <w:shd w:val="clear" w:color="000000" w:fill="FFFFFF"/>
            <w:noWrap/>
            <w:vAlign w:val="bottom"/>
            <w:hideMark/>
          </w:tcPr>
          <w:p w14:paraId="413C22A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(0.050)</w:t>
            </w:r>
          </w:p>
        </w:tc>
        <w:tc>
          <w:tcPr>
            <w:tcW w:w="580" w:type="dxa"/>
            <w:tcBorders>
              <w:top w:val="nil"/>
              <w:left w:val="nil"/>
              <w:bottom w:val="nil"/>
              <w:right w:val="nil"/>
            </w:tcBorders>
            <w:shd w:val="clear" w:color="000000" w:fill="FFFFFF"/>
            <w:noWrap/>
            <w:vAlign w:val="bottom"/>
            <w:hideMark/>
          </w:tcPr>
          <w:p w14:paraId="3B0A3483"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229</w:t>
            </w:r>
          </w:p>
        </w:tc>
      </w:tr>
      <w:tr w:rsidR="00434819" w:rsidRPr="00434819" w14:paraId="512E84B5"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790B5FB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Q2</w:t>
            </w:r>
          </w:p>
        </w:tc>
        <w:tc>
          <w:tcPr>
            <w:tcW w:w="1230" w:type="dxa"/>
            <w:tcBorders>
              <w:top w:val="nil"/>
              <w:left w:val="nil"/>
              <w:bottom w:val="nil"/>
              <w:right w:val="nil"/>
            </w:tcBorders>
            <w:shd w:val="clear" w:color="000000" w:fill="FFFFFF"/>
            <w:noWrap/>
            <w:vAlign w:val="bottom"/>
            <w:hideMark/>
          </w:tcPr>
          <w:p w14:paraId="4462DFEB"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0.031</w:t>
            </w:r>
          </w:p>
        </w:tc>
        <w:tc>
          <w:tcPr>
            <w:tcW w:w="1170" w:type="dxa"/>
            <w:tcBorders>
              <w:top w:val="nil"/>
              <w:left w:val="nil"/>
              <w:bottom w:val="nil"/>
              <w:right w:val="nil"/>
            </w:tcBorders>
            <w:shd w:val="clear" w:color="000000" w:fill="FFFFFF"/>
            <w:noWrap/>
            <w:vAlign w:val="bottom"/>
            <w:hideMark/>
          </w:tcPr>
          <w:p w14:paraId="2035135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(0.029)</w:t>
            </w:r>
          </w:p>
        </w:tc>
        <w:tc>
          <w:tcPr>
            <w:tcW w:w="1140" w:type="dxa"/>
            <w:tcBorders>
              <w:top w:val="nil"/>
              <w:left w:val="nil"/>
              <w:bottom w:val="nil"/>
              <w:right w:val="nil"/>
            </w:tcBorders>
            <w:shd w:val="clear" w:color="000000" w:fill="FFFFFF"/>
            <w:noWrap/>
            <w:vAlign w:val="bottom"/>
            <w:hideMark/>
          </w:tcPr>
          <w:p w14:paraId="2F32AED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0.020</w:t>
            </w:r>
          </w:p>
        </w:tc>
        <w:tc>
          <w:tcPr>
            <w:tcW w:w="1170" w:type="dxa"/>
            <w:tcBorders>
              <w:top w:val="nil"/>
              <w:left w:val="nil"/>
              <w:bottom w:val="nil"/>
              <w:right w:val="nil"/>
            </w:tcBorders>
            <w:shd w:val="clear" w:color="000000" w:fill="FFFFFF"/>
            <w:noWrap/>
            <w:vAlign w:val="bottom"/>
            <w:hideMark/>
          </w:tcPr>
          <w:p w14:paraId="466A529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(0.021)</w:t>
            </w:r>
          </w:p>
        </w:tc>
        <w:tc>
          <w:tcPr>
            <w:tcW w:w="1050" w:type="dxa"/>
            <w:tcBorders>
              <w:top w:val="nil"/>
              <w:left w:val="nil"/>
              <w:bottom w:val="nil"/>
              <w:right w:val="nil"/>
            </w:tcBorders>
            <w:shd w:val="clear" w:color="000000" w:fill="FFFFFF"/>
            <w:noWrap/>
            <w:vAlign w:val="bottom"/>
            <w:hideMark/>
          </w:tcPr>
          <w:p w14:paraId="77EF0E3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1,412</w:t>
            </w:r>
          </w:p>
        </w:tc>
        <w:tc>
          <w:tcPr>
            <w:tcW w:w="1320" w:type="dxa"/>
            <w:tcBorders>
              <w:top w:val="nil"/>
              <w:left w:val="nil"/>
              <w:bottom w:val="nil"/>
              <w:right w:val="nil"/>
            </w:tcBorders>
            <w:shd w:val="clear" w:color="000000" w:fill="FFFFFF"/>
            <w:noWrap/>
            <w:vAlign w:val="bottom"/>
            <w:hideMark/>
          </w:tcPr>
          <w:p w14:paraId="2901705C"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0.109*</w:t>
            </w:r>
          </w:p>
        </w:tc>
        <w:tc>
          <w:tcPr>
            <w:tcW w:w="1170" w:type="dxa"/>
            <w:tcBorders>
              <w:top w:val="nil"/>
              <w:left w:val="nil"/>
              <w:bottom w:val="nil"/>
              <w:right w:val="nil"/>
            </w:tcBorders>
            <w:shd w:val="clear" w:color="000000" w:fill="FFFFFF"/>
            <w:noWrap/>
            <w:vAlign w:val="bottom"/>
            <w:hideMark/>
          </w:tcPr>
          <w:p w14:paraId="37403032"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(0.048)</w:t>
            </w:r>
          </w:p>
        </w:tc>
        <w:tc>
          <w:tcPr>
            <w:tcW w:w="1320" w:type="dxa"/>
            <w:tcBorders>
              <w:top w:val="nil"/>
              <w:left w:val="nil"/>
              <w:bottom w:val="nil"/>
              <w:right w:val="nil"/>
            </w:tcBorders>
            <w:shd w:val="clear" w:color="000000" w:fill="FFFFFF"/>
            <w:noWrap/>
            <w:vAlign w:val="bottom"/>
            <w:hideMark/>
          </w:tcPr>
          <w:p w14:paraId="3485BF8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0.068</w:t>
            </w:r>
          </w:p>
        </w:tc>
        <w:tc>
          <w:tcPr>
            <w:tcW w:w="1170" w:type="dxa"/>
            <w:tcBorders>
              <w:top w:val="nil"/>
              <w:left w:val="nil"/>
              <w:bottom w:val="nil"/>
              <w:right w:val="nil"/>
            </w:tcBorders>
            <w:shd w:val="clear" w:color="000000" w:fill="FFFFFF"/>
            <w:noWrap/>
            <w:vAlign w:val="bottom"/>
            <w:hideMark/>
          </w:tcPr>
          <w:p w14:paraId="0A11CEA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(0.061)</w:t>
            </w:r>
          </w:p>
        </w:tc>
        <w:tc>
          <w:tcPr>
            <w:tcW w:w="580" w:type="dxa"/>
            <w:tcBorders>
              <w:top w:val="nil"/>
              <w:left w:val="nil"/>
              <w:bottom w:val="nil"/>
              <w:right w:val="nil"/>
            </w:tcBorders>
            <w:shd w:val="clear" w:color="000000" w:fill="FFFFFF"/>
            <w:noWrap/>
            <w:vAlign w:val="bottom"/>
            <w:hideMark/>
          </w:tcPr>
          <w:p w14:paraId="68319503"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133</w:t>
            </w:r>
          </w:p>
        </w:tc>
      </w:tr>
      <w:tr w:rsidR="00434819" w:rsidRPr="00434819" w14:paraId="0B69E324"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00A5EDD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Q3</w:t>
            </w:r>
          </w:p>
        </w:tc>
        <w:tc>
          <w:tcPr>
            <w:tcW w:w="1230" w:type="dxa"/>
            <w:tcBorders>
              <w:top w:val="nil"/>
              <w:left w:val="nil"/>
              <w:bottom w:val="nil"/>
              <w:right w:val="nil"/>
            </w:tcBorders>
            <w:shd w:val="clear" w:color="000000" w:fill="FFFFFF"/>
            <w:noWrap/>
            <w:vAlign w:val="bottom"/>
            <w:hideMark/>
          </w:tcPr>
          <w:p w14:paraId="78A1518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0.000</w:t>
            </w:r>
          </w:p>
        </w:tc>
        <w:tc>
          <w:tcPr>
            <w:tcW w:w="1170" w:type="dxa"/>
            <w:tcBorders>
              <w:top w:val="nil"/>
              <w:left w:val="nil"/>
              <w:bottom w:val="nil"/>
              <w:right w:val="nil"/>
            </w:tcBorders>
            <w:shd w:val="clear" w:color="000000" w:fill="FFFFFF"/>
            <w:noWrap/>
            <w:vAlign w:val="bottom"/>
            <w:hideMark/>
          </w:tcPr>
          <w:p w14:paraId="5FC08EE4"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(0.029)</w:t>
            </w:r>
          </w:p>
        </w:tc>
        <w:tc>
          <w:tcPr>
            <w:tcW w:w="1140" w:type="dxa"/>
            <w:tcBorders>
              <w:top w:val="nil"/>
              <w:left w:val="nil"/>
              <w:bottom w:val="nil"/>
              <w:right w:val="nil"/>
            </w:tcBorders>
            <w:shd w:val="clear" w:color="000000" w:fill="FFFFFF"/>
            <w:noWrap/>
            <w:vAlign w:val="bottom"/>
            <w:hideMark/>
          </w:tcPr>
          <w:p w14:paraId="79369BB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0.025</w:t>
            </w:r>
          </w:p>
        </w:tc>
        <w:tc>
          <w:tcPr>
            <w:tcW w:w="1170" w:type="dxa"/>
            <w:tcBorders>
              <w:top w:val="nil"/>
              <w:left w:val="nil"/>
              <w:bottom w:val="nil"/>
              <w:right w:val="nil"/>
            </w:tcBorders>
            <w:shd w:val="clear" w:color="000000" w:fill="FFFFFF"/>
            <w:noWrap/>
            <w:vAlign w:val="bottom"/>
            <w:hideMark/>
          </w:tcPr>
          <w:p w14:paraId="3F00A1F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(0.021)</w:t>
            </w:r>
          </w:p>
        </w:tc>
        <w:tc>
          <w:tcPr>
            <w:tcW w:w="1050" w:type="dxa"/>
            <w:tcBorders>
              <w:top w:val="nil"/>
              <w:left w:val="nil"/>
              <w:bottom w:val="nil"/>
              <w:right w:val="nil"/>
            </w:tcBorders>
            <w:shd w:val="clear" w:color="000000" w:fill="FFFFFF"/>
            <w:noWrap/>
            <w:vAlign w:val="bottom"/>
            <w:hideMark/>
          </w:tcPr>
          <w:p w14:paraId="1653069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1,510</w:t>
            </w:r>
          </w:p>
        </w:tc>
        <w:tc>
          <w:tcPr>
            <w:tcW w:w="1320" w:type="dxa"/>
            <w:tcBorders>
              <w:top w:val="nil"/>
              <w:left w:val="nil"/>
              <w:bottom w:val="nil"/>
              <w:right w:val="nil"/>
            </w:tcBorders>
            <w:shd w:val="clear" w:color="000000" w:fill="FFFFFF"/>
            <w:noWrap/>
            <w:vAlign w:val="bottom"/>
            <w:hideMark/>
          </w:tcPr>
          <w:p w14:paraId="0A313BC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0.037</w:t>
            </w:r>
          </w:p>
        </w:tc>
        <w:tc>
          <w:tcPr>
            <w:tcW w:w="1170" w:type="dxa"/>
            <w:tcBorders>
              <w:top w:val="nil"/>
              <w:left w:val="nil"/>
              <w:bottom w:val="nil"/>
              <w:right w:val="nil"/>
            </w:tcBorders>
            <w:shd w:val="clear" w:color="000000" w:fill="FFFFFF"/>
            <w:noWrap/>
            <w:vAlign w:val="bottom"/>
            <w:hideMark/>
          </w:tcPr>
          <w:p w14:paraId="1DCF287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(0.068)</w:t>
            </w:r>
          </w:p>
        </w:tc>
        <w:tc>
          <w:tcPr>
            <w:tcW w:w="1320" w:type="dxa"/>
            <w:tcBorders>
              <w:top w:val="nil"/>
              <w:left w:val="nil"/>
              <w:bottom w:val="nil"/>
              <w:right w:val="nil"/>
            </w:tcBorders>
            <w:shd w:val="clear" w:color="000000" w:fill="FFFFFF"/>
            <w:noWrap/>
            <w:vAlign w:val="bottom"/>
            <w:hideMark/>
          </w:tcPr>
          <w:p w14:paraId="2F50620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0.139</w:t>
            </w:r>
          </w:p>
        </w:tc>
        <w:tc>
          <w:tcPr>
            <w:tcW w:w="1170" w:type="dxa"/>
            <w:tcBorders>
              <w:top w:val="nil"/>
              <w:left w:val="nil"/>
              <w:bottom w:val="nil"/>
              <w:right w:val="nil"/>
            </w:tcBorders>
            <w:shd w:val="clear" w:color="000000" w:fill="FFFFFF"/>
            <w:noWrap/>
            <w:vAlign w:val="bottom"/>
            <w:hideMark/>
          </w:tcPr>
          <w:p w14:paraId="39CC951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(0.087)</w:t>
            </w:r>
          </w:p>
        </w:tc>
        <w:tc>
          <w:tcPr>
            <w:tcW w:w="580" w:type="dxa"/>
            <w:tcBorders>
              <w:top w:val="nil"/>
              <w:left w:val="nil"/>
              <w:bottom w:val="nil"/>
              <w:right w:val="nil"/>
            </w:tcBorders>
            <w:shd w:val="clear" w:color="000000" w:fill="FFFFFF"/>
            <w:noWrap/>
            <w:vAlign w:val="bottom"/>
            <w:hideMark/>
          </w:tcPr>
          <w:p w14:paraId="7881175A"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116</w:t>
            </w:r>
          </w:p>
        </w:tc>
      </w:tr>
      <w:tr w:rsidR="00434819" w:rsidRPr="00434819" w14:paraId="7A2A34BC"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783B90E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Q4</w:t>
            </w:r>
          </w:p>
        </w:tc>
        <w:tc>
          <w:tcPr>
            <w:tcW w:w="1230" w:type="dxa"/>
            <w:tcBorders>
              <w:top w:val="nil"/>
              <w:left w:val="nil"/>
              <w:bottom w:val="nil"/>
              <w:right w:val="nil"/>
            </w:tcBorders>
            <w:shd w:val="clear" w:color="000000" w:fill="FFFFFF"/>
            <w:noWrap/>
            <w:vAlign w:val="bottom"/>
            <w:hideMark/>
          </w:tcPr>
          <w:p w14:paraId="2032C9E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0.018</w:t>
            </w:r>
          </w:p>
        </w:tc>
        <w:tc>
          <w:tcPr>
            <w:tcW w:w="1170" w:type="dxa"/>
            <w:tcBorders>
              <w:top w:val="nil"/>
              <w:left w:val="nil"/>
              <w:bottom w:val="nil"/>
              <w:right w:val="nil"/>
            </w:tcBorders>
            <w:shd w:val="clear" w:color="000000" w:fill="FFFFFF"/>
            <w:noWrap/>
            <w:vAlign w:val="bottom"/>
            <w:hideMark/>
          </w:tcPr>
          <w:p w14:paraId="57798B6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(0.025)</w:t>
            </w:r>
          </w:p>
        </w:tc>
        <w:tc>
          <w:tcPr>
            <w:tcW w:w="1140" w:type="dxa"/>
            <w:tcBorders>
              <w:top w:val="nil"/>
              <w:left w:val="nil"/>
              <w:bottom w:val="nil"/>
              <w:right w:val="nil"/>
            </w:tcBorders>
            <w:shd w:val="clear" w:color="000000" w:fill="FFFFFF"/>
            <w:noWrap/>
            <w:vAlign w:val="bottom"/>
            <w:hideMark/>
          </w:tcPr>
          <w:p w14:paraId="6CE59D05"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0.025</w:t>
            </w:r>
          </w:p>
        </w:tc>
        <w:tc>
          <w:tcPr>
            <w:tcW w:w="1170" w:type="dxa"/>
            <w:tcBorders>
              <w:top w:val="nil"/>
              <w:left w:val="nil"/>
              <w:bottom w:val="nil"/>
              <w:right w:val="nil"/>
            </w:tcBorders>
            <w:shd w:val="clear" w:color="000000" w:fill="FFFFFF"/>
            <w:noWrap/>
            <w:vAlign w:val="bottom"/>
            <w:hideMark/>
          </w:tcPr>
          <w:p w14:paraId="3FC5C845"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(0.017)</w:t>
            </w:r>
          </w:p>
        </w:tc>
        <w:tc>
          <w:tcPr>
            <w:tcW w:w="1050" w:type="dxa"/>
            <w:tcBorders>
              <w:top w:val="nil"/>
              <w:left w:val="nil"/>
              <w:bottom w:val="nil"/>
              <w:right w:val="nil"/>
            </w:tcBorders>
            <w:shd w:val="clear" w:color="000000" w:fill="FFFFFF"/>
            <w:noWrap/>
            <w:vAlign w:val="bottom"/>
            <w:hideMark/>
          </w:tcPr>
          <w:p w14:paraId="21A0D7D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1,478</w:t>
            </w:r>
          </w:p>
        </w:tc>
        <w:tc>
          <w:tcPr>
            <w:tcW w:w="1320" w:type="dxa"/>
            <w:tcBorders>
              <w:top w:val="nil"/>
              <w:left w:val="nil"/>
              <w:bottom w:val="nil"/>
              <w:right w:val="nil"/>
            </w:tcBorders>
            <w:shd w:val="clear" w:color="000000" w:fill="FFFFFF"/>
            <w:noWrap/>
            <w:vAlign w:val="bottom"/>
            <w:hideMark/>
          </w:tcPr>
          <w:p w14:paraId="3285CFC4"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0.049</w:t>
            </w:r>
          </w:p>
        </w:tc>
        <w:tc>
          <w:tcPr>
            <w:tcW w:w="1170" w:type="dxa"/>
            <w:tcBorders>
              <w:top w:val="nil"/>
              <w:left w:val="nil"/>
              <w:bottom w:val="nil"/>
              <w:right w:val="nil"/>
            </w:tcBorders>
            <w:shd w:val="clear" w:color="000000" w:fill="FFFFFF"/>
            <w:noWrap/>
            <w:vAlign w:val="bottom"/>
            <w:hideMark/>
          </w:tcPr>
          <w:p w14:paraId="5280588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(0.074)</w:t>
            </w:r>
          </w:p>
        </w:tc>
        <w:tc>
          <w:tcPr>
            <w:tcW w:w="1320" w:type="dxa"/>
            <w:tcBorders>
              <w:top w:val="nil"/>
              <w:left w:val="nil"/>
              <w:bottom w:val="nil"/>
              <w:right w:val="nil"/>
            </w:tcBorders>
            <w:shd w:val="clear" w:color="000000" w:fill="FFFFFF"/>
            <w:noWrap/>
            <w:vAlign w:val="bottom"/>
            <w:hideMark/>
          </w:tcPr>
          <w:p w14:paraId="20D2554B"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0.043</w:t>
            </w:r>
          </w:p>
        </w:tc>
        <w:tc>
          <w:tcPr>
            <w:tcW w:w="1170" w:type="dxa"/>
            <w:tcBorders>
              <w:top w:val="nil"/>
              <w:left w:val="nil"/>
              <w:bottom w:val="nil"/>
              <w:right w:val="nil"/>
            </w:tcBorders>
            <w:shd w:val="clear" w:color="000000" w:fill="FFFFFF"/>
            <w:noWrap/>
            <w:vAlign w:val="bottom"/>
            <w:hideMark/>
          </w:tcPr>
          <w:p w14:paraId="401EF4F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(0.074)</w:t>
            </w:r>
          </w:p>
        </w:tc>
        <w:tc>
          <w:tcPr>
            <w:tcW w:w="580" w:type="dxa"/>
            <w:tcBorders>
              <w:top w:val="nil"/>
              <w:left w:val="nil"/>
              <w:bottom w:val="nil"/>
              <w:right w:val="nil"/>
            </w:tcBorders>
            <w:shd w:val="clear" w:color="000000" w:fill="FFFFFF"/>
            <w:noWrap/>
            <w:vAlign w:val="bottom"/>
            <w:hideMark/>
          </w:tcPr>
          <w:p w14:paraId="7EA77B18"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130</w:t>
            </w:r>
          </w:p>
        </w:tc>
      </w:tr>
      <w:tr w:rsidR="00434819" w:rsidRPr="00434819" w14:paraId="3988F7D6" w14:textId="77777777" w:rsidTr="00434819">
        <w:trPr>
          <w:divId w:val="1426874971"/>
          <w:trHeight w:val="300"/>
        </w:trPr>
        <w:tc>
          <w:tcPr>
            <w:tcW w:w="2110" w:type="dxa"/>
            <w:tcBorders>
              <w:top w:val="single" w:sz="4" w:space="0" w:color="auto"/>
              <w:left w:val="nil"/>
              <w:bottom w:val="nil"/>
              <w:right w:val="nil"/>
            </w:tcBorders>
            <w:shd w:val="clear" w:color="000000" w:fill="FFFFFF"/>
            <w:noWrap/>
            <w:vAlign w:val="bottom"/>
            <w:hideMark/>
          </w:tcPr>
          <w:p w14:paraId="40361B97" w14:textId="77777777" w:rsidR="00434819" w:rsidRPr="00434819" w:rsidRDefault="00434819" w:rsidP="00434819">
            <w:pPr>
              <w:spacing w:after="0" w:line="240" w:lineRule="auto"/>
              <w:jc w:val="left"/>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Household size (adults)</w:t>
            </w:r>
          </w:p>
        </w:tc>
        <w:tc>
          <w:tcPr>
            <w:tcW w:w="1230" w:type="dxa"/>
            <w:tcBorders>
              <w:top w:val="single" w:sz="4" w:space="0" w:color="auto"/>
              <w:left w:val="nil"/>
              <w:bottom w:val="nil"/>
              <w:right w:val="nil"/>
            </w:tcBorders>
            <w:shd w:val="clear" w:color="000000" w:fill="FFFFFF"/>
            <w:noWrap/>
            <w:vAlign w:val="bottom"/>
            <w:hideMark/>
          </w:tcPr>
          <w:p w14:paraId="76CD3D1B"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single" w:sz="4" w:space="0" w:color="auto"/>
              <w:left w:val="nil"/>
              <w:bottom w:val="nil"/>
              <w:right w:val="nil"/>
            </w:tcBorders>
            <w:shd w:val="clear" w:color="000000" w:fill="FFFFFF"/>
            <w:noWrap/>
            <w:vAlign w:val="bottom"/>
            <w:hideMark/>
          </w:tcPr>
          <w:p w14:paraId="3AAE191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40" w:type="dxa"/>
            <w:tcBorders>
              <w:top w:val="single" w:sz="4" w:space="0" w:color="auto"/>
              <w:left w:val="nil"/>
              <w:bottom w:val="nil"/>
              <w:right w:val="nil"/>
            </w:tcBorders>
            <w:shd w:val="clear" w:color="000000" w:fill="FFFFFF"/>
            <w:noWrap/>
            <w:vAlign w:val="bottom"/>
            <w:hideMark/>
          </w:tcPr>
          <w:p w14:paraId="4404562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single" w:sz="4" w:space="0" w:color="auto"/>
              <w:left w:val="nil"/>
              <w:bottom w:val="nil"/>
              <w:right w:val="nil"/>
            </w:tcBorders>
            <w:shd w:val="clear" w:color="000000" w:fill="FFFFFF"/>
            <w:noWrap/>
            <w:vAlign w:val="bottom"/>
            <w:hideMark/>
          </w:tcPr>
          <w:p w14:paraId="7569D9C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050" w:type="dxa"/>
            <w:tcBorders>
              <w:top w:val="single" w:sz="4" w:space="0" w:color="auto"/>
              <w:left w:val="nil"/>
              <w:bottom w:val="nil"/>
              <w:right w:val="nil"/>
            </w:tcBorders>
            <w:shd w:val="clear" w:color="000000" w:fill="FFFFFF"/>
            <w:noWrap/>
            <w:vAlign w:val="bottom"/>
            <w:hideMark/>
          </w:tcPr>
          <w:p w14:paraId="78D394C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single" w:sz="4" w:space="0" w:color="auto"/>
              <w:left w:val="nil"/>
              <w:bottom w:val="nil"/>
              <w:right w:val="nil"/>
            </w:tcBorders>
            <w:shd w:val="clear" w:color="000000" w:fill="FFFFFF"/>
            <w:noWrap/>
            <w:vAlign w:val="bottom"/>
            <w:hideMark/>
          </w:tcPr>
          <w:p w14:paraId="68009EFD"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single" w:sz="4" w:space="0" w:color="auto"/>
              <w:left w:val="nil"/>
              <w:bottom w:val="nil"/>
              <w:right w:val="nil"/>
            </w:tcBorders>
            <w:shd w:val="clear" w:color="000000" w:fill="FFFFFF"/>
            <w:noWrap/>
            <w:vAlign w:val="bottom"/>
            <w:hideMark/>
          </w:tcPr>
          <w:p w14:paraId="7AE04F5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single" w:sz="4" w:space="0" w:color="auto"/>
              <w:left w:val="nil"/>
              <w:bottom w:val="nil"/>
              <w:right w:val="nil"/>
            </w:tcBorders>
            <w:shd w:val="clear" w:color="000000" w:fill="FFFFFF"/>
            <w:noWrap/>
            <w:vAlign w:val="bottom"/>
            <w:hideMark/>
          </w:tcPr>
          <w:p w14:paraId="0A517B8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single" w:sz="4" w:space="0" w:color="auto"/>
              <w:left w:val="nil"/>
              <w:bottom w:val="nil"/>
              <w:right w:val="nil"/>
            </w:tcBorders>
            <w:shd w:val="clear" w:color="000000" w:fill="FFFFFF"/>
            <w:noWrap/>
            <w:vAlign w:val="bottom"/>
            <w:hideMark/>
          </w:tcPr>
          <w:p w14:paraId="72FBB9B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580" w:type="dxa"/>
            <w:tcBorders>
              <w:top w:val="single" w:sz="4" w:space="0" w:color="auto"/>
              <w:left w:val="nil"/>
              <w:bottom w:val="nil"/>
              <w:right w:val="nil"/>
            </w:tcBorders>
            <w:shd w:val="clear" w:color="000000" w:fill="FFFFFF"/>
            <w:noWrap/>
            <w:vAlign w:val="bottom"/>
            <w:hideMark/>
          </w:tcPr>
          <w:p w14:paraId="3E115224" w14:textId="77777777" w:rsidR="00434819" w:rsidRPr="00434819" w:rsidRDefault="00434819" w:rsidP="00434819">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r>
      <w:tr w:rsidR="00434819" w:rsidRPr="00434819" w14:paraId="5369DC1F"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56988E8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w:t>
            </w:r>
          </w:p>
        </w:tc>
        <w:tc>
          <w:tcPr>
            <w:tcW w:w="1230" w:type="dxa"/>
            <w:tcBorders>
              <w:top w:val="nil"/>
              <w:left w:val="nil"/>
              <w:bottom w:val="nil"/>
              <w:right w:val="nil"/>
            </w:tcBorders>
            <w:shd w:val="clear" w:color="000000" w:fill="FFFFFF"/>
            <w:noWrap/>
            <w:vAlign w:val="bottom"/>
            <w:hideMark/>
          </w:tcPr>
          <w:p w14:paraId="35A0BD5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0.018</w:t>
            </w:r>
          </w:p>
        </w:tc>
        <w:tc>
          <w:tcPr>
            <w:tcW w:w="1170" w:type="dxa"/>
            <w:tcBorders>
              <w:top w:val="nil"/>
              <w:left w:val="nil"/>
              <w:bottom w:val="nil"/>
              <w:right w:val="nil"/>
            </w:tcBorders>
            <w:shd w:val="clear" w:color="000000" w:fill="FFFFFF"/>
            <w:noWrap/>
            <w:vAlign w:val="bottom"/>
            <w:hideMark/>
          </w:tcPr>
          <w:p w14:paraId="728B91F5"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(0.028)</w:t>
            </w:r>
          </w:p>
        </w:tc>
        <w:tc>
          <w:tcPr>
            <w:tcW w:w="1140" w:type="dxa"/>
            <w:tcBorders>
              <w:top w:val="nil"/>
              <w:left w:val="nil"/>
              <w:bottom w:val="nil"/>
              <w:right w:val="nil"/>
            </w:tcBorders>
            <w:shd w:val="clear" w:color="000000" w:fill="FFFFFF"/>
            <w:noWrap/>
            <w:vAlign w:val="bottom"/>
            <w:hideMark/>
          </w:tcPr>
          <w:p w14:paraId="6F6B536B"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0.025</w:t>
            </w:r>
          </w:p>
        </w:tc>
        <w:tc>
          <w:tcPr>
            <w:tcW w:w="1170" w:type="dxa"/>
            <w:tcBorders>
              <w:top w:val="nil"/>
              <w:left w:val="nil"/>
              <w:bottom w:val="nil"/>
              <w:right w:val="nil"/>
            </w:tcBorders>
            <w:shd w:val="clear" w:color="000000" w:fill="FFFFFF"/>
            <w:noWrap/>
            <w:vAlign w:val="bottom"/>
            <w:hideMark/>
          </w:tcPr>
          <w:p w14:paraId="036C33F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(0.021)</w:t>
            </w:r>
          </w:p>
        </w:tc>
        <w:tc>
          <w:tcPr>
            <w:tcW w:w="1050" w:type="dxa"/>
            <w:tcBorders>
              <w:top w:val="nil"/>
              <w:left w:val="nil"/>
              <w:bottom w:val="nil"/>
              <w:right w:val="nil"/>
            </w:tcBorders>
            <w:shd w:val="clear" w:color="000000" w:fill="FFFFFF"/>
            <w:noWrap/>
            <w:vAlign w:val="bottom"/>
            <w:hideMark/>
          </w:tcPr>
          <w:p w14:paraId="691293E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1,237</w:t>
            </w:r>
          </w:p>
        </w:tc>
        <w:tc>
          <w:tcPr>
            <w:tcW w:w="1320" w:type="dxa"/>
            <w:tcBorders>
              <w:top w:val="nil"/>
              <w:left w:val="nil"/>
              <w:bottom w:val="nil"/>
              <w:right w:val="nil"/>
            </w:tcBorders>
            <w:shd w:val="clear" w:color="000000" w:fill="FFFFFF"/>
            <w:noWrap/>
            <w:vAlign w:val="bottom"/>
            <w:hideMark/>
          </w:tcPr>
          <w:p w14:paraId="08C1B4FB"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0.029</w:t>
            </w:r>
          </w:p>
        </w:tc>
        <w:tc>
          <w:tcPr>
            <w:tcW w:w="1170" w:type="dxa"/>
            <w:tcBorders>
              <w:top w:val="nil"/>
              <w:left w:val="nil"/>
              <w:bottom w:val="nil"/>
              <w:right w:val="nil"/>
            </w:tcBorders>
            <w:shd w:val="clear" w:color="000000" w:fill="FFFFFF"/>
            <w:noWrap/>
            <w:vAlign w:val="bottom"/>
            <w:hideMark/>
          </w:tcPr>
          <w:p w14:paraId="0A48B86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(0.062)</w:t>
            </w:r>
          </w:p>
        </w:tc>
        <w:tc>
          <w:tcPr>
            <w:tcW w:w="1320" w:type="dxa"/>
            <w:tcBorders>
              <w:top w:val="nil"/>
              <w:left w:val="nil"/>
              <w:bottom w:val="nil"/>
              <w:right w:val="nil"/>
            </w:tcBorders>
            <w:shd w:val="clear" w:color="000000" w:fill="FFFFFF"/>
            <w:noWrap/>
            <w:vAlign w:val="bottom"/>
            <w:hideMark/>
          </w:tcPr>
          <w:p w14:paraId="22D7429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0.068</w:t>
            </w:r>
          </w:p>
        </w:tc>
        <w:tc>
          <w:tcPr>
            <w:tcW w:w="1170" w:type="dxa"/>
            <w:tcBorders>
              <w:top w:val="nil"/>
              <w:left w:val="nil"/>
              <w:bottom w:val="nil"/>
              <w:right w:val="nil"/>
            </w:tcBorders>
            <w:shd w:val="clear" w:color="000000" w:fill="FFFFFF"/>
            <w:noWrap/>
            <w:vAlign w:val="bottom"/>
            <w:hideMark/>
          </w:tcPr>
          <w:p w14:paraId="3722D91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(0.116)</w:t>
            </w:r>
          </w:p>
        </w:tc>
        <w:tc>
          <w:tcPr>
            <w:tcW w:w="580" w:type="dxa"/>
            <w:tcBorders>
              <w:top w:val="nil"/>
              <w:left w:val="nil"/>
              <w:bottom w:val="nil"/>
              <w:right w:val="nil"/>
            </w:tcBorders>
            <w:shd w:val="clear" w:color="000000" w:fill="FFFFFF"/>
            <w:noWrap/>
            <w:vAlign w:val="bottom"/>
            <w:hideMark/>
          </w:tcPr>
          <w:p w14:paraId="4EEF750A"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39</w:t>
            </w:r>
          </w:p>
        </w:tc>
      </w:tr>
      <w:tr w:rsidR="00434819" w:rsidRPr="00434819" w14:paraId="1FBFEA19"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1F2E62C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2</w:t>
            </w:r>
          </w:p>
        </w:tc>
        <w:tc>
          <w:tcPr>
            <w:tcW w:w="1230" w:type="dxa"/>
            <w:tcBorders>
              <w:top w:val="nil"/>
              <w:left w:val="nil"/>
              <w:bottom w:val="nil"/>
              <w:right w:val="nil"/>
            </w:tcBorders>
            <w:shd w:val="clear" w:color="000000" w:fill="FFFFFF"/>
            <w:noWrap/>
            <w:vAlign w:val="bottom"/>
            <w:hideMark/>
          </w:tcPr>
          <w:p w14:paraId="5190847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0.016</w:t>
            </w:r>
          </w:p>
        </w:tc>
        <w:tc>
          <w:tcPr>
            <w:tcW w:w="1170" w:type="dxa"/>
            <w:tcBorders>
              <w:top w:val="nil"/>
              <w:left w:val="nil"/>
              <w:bottom w:val="nil"/>
              <w:right w:val="nil"/>
            </w:tcBorders>
            <w:shd w:val="clear" w:color="000000" w:fill="FFFFFF"/>
            <w:noWrap/>
            <w:vAlign w:val="bottom"/>
            <w:hideMark/>
          </w:tcPr>
          <w:p w14:paraId="3036EC6D"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(0.024)</w:t>
            </w:r>
          </w:p>
        </w:tc>
        <w:tc>
          <w:tcPr>
            <w:tcW w:w="1140" w:type="dxa"/>
            <w:tcBorders>
              <w:top w:val="nil"/>
              <w:left w:val="nil"/>
              <w:bottom w:val="nil"/>
              <w:right w:val="nil"/>
            </w:tcBorders>
            <w:shd w:val="clear" w:color="000000" w:fill="FFFFFF"/>
            <w:noWrap/>
            <w:vAlign w:val="bottom"/>
            <w:hideMark/>
          </w:tcPr>
          <w:p w14:paraId="4618DC9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0.030*</w:t>
            </w:r>
          </w:p>
        </w:tc>
        <w:tc>
          <w:tcPr>
            <w:tcW w:w="1170" w:type="dxa"/>
            <w:tcBorders>
              <w:top w:val="nil"/>
              <w:left w:val="nil"/>
              <w:bottom w:val="nil"/>
              <w:right w:val="nil"/>
            </w:tcBorders>
            <w:shd w:val="clear" w:color="000000" w:fill="FFFFFF"/>
            <w:noWrap/>
            <w:vAlign w:val="bottom"/>
            <w:hideMark/>
          </w:tcPr>
          <w:p w14:paraId="42D3D2F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(0.015)</w:t>
            </w:r>
          </w:p>
        </w:tc>
        <w:tc>
          <w:tcPr>
            <w:tcW w:w="1050" w:type="dxa"/>
            <w:tcBorders>
              <w:top w:val="nil"/>
              <w:left w:val="nil"/>
              <w:bottom w:val="nil"/>
              <w:right w:val="nil"/>
            </w:tcBorders>
            <w:shd w:val="clear" w:color="000000" w:fill="FFFFFF"/>
            <w:noWrap/>
            <w:vAlign w:val="bottom"/>
            <w:hideMark/>
          </w:tcPr>
          <w:p w14:paraId="5351317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2,851</w:t>
            </w:r>
          </w:p>
        </w:tc>
        <w:tc>
          <w:tcPr>
            <w:tcW w:w="1320" w:type="dxa"/>
            <w:tcBorders>
              <w:top w:val="nil"/>
              <w:left w:val="nil"/>
              <w:bottom w:val="nil"/>
              <w:right w:val="nil"/>
            </w:tcBorders>
            <w:shd w:val="clear" w:color="000000" w:fill="FFFFFF"/>
            <w:noWrap/>
            <w:vAlign w:val="bottom"/>
            <w:hideMark/>
          </w:tcPr>
          <w:p w14:paraId="6CE34CA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0.097*</w:t>
            </w:r>
          </w:p>
        </w:tc>
        <w:tc>
          <w:tcPr>
            <w:tcW w:w="1170" w:type="dxa"/>
            <w:tcBorders>
              <w:top w:val="nil"/>
              <w:left w:val="nil"/>
              <w:bottom w:val="nil"/>
              <w:right w:val="nil"/>
            </w:tcBorders>
            <w:shd w:val="clear" w:color="000000" w:fill="FFFFFF"/>
            <w:noWrap/>
            <w:vAlign w:val="bottom"/>
            <w:hideMark/>
          </w:tcPr>
          <w:p w14:paraId="6700021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(0.051)</w:t>
            </w:r>
          </w:p>
        </w:tc>
        <w:tc>
          <w:tcPr>
            <w:tcW w:w="1320" w:type="dxa"/>
            <w:tcBorders>
              <w:top w:val="nil"/>
              <w:left w:val="nil"/>
              <w:bottom w:val="nil"/>
              <w:right w:val="nil"/>
            </w:tcBorders>
            <w:shd w:val="clear" w:color="000000" w:fill="FFFFFF"/>
            <w:noWrap/>
            <w:vAlign w:val="bottom"/>
            <w:hideMark/>
          </w:tcPr>
          <w:p w14:paraId="065C6C4C"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0.116*</w:t>
            </w:r>
          </w:p>
        </w:tc>
        <w:tc>
          <w:tcPr>
            <w:tcW w:w="1170" w:type="dxa"/>
            <w:tcBorders>
              <w:top w:val="nil"/>
              <w:left w:val="nil"/>
              <w:bottom w:val="nil"/>
              <w:right w:val="nil"/>
            </w:tcBorders>
            <w:shd w:val="clear" w:color="000000" w:fill="FFFFFF"/>
            <w:noWrap/>
            <w:vAlign w:val="bottom"/>
            <w:hideMark/>
          </w:tcPr>
          <w:p w14:paraId="22B34779"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(0.054)</w:t>
            </w:r>
          </w:p>
        </w:tc>
        <w:tc>
          <w:tcPr>
            <w:tcW w:w="580" w:type="dxa"/>
            <w:tcBorders>
              <w:top w:val="nil"/>
              <w:left w:val="nil"/>
              <w:bottom w:val="nil"/>
              <w:right w:val="nil"/>
            </w:tcBorders>
            <w:shd w:val="clear" w:color="000000" w:fill="FFFFFF"/>
            <w:noWrap/>
            <w:vAlign w:val="bottom"/>
            <w:hideMark/>
          </w:tcPr>
          <w:p w14:paraId="52C9B8B5"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241</w:t>
            </w:r>
          </w:p>
        </w:tc>
      </w:tr>
      <w:tr w:rsidR="00434819" w:rsidRPr="00434819" w14:paraId="59DE54DE"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20847B9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3</w:t>
            </w:r>
          </w:p>
        </w:tc>
        <w:tc>
          <w:tcPr>
            <w:tcW w:w="1230" w:type="dxa"/>
            <w:tcBorders>
              <w:top w:val="nil"/>
              <w:left w:val="nil"/>
              <w:bottom w:val="nil"/>
              <w:right w:val="nil"/>
            </w:tcBorders>
            <w:shd w:val="clear" w:color="000000" w:fill="FFFFFF"/>
            <w:noWrap/>
            <w:vAlign w:val="bottom"/>
            <w:hideMark/>
          </w:tcPr>
          <w:p w14:paraId="1586977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-0.009</w:t>
            </w:r>
          </w:p>
        </w:tc>
        <w:tc>
          <w:tcPr>
            <w:tcW w:w="1170" w:type="dxa"/>
            <w:tcBorders>
              <w:top w:val="nil"/>
              <w:left w:val="nil"/>
              <w:bottom w:val="nil"/>
              <w:right w:val="nil"/>
            </w:tcBorders>
            <w:shd w:val="clear" w:color="000000" w:fill="FFFFFF"/>
            <w:noWrap/>
            <w:vAlign w:val="bottom"/>
            <w:hideMark/>
          </w:tcPr>
          <w:p w14:paraId="676D85D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(0.047)</w:t>
            </w:r>
          </w:p>
        </w:tc>
        <w:tc>
          <w:tcPr>
            <w:tcW w:w="1140" w:type="dxa"/>
            <w:tcBorders>
              <w:top w:val="nil"/>
              <w:left w:val="nil"/>
              <w:bottom w:val="nil"/>
              <w:right w:val="nil"/>
            </w:tcBorders>
            <w:shd w:val="clear" w:color="000000" w:fill="FFFFFF"/>
            <w:noWrap/>
            <w:vAlign w:val="bottom"/>
            <w:hideMark/>
          </w:tcPr>
          <w:p w14:paraId="6FB5AD7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0.019</w:t>
            </w:r>
          </w:p>
        </w:tc>
        <w:tc>
          <w:tcPr>
            <w:tcW w:w="1170" w:type="dxa"/>
            <w:tcBorders>
              <w:top w:val="nil"/>
              <w:left w:val="nil"/>
              <w:bottom w:val="nil"/>
              <w:right w:val="nil"/>
            </w:tcBorders>
            <w:shd w:val="clear" w:color="000000" w:fill="FFFFFF"/>
            <w:noWrap/>
            <w:vAlign w:val="bottom"/>
            <w:hideMark/>
          </w:tcPr>
          <w:p w14:paraId="27CC152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(0.031)</w:t>
            </w:r>
          </w:p>
        </w:tc>
        <w:tc>
          <w:tcPr>
            <w:tcW w:w="1050" w:type="dxa"/>
            <w:tcBorders>
              <w:top w:val="nil"/>
              <w:left w:val="nil"/>
              <w:bottom w:val="nil"/>
              <w:right w:val="nil"/>
            </w:tcBorders>
            <w:shd w:val="clear" w:color="000000" w:fill="FFFFFF"/>
            <w:noWrap/>
            <w:vAlign w:val="bottom"/>
            <w:hideMark/>
          </w:tcPr>
          <w:p w14:paraId="5B5372A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870</w:t>
            </w:r>
          </w:p>
        </w:tc>
        <w:tc>
          <w:tcPr>
            <w:tcW w:w="1320" w:type="dxa"/>
            <w:tcBorders>
              <w:top w:val="nil"/>
              <w:left w:val="nil"/>
              <w:bottom w:val="nil"/>
              <w:right w:val="nil"/>
            </w:tcBorders>
            <w:shd w:val="clear" w:color="000000" w:fill="FFFFFF"/>
            <w:noWrap/>
            <w:vAlign w:val="bottom"/>
            <w:hideMark/>
          </w:tcPr>
          <w:p w14:paraId="2B63089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-0.077</w:t>
            </w:r>
          </w:p>
        </w:tc>
        <w:tc>
          <w:tcPr>
            <w:tcW w:w="1170" w:type="dxa"/>
            <w:tcBorders>
              <w:top w:val="nil"/>
              <w:left w:val="nil"/>
              <w:bottom w:val="nil"/>
              <w:right w:val="nil"/>
            </w:tcBorders>
            <w:shd w:val="clear" w:color="000000" w:fill="FFFFFF"/>
            <w:noWrap/>
            <w:vAlign w:val="bottom"/>
            <w:hideMark/>
          </w:tcPr>
          <w:p w14:paraId="114DC6CD"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(0.063)</w:t>
            </w:r>
          </w:p>
        </w:tc>
        <w:tc>
          <w:tcPr>
            <w:tcW w:w="1320" w:type="dxa"/>
            <w:tcBorders>
              <w:top w:val="nil"/>
              <w:left w:val="nil"/>
              <w:bottom w:val="nil"/>
              <w:right w:val="nil"/>
            </w:tcBorders>
            <w:shd w:val="clear" w:color="000000" w:fill="FFFFFF"/>
            <w:noWrap/>
            <w:vAlign w:val="bottom"/>
            <w:hideMark/>
          </w:tcPr>
          <w:p w14:paraId="6FD06B8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-0.092</w:t>
            </w:r>
          </w:p>
        </w:tc>
        <w:tc>
          <w:tcPr>
            <w:tcW w:w="1170" w:type="dxa"/>
            <w:tcBorders>
              <w:top w:val="nil"/>
              <w:left w:val="nil"/>
              <w:bottom w:val="nil"/>
              <w:right w:val="nil"/>
            </w:tcBorders>
            <w:shd w:val="clear" w:color="000000" w:fill="FFFFFF"/>
            <w:noWrap/>
            <w:vAlign w:val="bottom"/>
            <w:hideMark/>
          </w:tcPr>
          <w:p w14:paraId="29BB128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(0.071)</w:t>
            </w:r>
          </w:p>
        </w:tc>
        <w:tc>
          <w:tcPr>
            <w:tcW w:w="580" w:type="dxa"/>
            <w:tcBorders>
              <w:top w:val="nil"/>
              <w:left w:val="nil"/>
              <w:bottom w:val="nil"/>
              <w:right w:val="nil"/>
            </w:tcBorders>
            <w:shd w:val="clear" w:color="000000" w:fill="FFFFFF"/>
            <w:noWrap/>
            <w:vAlign w:val="bottom"/>
            <w:hideMark/>
          </w:tcPr>
          <w:p w14:paraId="08C3C80D"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141</w:t>
            </w:r>
          </w:p>
        </w:tc>
      </w:tr>
      <w:tr w:rsidR="00434819" w:rsidRPr="00434819" w14:paraId="47F026CD" w14:textId="77777777" w:rsidTr="00434819">
        <w:trPr>
          <w:divId w:val="1426874971"/>
          <w:trHeight w:val="300"/>
        </w:trPr>
        <w:tc>
          <w:tcPr>
            <w:tcW w:w="2110" w:type="dxa"/>
            <w:tcBorders>
              <w:top w:val="nil"/>
              <w:left w:val="nil"/>
              <w:bottom w:val="single" w:sz="4" w:space="0" w:color="auto"/>
              <w:right w:val="nil"/>
            </w:tcBorders>
            <w:shd w:val="clear" w:color="000000" w:fill="FFFFFF"/>
            <w:noWrap/>
            <w:vAlign w:val="bottom"/>
            <w:hideMark/>
          </w:tcPr>
          <w:p w14:paraId="416AA0B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4 or more</w:t>
            </w:r>
          </w:p>
        </w:tc>
        <w:tc>
          <w:tcPr>
            <w:tcW w:w="1230" w:type="dxa"/>
            <w:tcBorders>
              <w:top w:val="nil"/>
              <w:left w:val="nil"/>
              <w:bottom w:val="single" w:sz="4" w:space="0" w:color="auto"/>
              <w:right w:val="nil"/>
            </w:tcBorders>
            <w:shd w:val="clear" w:color="000000" w:fill="FFFFFF"/>
            <w:noWrap/>
            <w:vAlign w:val="bottom"/>
            <w:hideMark/>
          </w:tcPr>
          <w:p w14:paraId="32A36A3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0.004</w:t>
            </w:r>
          </w:p>
        </w:tc>
        <w:tc>
          <w:tcPr>
            <w:tcW w:w="1170" w:type="dxa"/>
            <w:tcBorders>
              <w:top w:val="nil"/>
              <w:left w:val="nil"/>
              <w:bottom w:val="single" w:sz="4" w:space="0" w:color="auto"/>
              <w:right w:val="nil"/>
            </w:tcBorders>
            <w:shd w:val="clear" w:color="000000" w:fill="FFFFFF"/>
            <w:noWrap/>
            <w:vAlign w:val="bottom"/>
            <w:hideMark/>
          </w:tcPr>
          <w:p w14:paraId="422D7CA5"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(0.054)</w:t>
            </w:r>
          </w:p>
        </w:tc>
        <w:tc>
          <w:tcPr>
            <w:tcW w:w="1140" w:type="dxa"/>
            <w:tcBorders>
              <w:top w:val="nil"/>
              <w:left w:val="nil"/>
              <w:bottom w:val="single" w:sz="4" w:space="0" w:color="auto"/>
              <w:right w:val="nil"/>
            </w:tcBorders>
            <w:shd w:val="clear" w:color="000000" w:fill="FFFFFF"/>
            <w:noWrap/>
            <w:vAlign w:val="bottom"/>
            <w:hideMark/>
          </w:tcPr>
          <w:p w14:paraId="66138B2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-0.021</w:t>
            </w:r>
          </w:p>
        </w:tc>
        <w:tc>
          <w:tcPr>
            <w:tcW w:w="1170" w:type="dxa"/>
            <w:tcBorders>
              <w:top w:val="nil"/>
              <w:left w:val="nil"/>
              <w:bottom w:val="single" w:sz="4" w:space="0" w:color="auto"/>
              <w:right w:val="nil"/>
            </w:tcBorders>
            <w:shd w:val="clear" w:color="000000" w:fill="FFFFFF"/>
            <w:noWrap/>
            <w:vAlign w:val="bottom"/>
            <w:hideMark/>
          </w:tcPr>
          <w:p w14:paraId="16CF10E5"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(0.036)</w:t>
            </w:r>
          </w:p>
        </w:tc>
        <w:tc>
          <w:tcPr>
            <w:tcW w:w="1050" w:type="dxa"/>
            <w:tcBorders>
              <w:top w:val="nil"/>
              <w:left w:val="nil"/>
              <w:bottom w:val="single" w:sz="4" w:space="0" w:color="auto"/>
              <w:right w:val="nil"/>
            </w:tcBorders>
            <w:shd w:val="clear" w:color="000000" w:fill="FFFFFF"/>
            <w:noWrap/>
            <w:vAlign w:val="bottom"/>
            <w:hideMark/>
          </w:tcPr>
          <w:p w14:paraId="20C7E8F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803</w:t>
            </w:r>
          </w:p>
        </w:tc>
        <w:tc>
          <w:tcPr>
            <w:tcW w:w="1320" w:type="dxa"/>
            <w:tcBorders>
              <w:top w:val="nil"/>
              <w:left w:val="nil"/>
              <w:bottom w:val="single" w:sz="4" w:space="0" w:color="auto"/>
              <w:right w:val="nil"/>
            </w:tcBorders>
            <w:shd w:val="clear" w:color="000000" w:fill="FFFFFF"/>
            <w:noWrap/>
            <w:vAlign w:val="bottom"/>
            <w:hideMark/>
          </w:tcPr>
          <w:p w14:paraId="304172BF"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0.093*</w:t>
            </w:r>
          </w:p>
        </w:tc>
        <w:tc>
          <w:tcPr>
            <w:tcW w:w="1170" w:type="dxa"/>
            <w:tcBorders>
              <w:top w:val="nil"/>
              <w:left w:val="nil"/>
              <w:bottom w:val="single" w:sz="4" w:space="0" w:color="auto"/>
              <w:right w:val="nil"/>
            </w:tcBorders>
            <w:shd w:val="clear" w:color="000000" w:fill="FFFFFF"/>
            <w:noWrap/>
            <w:vAlign w:val="bottom"/>
            <w:hideMark/>
          </w:tcPr>
          <w:p w14:paraId="59DBDE81"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(0.041)</w:t>
            </w:r>
          </w:p>
        </w:tc>
        <w:tc>
          <w:tcPr>
            <w:tcW w:w="1320" w:type="dxa"/>
            <w:tcBorders>
              <w:top w:val="nil"/>
              <w:left w:val="nil"/>
              <w:bottom w:val="single" w:sz="4" w:space="0" w:color="auto"/>
              <w:right w:val="nil"/>
            </w:tcBorders>
            <w:shd w:val="clear" w:color="000000" w:fill="FFFFFF"/>
            <w:noWrap/>
            <w:vAlign w:val="bottom"/>
            <w:hideMark/>
          </w:tcPr>
          <w:p w14:paraId="62F3E1E3"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0.171***</w:t>
            </w:r>
          </w:p>
        </w:tc>
        <w:tc>
          <w:tcPr>
            <w:tcW w:w="1170" w:type="dxa"/>
            <w:tcBorders>
              <w:top w:val="nil"/>
              <w:left w:val="nil"/>
              <w:bottom w:val="single" w:sz="4" w:space="0" w:color="auto"/>
              <w:right w:val="nil"/>
            </w:tcBorders>
            <w:shd w:val="clear" w:color="000000" w:fill="FFFFFF"/>
            <w:noWrap/>
            <w:vAlign w:val="bottom"/>
            <w:hideMark/>
          </w:tcPr>
          <w:p w14:paraId="412DB84D"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(0.050)</w:t>
            </w:r>
          </w:p>
        </w:tc>
        <w:tc>
          <w:tcPr>
            <w:tcW w:w="580" w:type="dxa"/>
            <w:tcBorders>
              <w:top w:val="nil"/>
              <w:left w:val="nil"/>
              <w:bottom w:val="single" w:sz="4" w:space="0" w:color="auto"/>
              <w:right w:val="nil"/>
            </w:tcBorders>
            <w:shd w:val="clear" w:color="000000" w:fill="FFFFFF"/>
            <w:noWrap/>
            <w:vAlign w:val="bottom"/>
            <w:hideMark/>
          </w:tcPr>
          <w:p w14:paraId="12043EF6"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187</w:t>
            </w:r>
          </w:p>
        </w:tc>
      </w:tr>
      <w:tr w:rsidR="00434819" w:rsidRPr="00434819" w14:paraId="6D3B9FBE"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630D7298" w14:textId="77777777" w:rsidR="00434819" w:rsidRPr="00434819" w:rsidRDefault="00434819" w:rsidP="00434819">
            <w:pPr>
              <w:spacing w:after="0" w:line="240" w:lineRule="auto"/>
              <w:jc w:val="left"/>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lastRenderedPageBreak/>
              <w:t>Response pattern</w:t>
            </w:r>
          </w:p>
        </w:tc>
        <w:tc>
          <w:tcPr>
            <w:tcW w:w="1230" w:type="dxa"/>
            <w:tcBorders>
              <w:top w:val="nil"/>
              <w:left w:val="nil"/>
              <w:bottom w:val="nil"/>
              <w:right w:val="nil"/>
            </w:tcBorders>
            <w:shd w:val="clear" w:color="000000" w:fill="FFFFFF"/>
            <w:noWrap/>
            <w:vAlign w:val="bottom"/>
            <w:hideMark/>
          </w:tcPr>
          <w:p w14:paraId="15F20F2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023D290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40" w:type="dxa"/>
            <w:tcBorders>
              <w:top w:val="nil"/>
              <w:left w:val="nil"/>
              <w:bottom w:val="nil"/>
              <w:right w:val="nil"/>
            </w:tcBorders>
            <w:shd w:val="clear" w:color="000000" w:fill="FFFFFF"/>
            <w:noWrap/>
            <w:vAlign w:val="bottom"/>
            <w:hideMark/>
          </w:tcPr>
          <w:p w14:paraId="7F5B0EA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634D660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2B50BB3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nil"/>
              <w:left w:val="nil"/>
              <w:bottom w:val="nil"/>
              <w:right w:val="nil"/>
            </w:tcBorders>
            <w:shd w:val="clear" w:color="000000" w:fill="FFFFFF"/>
            <w:noWrap/>
            <w:vAlign w:val="bottom"/>
            <w:hideMark/>
          </w:tcPr>
          <w:p w14:paraId="532C0E0B"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5C2391A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nil"/>
              <w:left w:val="nil"/>
              <w:bottom w:val="nil"/>
              <w:right w:val="nil"/>
            </w:tcBorders>
            <w:shd w:val="clear" w:color="000000" w:fill="FFFFFF"/>
            <w:noWrap/>
            <w:vAlign w:val="bottom"/>
            <w:hideMark/>
          </w:tcPr>
          <w:p w14:paraId="5B970BA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4CA70605"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580" w:type="dxa"/>
            <w:tcBorders>
              <w:top w:val="nil"/>
              <w:left w:val="nil"/>
              <w:bottom w:val="nil"/>
              <w:right w:val="nil"/>
            </w:tcBorders>
            <w:shd w:val="clear" w:color="000000" w:fill="FFFFFF"/>
            <w:noWrap/>
            <w:vAlign w:val="bottom"/>
            <w:hideMark/>
          </w:tcPr>
          <w:p w14:paraId="3E9ECD6D" w14:textId="77777777" w:rsidR="00434819" w:rsidRPr="00434819" w:rsidRDefault="00434819" w:rsidP="00434819">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r>
      <w:tr w:rsidR="00434819" w:rsidRPr="00434819" w14:paraId="6680F459"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236C315D"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Irregular respondent</w:t>
            </w:r>
          </w:p>
        </w:tc>
        <w:tc>
          <w:tcPr>
            <w:tcW w:w="1230" w:type="dxa"/>
            <w:tcBorders>
              <w:top w:val="nil"/>
              <w:left w:val="nil"/>
              <w:bottom w:val="nil"/>
              <w:right w:val="nil"/>
            </w:tcBorders>
            <w:shd w:val="clear" w:color="000000" w:fill="FFFFFF"/>
            <w:noWrap/>
            <w:vAlign w:val="bottom"/>
            <w:hideMark/>
          </w:tcPr>
          <w:p w14:paraId="08AE81A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0.018</w:t>
            </w:r>
          </w:p>
        </w:tc>
        <w:tc>
          <w:tcPr>
            <w:tcW w:w="1170" w:type="dxa"/>
            <w:tcBorders>
              <w:top w:val="nil"/>
              <w:left w:val="nil"/>
              <w:bottom w:val="nil"/>
              <w:right w:val="nil"/>
            </w:tcBorders>
            <w:shd w:val="clear" w:color="000000" w:fill="FFFFFF"/>
            <w:noWrap/>
            <w:vAlign w:val="bottom"/>
            <w:hideMark/>
          </w:tcPr>
          <w:p w14:paraId="29B06E0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(0.060)</w:t>
            </w:r>
          </w:p>
        </w:tc>
        <w:tc>
          <w:tcPr>
            <w:tcW w:w="1140" w:type="dxa"/>
            <w:tcBorders>
              <w:top w:val="nil"/>
              <w:left w:val="nil"/>
              <w:bottom w:val="nil"/>
              <w:right w:val="nil"/>
            </w:tcBorders>
            <w:shd w:val="clear" w:color="000000" w:fill="FFFFFF"/>
            <w:noWrap/>
            <w:vAlign w:val="bottom"/>
            <w:hideMark/>
          </w:tcPr>
          <w:p w14:paraId="70791F1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0.041</w:t>
            </w:r>
          </w:p>
        </w:tc>
        <w:tc>
          <w:tcPr>
            <w:tcW w:w="1170" w:type="dxa"/>
            <w:tcBorders>
              <w:top w:val="nil"/>
              <w:left w:val="nil"/>
              <w:bottom w:val="nil"/>
              <w:right w:val="nil"/>
            </w:tcBorders>
            <w:shd w:val="clear" w:color="000000" w:fill="FFFFFF"/>
            <w:noWrap/>
            <w:vAlign w:val="bottom"/>
            <w:hideMark/>
          </w:tcPr>
          <w:p w14:paraId="71AB73F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(0.063)</w:t>
            </w:r>
          </w:p>
        </w:tc>
        <w:tc>
          <w:tcPr>
            <w:tcW w:w="1050" w:type="dxa"/>
            <w:tcBorders>
              <w:top w:val="nil"/>
              <w:left w:val="nil"/>
              <w:bottom w:val="nil"/>
              <w:right w:val="nil"/>
            </w:tcBorders>
            <w:shd w:val="clear" w:color="000000" w:fill="FFFFFF"/>
            <w:noWrap/>
            <w:vAlign w:val="bottom"/>
            <w:hideMark/>
          </w:tcPr>
          <w:p w14:paraId="598C180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406</w:t>
            </w:r>
          </w:p>
        </w:tc>
        <w:tc>
          <w:tcPr>
            <w:tcW w:w="1320" w:type="dxa"/>
            <w:tcBorders>
              <w:top w:val="nil"/>
              <w:left w:val="nil"/>
              <w:bottom w:val="nil"/>
              <w:right w:val="nil"/>
            </w:tcBorders>
            <w:shd w:val="clear" w:color="000000" w:fill="FFFFFF"/>
            <w:noWrap/>
            <w:vAlign w:val="bottom"/>
            <w:hideMark/>
          </w:tcPr>
          <w:p w14:paraId="6E81B96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0.015</w:t>
            </w:r>
          </w:p>
        </w:tc>
        <w:tc>
          <w:tcPr>
            <w:tcW w:w="1170" w:type="dxa"/>
            <w:tcBorders>
              <w:top w:val="nil"/>
              <w:left w:val="nil"/>
              <w:bottom w:val="nil"/>
              <w:right w:val="nil"/>
            </w:tcBorders>
            <w:shd w:val="clear" w:color="000000" w:fill="FFFFFF"/>
            <w:noWrap/>
            <w:vAlign w:val="bottom"/>
            <w:hideMark/>
          </w:tcPr>
          <w:p w14:paraId="01B2727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(0.027)</w:t>
            </w:r>
          </w:p>
        </w:tc>
        <w:tc>
          <w:tcPr>
            <w:tcW w:w="1320" w:type="dxa"/>
            <w:tcBorders>
              <w:top w:val="nil"/>
              <w:left w:val="nil"/>
              <w:bottom w:val="nil"/>
              <w:right w:val="nil"/>
            </w:tcBorders>
            <w:shd w:val="clear" w:color="000000" w:fill="FFFFFF"/>
            <w:noWrap/>
            <w:vAlign w:val="bottom"/>
            <w:hideMark/>
          </w:tcPr>
          <w:p w14:paraId="35DF301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0.030</w:t>
            </w:r>
          </w:p>
        </w:tc>
        <w:tc>
          <w:tcPr>
            <w:tcW w:w="1170" w:type="dxa"/>
            <w:tcBorders>
              <w:top w:val="nil"/>
              <w:left w:val="nil"/>
              <w:bottom w:val="nil"/>
              <w:right w:val="nil"/>
            </w:tcBorders>
            <w:shd w:val="clear" w:color="000000" w:fill="FFFFFF"/>
            <w:noWrap/>
            <w:vAlign w:val="bottom"/>
            <w:hideMark/>
          </w:tcPr>
          <w:p w14:paraId="4E45379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(0.033)</w:t>
            </w:r>
          </w:p>
        </w:tc>
        <w:tc>
          <w:tcPr>
            <w:tcW w:w="580" w:type="dxa"/>
            <w:tcBorders>
              <w:top w:val="nil"/>
              <w:left w:val="nil"/>
              <w:bottom w:val="nil"/>
              <w:right w:val="nil"/>
            </w:tcBorders>
            <w:shd w:val="clear" w:color="000000" w:fill="FFFFFF"/>
            <w:noWrap/>
            <w:vAlign w:val="bottom"/>
            <w:hideMark/>
          </w:tcPr>
          <w:p w14:paraId="5072FDD7"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438</w:t>
            </w:r>
          </w:p>
        </w:tc>
      </w:tr>
      <w:tr w:rsidR="00434819" w:rsidRPr="00434819" w14:paraId="3768DBBD" w14:textId="77777777" w:rsidTr="00434819">
        <w:trPr>
          <w:divId w:val="1426874971"/>
          <w:trHeight w:val="300"/>
        </w:trPr>
        <w:tc>
          <w:tcPr>
            <w:tcW w:w="2110" w:type="dxa"/>
            <w:tcBorders>
              <w:top w:val="nil"/>
              <w:left w:val="nil"/>
              <w:bottom w:val="single" w:sz="4" w:space="0" w:color="auto"/>
              <w:right w:val="nil"/>
            </w:tcBorders>
            <w:shd w:val="clear" w:color="000000" w:fill="FFFFFF"/>
            <w:noWrap/>
            <w:vAlign w:val="bottom"/>
            <w:hideMark/>
          </w:tcPr>
          <w:p w14:paraId="7C2AF2F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Regular respondent</w:t>
            </w:r>
          </w:p>
        </w:tc>
        <w:tc>
          <w:tcPr>
            <w:tcW w:w="1230" w:type="dxa"/>
            <w:tcBorders>
              <w:top w:val="nil"/>
              <w:left w:val="nil"/>
              <w:bottom w:val="single" w:sz="4" w:space="0" w:color="auto"/>
              <w:right w:val="nil"/>
            </w:tcBorders>
            <w:shd w:val="clear" w:color="000000" w:fill="FFFFFF"/>
            <w:noWrap/>
            <w:vAlign w:val="bottom"/>
            <w:hideMark/>
          </w:tcPr>
          <w:p w14:paraId="16B7D88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0.010</w:t>
            </w:r>
          </w:p>
        </w:tc>
        <w:tc>
          <w:tcPr>
            <w:tcW w:w="1170" w:type="dxa"/>
            <w:tcBorders>
              <w:top w:val="nil"/>
              <w:left w:val="nil"/>
              <w:bottom w:val="single" w:sz="4" w:space="0" w:color="auto"/>
              <w:right w:val="nil"/>
            </w:tcBorders>
            <w:shd w:val="clear" w:color="000000" w:fill="FFFFFF"/>
            <w:noWrap/>
            <w:vAlign w:val="bottom"/>
            <w:hideMark/>
          </w:tcPr>
          <w:p w14:paraId="25F9A08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(0.017)</w:t>
            </w:r>
          </w:p>
        </w:tc>
        <w:tc>
          <w:tcPr>
            <w:tcW w:w="1140" w:type="dxa"/>
            <w:tcBorders>
              <w:top w:val="nil"/>
              <w:left w:val="nil"/>
              <w:bottom w:val="single" w:sz="4" w:space="0" w:color="auto"/>
              <w:right w:val="nil"/>
            </w:tcBorders>
            <w:shd w:val="clear" w:color="000000" w:fill="FFFFFF"/>
            <w:noWrap/>
            <w:vAlign w:val="bottom"/>
            <w:hideMark/>
          </w:tcPr>
          <w:p w14:paraId="749163A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0.017</w:t>
            </w:r>
          </w:p>
        </w:tc>
        <w:tc>
          <w:tcPr>
            <w:tcW w:w="1170" w:type="dxa"/>
            <w:tcBorders>
              <w:top w:val="nil"/>
              <w:left w:val="nil"/>
              <w:bottom w:val="single" w:sz="4" w:space="0" w:color="auto"/>
              <w:right w:val="nil"/>
            </w:tcBorders>
            <w:shd w:val="clear" w:color="000000" w:fill="FFFFFF"/>
            <w:noWrap/>
            <w:vAlign w:val="bottom"/>
            <w:hideMark/>
          </w:tcPr>
          <w:p w14:paraId="08A9692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(0.011)</w:t>
            </w:r>
          </w:p>
        </w:tc>
        <w:tc>
          <w:tcPr>
            <w:tcW w:w="1050" w:type="dxa"/>
            <w:tcBorders>
              <w:top w:val="nil"/>
              <w:left w:val="nil"/>
              <w:bottom w:val="single" w:sz="4" w:space="0" w:color="auto"/>
              <w:right w:val="nil"/>
            </w:tcBorders>
            <w:shd w:val="clear" w:color="000000" w:fill="FFFFFF"/>
            <w:noWrap/>
            <w:vAlign w:val="bottom"/>
            <w:hideMark/>
          </w:tcPr>
          <w:p w14:paraId="66346C9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5,355</w:t>
            </w:r>
          </w:p>
        </w:tc>
        <w:tc>
          <w:tcPr>
            <w:tcW w:w="1320" w:type="dxa"/>
            <w:tcBorders>
              <w:top w:val="nil"/>
              <w:left w:val="nil"/>
              <w:bottom w:val="single" w:sz="4" w:space="0" w:color="auto"/>
              <w:right w:val="nil"/>
            </w:tcBorders>
            <w:shd w:val="clear" w:color="000000" w:fill="FFFFFF"/>
            <w:noWrap/>
            <w:vAlign w:val="bottom"/>
            <w:hideMark/>
          </w:tcPr>
          <w:p w14:paraId="0435B745"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0.119</w:t>
            </w:r>
          </w:p>
        </w:tc>
        <w:tc>
          <w:tcPr>
            <w:tcW w:w="1170" w:type="dxa"/>
            <w:tcBorders>
              <w:top w:val="nil"/>
              <w:left w:val="nil"/>
              <w:bottom w:val="single" w:sz="4" w:space="0" w:color="auto"/>
              <w:right w:val="nil"/>
            </w:tcBorders>
            <w:shd w:val="clear" w:color="000000" w:fill="FFFFFF"/>
            <w:noWrap/>
            <w:vAlign w:val="bottom"/>
            <w:hideMark/>
          </w:tcPr>
          <w:p w14:paraId="1BC4753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(0.074)</w:t>
            </w:r>
          </w:p>
        </w:tc>
        <w:tc>
          <w:tcPr>
            <w:tcW w:w="1320" w:type="dxa"/>
            <w:tcBorders>
              <w:top w:val="nil"/>
              <w:left w:val="nil"/>
              <w:bottom w:val="single" w:sz="4" w:space="0" w:color="auto"/>
              <w:right w:val="nil"/>
            </w:tcBorders>
            <w:shd w:val="clear" w:color="000000" w:fill="FFFFFF"/>
            <w:noWrap/>
            <w:vAlign w:val="bottom"/>
            <w:hideMark/>
          </w:tcPr>
          <w:p w14:paraId="5AD1535C"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0.184*</w:t>
            </w:r>
          </w:p>
        </w:tc>
        <w:tc>
          <w:tcPr>
            <w:tcW w:w="1170" w:type="dxa"/>
            <w:tcBorders>
              <w:top w:val="nil"/>
              <w:left w:val="nil"/>
              <w:bottom w:val="single" w:sz="4" w:space="0" w:color="auto"/>
              <w:right w:val="nil"/>
            </w:tcBorders>
            <w:shd w:val="clear" w:color="000000" w:fill="FFFFFF"/>
            <w:noWrap/>
            <w:vAlign w:val="bottom"/>
            <w:hideMark/>
          </w:tcPr>
          <w:p w14:paraId="2B77D9D9"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(0.080)</w:t>
            </w:r>
          </w:p>
        </w:tc>
        <w:tc>
          <w:tcPr>
            <w:tcW w:w="580" w:type="dxa"/>
            <w:tcBorders>
              <w:top w:val="nil"/>
              <w:left w:val="nil"/>
              <w:bottom w:val="single" w:sz="4" w:space="0" w:color="auto"/>
              <w:right w:val="nil"/>
            </w:tcBorders>
            <w:shd w:val="clear" w:color="000000" w:fill="FFFFFF"/>
            <w:noWrap/>
            <w:vAlign w:val="bottom"/>
            <w:hideMark/>
          </w:tcPr>
          <w:p w14:paraId="2FED231D"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170</w:t>
            </w:r>
          </w:p>
        </w:tc>
      </w:tr>
      <w:tr w:rsidR="00434819" w:rsidRPr="00434819" w14:paraId="55D0D607" w14:textId="77777777" w:rsidTr="00434819">
        <w:trPr>
          <w:divId w:val="1426874971"/>
          <w:trHeight w:val="300"/>
        </w:trPr>
        <w:tc>
          <w:tcPr>
            <w:tcW w:w="2110" w:type="dxa"/>
            <w:tcBorders>
              <w:top w:val="nil"/>
              <w:left w:val="nil"/>
              <w:bottom w:val="nil"/>
              <w:right w:val="nil"/>
            </w:tcBorders>
            <w:shd w:val="clear" w:color="000000" w:fill="FFFFFF"/>
            <w:noWrap/>
            <w:vAlign w:val="bottom"/>
            <w:hideMark/>
          </w:tcPr>
          <w:p w14:paraId="4CC2B115" w14:textId="77777777" w:rsidR="00434819" w:rsidRPr="00434819" w:rsidRDefault="00434819" w:rsidP="00434819">
            <w:pPr>
              <w:spacing w:after="0" w:line="240" w:lineRule="auto"/>
              <w:jc w:val="left"/>
              <w:rPr>
                <w:rFonts w:ascii="Times New Roman" w:eastAsia="Times New Roman" w:hAnsi="Times New Roman" w:cs="Times New Roman"/>
                <w:b/>
                <w:bCs/>
                <w:sz w:val="18"/>
                <w:szCs w:val="18"/>
                <w:lang w:val="en-GB" w:eastAsia="en-GB"/>
              </w:rPr>
            </w:pPr>
            <w:r w:rsidRPr="00434819">
              <w:rPr>
                <w:rFonts w:ascii="Times New Roman" w:eastAsia="Times New Roman" w:hAnsi="Times New Roman" w:cs="Times New Roman"/>
                <w:b/>
                <w:bCs/>
                <w:sz w:val="18"/>
                <w:szCs w:val="18"/>
                <w:lang w:val="en-GB" w:eastAsia="en-GB"/>
              </w:rPr>
              <w:t>Previous wave fieldwork</w:t>
            </w:r>
          </w:p>
        </w:tc>
        <w:tc>
          <w:tcPr>
            <w:tcW w:w="1230" w:type="dxa"/>
            <w:tcBorders>
              <w:top w:val="nil"/>
              <w:left w:val="nil"/>
              <w:bottom w:val="nil"/>
              <w:right w:val="nil"/>
            </w:tcBorders>
            <w:shd w:val="clear" w:color="000000" w:fill="FFFFFF"/>
            <w:noWrap/>
            <w:vAlign w:val="bottom"/>
            <w:hideMark/>
          </w:tcPr>
          <w:p w14:paraId="64106125"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636BC592"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40" w:type="dxa"/>
            <w:tcBorders>
              <w:top w:val="nil"/>
              <w:left w:val="nil"/>
              <w:bottom w:val="nil"/>
              <w:right w:val="nil"/>
            </w:tcBorders>
            <w:shd w:val="clear" w:color="000000" w:fill="FFFFFF"/>
            <w:noWrap/>
            <w:vAlign w:val="bottom"/>
            <w:hideMark/>
          </w:tcPr>
          <w:p w14:paraId="388758EB"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3B6AF1E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050" w:type="dxa"/>
            <w:tcBorders>
              <w:top w:val="nil"/>
              <w:left w:val="nil"/>
              <w:bottom w:val="nil"/>
              <w:right w:val="nil"/>
            </w:tcBorders>
            <w:shd w:val="clear" w:color="000000" w:fill="FFFFFF"/>
            <w:noWrap/>
            <w:vAlign w:val="bottom"/>
            <w:hideMark/>
          </w:tcPr>
          <w:p w14:paraId="10CF368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nil"/>
              <w:left w:val="nil"/>
              <w:bottom w:val="nil"/>
              <w:right w:val="nil"/>
            </w:tcBorders>
            <w:shd w:val="clear" w:color="000000" w:fill="FFFFFF"/>
            <w:noWrap/>
            <w:vAlign w:val="bottom"/>
            <w:hideMark/>
          </w:tcPr>
          <w:p w14:paraId="786B024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3C432A9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320" w:type="dxa"/>
            <w:tcBorders>
              <w:top w:val="nil"/>
              <w:left w:val="nil"/>
              <w:bottom w:val="nil"/>
              <w:right w:val="nil"/>
            </w:tcBorders>
            <w:shd w:val="clear" w:color="000000" w:fill="FFFFFF"/>
            <w:noWrap/>
            <w:vAlign w:val="bottom"/>
            <w:hideMark/>
          </w:tcPr>
          <w:p w14:paraId="77C5EA1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1170" w:type="dxa"/>
            <w:tcBorders>
              <w:top w:val="nil"/>
              <w:left w:val="nil"/>
              <w:bottom w:val="nil"/>
              <w:right w:val="nil"/>
            </w:tcBorders>
            <w:shd w:val="clear" w:color="000000" w:fill="FFFFFF"/>
            <w:noWrap/>
            <w:vAlign w:val="bottom"/>
            <w:hideMark/>
          </w:tcPr>
          <w:p w14:paraId="7EB2BBF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c>
          <w:tcPr>
            <w:tcW w:w="580" w:type="dxa"/>
            <w:tcBorders>
              <w:top w:val="nil"/>
              <w:left w:val="nil"/>
              <w:bottom w:val="nil"/>
              <w:right w:val="nil"/>
            </w:tcBorders>
            <w:shd w:val="clear" w:color="000000" w:fill="FFFFFF"/>
            <w:noWrap/>
            <w:vAlign w:val="bottom"/>
            <w:hideMark/>
          </w:tcPr>
          <w:p w14:paraId="29E1C860" w14:textId="77777777" w:rsidR="00434819" w:rsidRPr="00434819" w:rsidRDefault="00434819" w:rsidP="00434819">
            <w:pPr>
              <w:spacing w:after="0" w:line="240" w:lineRule="auto"/>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 </w:t>
            </w:r>
          </w:p>
        </w:tc>
      </w:tr>
      <w:tr w:rsidR="00434819" w:rsidRPr="00434819" w14:paraId="3927A8A8" w14:textId="77777777" w:rsidTr="00434819">
        <w:trPr>
          <w:divId w:val="1426874971"/>
          <w:trHeight w:val="300"/>
        </w:trPr>
        <w:tc>
          <w:tcPr>
            <w:tcW w:w="2110" w:type="dxa"/>
            <w:tcBorders>
              <w:top w:val="nil"/>
              <w:left w:val="nil"/>
              <w:bottom w:val="nil"/>
              <w:right w:val="nil"/>
            </w:tcBorders>
            <w:shd w:val="clear" w:color="000000" w:fill="FFFFFF"/>
            <w:noWrap/>
            <w:vAlign w:val="center"/>
            <w:hideMark/>
          </w:tcPr>
          <w:p w14:paraId="47AFAB80"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color w:val="000000"/>
                <w:sz w:val="18"/>
                <w:szCs w:val="18"/>
                <w:lang w:val="en-GB" w:eastAsia="en-GB"/>
              </w:rPr>
            </w:pPr>
            <w:r w:rsidRPr="00434819">
              <w:rPr>
                <w:rFonts w:ascii="Times New Roman" w:eastAsia="Times New Roman" w:hAnsi="Times New Roman" w:cs="Times New Roman"/>
                <w:color w:val="000000"/>
                <w:sz w:val="18"/>
                <w:szCs w:val="18"/>
                <w:lang w:val="en-GB" w:eastAsia="en-GB"/>
              </w:rPr>
              <w:t>Web-first</w:t>
            </w:r>
          </w:p>
        </w:tc>
        <w:tc>
          <w:tcPr>
            <w:tcW w:w="1230" w:type="dxa"/>
            <w:tcBorders>
              <w:top w:val="nil"/>
              <w:left w:val="nil"/>
              <w:bottom w:val="nil"/>
              <w:right w:val="nil"/>
            </w:tcBorders>
            <w:shd w:val="clear" w:color="000000" w:fill="FFFFFF"/>
            <w:noWrap/>
            <w:vAlign w:val="bottom"/>
            <w:hideMark/>
          </w:tcPr>
          <w:p w14:paraId="395328FD"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0.026</w:t>
            </w:r>
          </w:p>
        </w:tc>
        <w:tc>
          <w:tcPr>
            <w:tcW w:w="1170" w:type="dxa"/>
            <w:tcBorders>
              <w:top w:val="nil"/>
              <w:left w:val="nil"/>
              <w:bottom w:val="nil"/>
              <w:right w:val="nil"/>
            </w:tcBorders>
            <w:shd w:val="clear" w:color="000000" w:fill="FFFFFF"/>
            <w:noWrap/>
            <w:vAlign w:val="bottom"/>
            <w:hideMark/>
          </w:tcPr>
          <w:p w14:paraId="4658436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(0.019)</w:t>
            </w:r>
          </w:p>
        </w:tc>
        <w:tc>
          <w:tcPr>
            <w:tcW w:w="1140" w:type="dxa"/>
            <w:tcBorders>
              <w:top w:val="nil"/>
              <w:left w:val="nil"/>
              <w:bottom w:val="nil"/>
              <w:right w:val="nil"/>
            </w:tcBorders>
            <w:shd w:val="clear" w:color="000000" w:fill="FFFFFF"/>
            <w:noWrap/>
            <w:vAlign w:val="bottom"/>
            <w:hideMark/>
          </w:tcPr>
          <w:p w14:paraId="431FC4C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0.018</w:t>
            </w:r>
          </w:p>
        </w:tc>
        <w:tc>
          <w:tcPr>
            <w:tcW w:w="1170" w:type="dxa"/>
            <w:tcBorders>
              <w:top w:val="nil"/>
              <w:left w:val="nil"/>
              <w:bottom w:val="nil"/>
              <w:right w:val="nil"/>
            </w:tcBorders>
            <w:shd w:val="clear" w:color="000000" w:fill="FFFFFF"/>
            <w:noWrap/>
            <w:vAlign w:val="bottom"/>
            <w:hideMark/>
          </w:tcPr>
          <w:p w14:paraId="34CCDCC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(0.013)</w:t>
            </w:r>
          </w:p>
        </w:tc>
        <w:tc>
          <w:tcPr>
            <w:tcW w:w="1050" w:type="dxa"/>
            <w:tcBorders>
              <w:top w:val="nil"/>
              <w:left w:val="nil"/>
              <w:bottom w:val="nil"/>
              <w:right w:val="nil"/>
            </w:tcBorders>
            <w:shd w:val="clear" w:color="000000" w:fill="FFFFFF"/>
            <w:noWrap/>
            <w:vAlign w:val="bottom"/>
            <w:hideMark/>
          </w:tcPr>
          <w:p w14:paraId="323DEFD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4,135</w:t>
            </w:r>
          </w:p>
        </w:tc>
        <w:tc>
          <w:tcPr>
            <w:tcW w:w="1320" w:type="dxa"/>
            <w:tcBorders>
              <w:top w:val="nil"/>
              <w:left w:val="nil"/>
              <w:bottom w:val="nil"/>
              <w:right w:val="nil"/>
            </w:tcBorders>
            <w:shd w:val="clear" w:color="000000" w:fill="FFFFFF"/>
            <w:noWrap/>
            <w:vAlign w:val="bottom"/>
            <w:hideMark/>
          </w:tcPr>
          <w:p w14:paraId="0D27047E"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0.061*</w:t>
            </w:r>
          </w:p>
        </w:tc>
        <w:tc>
          <w:tcPr>
            <w:tcW w:w="1170" w:type="dxa"/>
            <w:tcBorders>
              <w:top w:val="nil"/>
              <w:left w:val="nil"/>
              <w:bottom w:val="nil"/>
              <w:right w:val="nil"/>
            </w:tcBorders>
            <w:shd w:val="clear" w:color="000000" w:fill="FFFFFF"/>
            <w:noWrap/>
            <w:vAlign w:val="bottom"/>
            <w:hideMark/>
          </w:tcPr>
          <w:p w14:paraId="2CE41324"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(0.034)</w:t>
            </w:r>
          </w:p>
        </w:tc>
        <w:tc>
          <w:tcPr>
            <w:tcW w:w="1320" w:type="dxa"/>
            <w:tcBorders>
              <w:top w:val="nil"/>
              <w:left w:val="nil"/>
              <w:bottom w:val="nil"/>
              <w:right w:val="nil"/>
            </w:tcBorders>
            <w:shd w:val="clear" w:color="000000" w:fill="FFFFFF"/>
            <w:noWrap/>
            <w:vAlign w:val="bottom"/>
            <w:hideMark/>
          </w:tcPr>
          <w:p w14:paraId="44BF1CDA"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0.072*</w:t>
            </w:r>
          </w:p>
        </w:tc>
        <w:tc>
          <w:tcPr>
            <w:tcW w:w="1170" w:type="dxa"/>
            <w:tcBorders>
              <w:top w:val="nil"/>
              <w:left w:val="nil"/>
              <w:bottom w:val="nil"/>
              <w:right w:val="nil"/>
            </w:tcBorders>
            <w:shd w:val="clear" w:color="000000" w:fill="FFFFFF"/>
            <w:noWrap/>
            <w:vAlign w:val="bottom"/>
            <w:hideMark/>
          </w:tcPr>
          <w:p w14:paraId="72C2A9B0"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(0.039)</w:t>
            </w:r>
          </w:p>
        </w:tc>
        <w:tc>
          <w:tcPr>
            <w:tcW w:w="580" w:type="dxa"/>
            <w:tcBorders>
              <w:top w:val="nil"/>
              <w:left w:val="nil"/>
              <w:bottom w:val="nil"/>
              <w:right w:val="nil"/>
            </w:tcBorders>
            <w:shd w:val="clear" w:color="000000" w:fill="FFFFFF"/>
            <w:noWrap/>
            <w:vAlign w:val="bottom"/>
            <w:hideMark/>
          </w:tcPr>
          <w:p w14:paraId="30F4C49E"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424</w:t>
            </w:r>
          </w:p>
        </w:tc>
      </w:tr>
      <w:tr w:rsidR="00434819" w:rsidRPr="00434819" w14:paraId="2DE0C44F" w14:textId="77777777" w:rsidTr="00434819">
        <w:trPr>
          <w:divId w:val="1426874971"/>
          <w:trHeight w:val="300"/>
        </w:trPr>
        <w:tc>
          <w:tcPr>
            <w:tcW w:w="2110" w:type="dxa"/>
            <w:tcBorders>
              <w:top w:val="nil"/>
              <w:left w:val="nil"/>
              <w:bottom w:val="nil"/>
              <w:right w:val="nil"/>
            </w:tcBorders>
            <w:shd w:val="clear" w:color="000000" w:fill="FFFFFF"/>
            <w:noWrap/>
            <w:vAlign w:val="center"/>
            <w:hideMark/>
          </w:tcPr>
          <w:p w14:paraId="417E04E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color w:val="000000"/>
                <w:sz w:val="18"/>
                <w:szCs w:val="18"/>
                <w:lang w:val="en-GB" w:eastAsia="en-GB"/>
              </w:rPr>
            </w:pPr>
            <w:r w:rsidRPr="00434819">
              <w:rPr>
                <w:rFonts w:ascii="Times New Roman" w:eastAsia="Times New Roman" w:hAnsi="Times New Roman" w:cs="Times New Roman"/>
                <w:color w:val="000000"/>
                <w:sz w:val="18"/>
                <w:szCs w:val="18"/>
                <w:lang w:val="en-GB" w:eastAsia="en-GB"/>
              </w:rPr>
              <w:t>CAPI-only (HWP)</w:t>
            </w:r>
          </w:p>
        </w:tc>
        <w:tc>
          <w:tcPr>
            <w:tcW w:w="1230" w:type="dxa"/>
            <w:tcBorders>
              <w:top w:val="nil"/>
              <w:left w:val="nil"/>
              <w:bottom w:val="nil"/>
              <w:right w:val="nil"/>
            </w:tcBorders>
            <w:shd w:val="clear" w:color="000000" w:fill="FFFFFF"/>
            <w:noWrap/>
            <w:vAlign w:val="bottom"/>
            <w:hideMark/>
          </w:tcPr>
          <w:p w14:paraId="1A8F03E3"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-0.029</w:t>
            </w:r>
          </w:p>
        </w:tc>
        <w:tc>
          <w:tcPr>
            <w:tcW w:w="1170" w:type="dxa"/>
            <w:tcBorders>
              <w:top w:val="nil"/>
              <w:left w:val="nil"/>
              <w:bottom w:val="nil"/>
              <w:right w:val="nil"/>
            </w:tcBorders>
            <w:shd w:val="clear" w:color="000000" w:fill="FFFFFF"/>
            <w:noWrap/>
            <w:vAlign w:val="bottom"/>
            <w:hideMark/>
          </w:tcPr>
          <w:p w14:paraId="7B94D98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(0.041)</w:t>
            </w:r>
          </w:p>
        </w:tc>
        <w:tc>
          <w:tcPr>
            <w:tcW w:w="1140" w:type="dxa"/>
            <w:tcBorders>
              <w:top w:val="nil"/>
              <w:left w:val="nil"/>
              <w:bottom w:val="nil"/>
              <w:right w:val="nil"/>
            </w:tcBorders>
            <w:shd w:val="clear" w:color="000000" w:fill="FFFFFF"/>
            <w:noWrap/>
            <w:vAlign w:val="bottom"/>
            <w:hideMark/>
          </w:tcPr>
          <w:p w14:paraId="186912FE"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0.045*</w:t>
            </w:r>
          </w:p>
        </w:tc>
        <w:tc>
          <w:tcPr>
            <w:tcW w:w="1170" w:type="dxa"/>
            <w:tcBorders>
              <w:top w:val="nil"/>
              <w:left w:val="nil"/>
              <w:bottom w:val="nil"/>
              <w:right w:val="nil"/>
            </w:tcBorders>
            <w:shd w:val="clear" w:color="000000" w:fill="FFFFFF"/>
            <w:noWrap/>
            <w:vAlign w:val="bottom"/>
            <w:hideMark/>
          </w:tcPr>
          <w:p w14:paraId="120A47C2"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(0.027)</w:t>
            </w:r>
          </w:p>
        </w:tc>
        <w:tc>
          <w:tcPr>
            <w:tcW w:w="1050" w:type="dxa"/>
            <w:tcBorders>
              <w:top w:val="nil"/>
              <w:left w:val="nil"/>
              <w:bottom w:val="nil"/>
              <w:right w:val="nil"/>
            </w:tcBorders>
            <w:shd w:val="clear" w:color="000000" w:fill="FFFFFF"/>
            <w:noWrap/>
            <w:vAlign w:val="bottom"/>
            <w:hideMark/>
          </w:tcPr>
          <w:p w14:paraId="2F6F9AC5"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859</w:t>
            </w:r>
          </w:p>
        </w:tc>
        <w:tc>
          <w:tcPr>
            <w:tcW w:w="1320" w:type="dxa"/>
            <w:tcBorders>
              <w:top w:val="nil"/>
              <w:left w:val="nil"/>
              <w:bottom w:val="nil"/>
              <w:right w:val="nil"/>
            </w:tcBorders>
            <w:shd w:val="clear" w:color="000000" w:fill="FFFFFF"/>
            <w:noWrap/>
            <w:vAlign w:val="bottom"/>
            <w:hideMark/>
          </w:tcPr>
          <w:p w14:paraId="6791415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0.000</w:t>
            </w:r>
          </w:p>
        </w:tc>
        <w:tc>
          <w:tcPr>
            <w:tcW w:w="1170" w:type="dxa"/>
            <w:tcBorders>
              <w:top w:val="nil"/>
              <w:left w:val="nil"/>
              <w:bottom w:val="nil"/>
              <w:right w:val="nil"/>
            </w:tcBorders>
            <w:shd w:val="clear" w:color="000000" w:fill="FFFFFF"/>
            <w:noWrap/>
            <w:vAlign w:val="bottom"/>
            <w:hideMark/>
          </w:tcPr>
          <w:p w14:paraId="4A85B021"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(0.080)</w:t>
            </w:r>
          </w:p>
        </w:tc>
        <w:tc>
          <w:tcPr>
            <w:tcW w:w="1320" w:type="dxa"/>
            <w:tcBorders>
              <w:top w:val="nil"/>
              <w:left w:val="nil"/>
              <w:bottom w:val="nil"/>
              <w:right w:val="nil"/>
            </w:tcBorders>
            <w:shd w:val="clear" w:color="000000" w:fill="FFFFFF"/>
            <w:noWrap/>
            <w:vAlign w:val="bottom"/>
            <w:hideMark/>
          </w:tcPr>
          <w:p w14:paraId="05C2BAE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0.149</w:t>
            </w:r>
          </w:p>
        </w:tc>
        <w:tc>
          <w:tcPr>
            <w:tcW w:w="1170" w:type="dxa"/>
            <w:tcBorders>
              <w:top w:val="nil"/>
              <w:left w:val="nil"/>
              <w:bottom w:val="nil"/>
              <w:right w:val="nil"/>
            </w:tcBorders>
            <w:shd w:val="clear" w:color="000000" w:fill="FFFFFF"/>
            <w:noWrap/>
            <w:vAlign w:val="bottom"/>
            <w:hideMark/>
          </w:tcPr>
          <w:p w14:paraId="1A8A073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(0.095)</w:t>
            </w:r>
          </w:p>
        </w:tc>
        <w:tc>
          <w:tcPr>
            <w:tcW w:w="580" w:type="dxa"/>
            <w:tcBorders>
              <w:top w:val="nil"/>
              <w:left w:val="nil"/>
              <w:bottom w:val="nil"/>
              <w:right w:val="nil"/>
            </w:tcBorders>
            <w:shd w:val="clear" w:color="000000" w:fill="FFFFFF"/>
            <w:noWrap/>
            <w:vAlign w:val="bottom"/>
            <w:hideMark/>
          </w:tcPr>
          <w:p w14:paraId="3C4493A4"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89</w:t>
            </w:r>
          </w:p>
        </w:tc>
      </w:tr>
      <w:tr w:rsidR="00434819" w:rsidRPr="00434819" w14:paraId="1E9B4626" w14:textId="77777777" w:rsidTr="00434819">
        <w:trPr>
          <w:divId w:val="1426874971"/>
          <w:trHeight w:val="300"/>
        </w:trPr>
        <w:tc>
          <w:tcPr>
            <w:tcW w:w="2110" w:type="dxa"/>
            <w:tcBorders>
              <w:top w:val="nil"/>
              <w:left w:val="nil"/>
              <w:bottom w:val="nil"/>
              <w:right w:val="nil"/>
            </w:tcBorders>
            <w:shd w:val="clear" w:color="000000" w:fill="FFFFFF"/>
            <w:noWrap/>
            <w:vAlign w:val="center"/>
            <w:hideMark/>
          </w:tcPr>
          <w:p w14:paraId="22D7DA5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color w:val="000000"/>
                <w:sz w:val="18"/>
                <w:szCs w:val="18"/>
                <w:lang w:val="en-GB" w:eastAsia="en-GB"/>
              </w:rPr>
            </w:pPr>
            <w:r w:rsidRPr="00434819">
              <w:rPr>
                <w:rFonts w:ascii="Times New Roman" w:eastAsia="Times New Roman" w:hAnsi="Times New Roman" w:cs="Times New Roman"/>
                <w:color w:val="000000"/>
                <w:sz w:val="18"/>
                <w:szCs w:val="18"/>
                <w:lang w:val="en-GB" w:eastAsia="en-GB"/>
              </w:rPr>
              <w:t>CAPI-first</w:t>
            </w:r>
          </w:p>
        </w:tc>
        <w:tc>
          <w:tcPr>
            <w:tcW w:w="1230" w:type="dxa"/>
            <w:tcBorders>
              <w:top w:val="nil"/>
              <w:left w:val="nil"/>
              <w:bottom w:val="nil"/>
              <w:right w:val="nil"/>
            </w:tcBorders>
            <w:shd w:val="clear" w:color="000000" w:fill="FFFFFF"/>
            <w:noWrap/>
            <w:vAlign w:val="bottom"/>
            <w:hideMark/>
          </w:tcPr>
          <w:p w14:paraId="4DE06564"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0.059</w:t>
            </w:r>
          </w:p>
        </w:tc>
        <w:tc>
          <w:tcPr>
            <w:tcW w:w="1170" w:type="dxa"/>
            <w:tcBorders>
              <w:top w:val="nil"/>
              <w:left w:val="nil"/>
              <w:bottom w:val="nil"/>
              <w:right w:val="nil"/>
            </w:tcBorders>
            <w:shd w:val="clear" w:color="000000" w:fill="FFFFFF"/>
            <w:noWrap/>
            <w:vAlign w:val="bottom"/>
            <w:hideMark/>
          </w:tcPr>
          <w:p w14:paraId="349E9E19"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(0.057)</w:t>
            </w:r>
          </w:p>
        </w:tc>
        <w:tc>
          <w:tcPr>
            <w:tcW w:w="1140" w:type="dxa"/>
            <w:tcBorders>
              <w:top w:val="nil"/>
              <w:left w:val="nil"/>
              <w:bottom w:val="nil"/>
              <w:right w:val="nil"/>
            </w:tcBorders>
            <w:shd w:val="clear" w:color="000000" w:fill="FFFFFF"/>
            <w:noWrap/>
            <w:vAlign w:val="bottom"/>
            <w:hideMark/>
          </w:tcPr>
          <w:p w14:paraId="4423E6B8"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0.024</w:t>
            </w:r>
          </w:p>
        </w:tc>
        <w:tc>
          <w:tcPr>
            <w:tcW w:w="1170" w:type="dxa"/>
            <w:tcBorders>
              <w:top w:val="nil"/>
              <w:left w:val="nil"/>
              <w:bottom w:val="nil"/>
              <w:right w:val="nil"/>
            </w:tcBorders>
            <w:shd w:val="clear" w:color="000000" w:fill="FFFFFF"/>
            <w:noWrap/>
            <w:vAlign w:val="bottom"/>
            <w:hideMark/>
          </w:tcPr>
          <w:p w14:paraId="3056FF2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(0.048)</w:t>
            </w:r>
          </w:p>
        </w:tc>
        <w:tc>
          <w:tcPr>
            <w:tcW w:w="1050" w:type="dxa"/>
            <w:tcBorders>
              <w:top w:val="nil"/>
              <w:left w:val="nil"/>
              <w:bottom w:val="nil"/>
              <w:right w:val="nil"/>
            </w:tcBorders>
            <w:shd w:val="clear" w:color="000000" w:fill="FFFFFF"/>
            <w:noWrap/>
            <w:vAlign w:val="bottom"/>
            <w:hideMark/>
          </w:tcPr>
          <w:p w14:paraId="1488557D"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597</w:t>
            </w:r>
          </w:p>
        </w:tc>
        <w:tc>
          <w:tcPr>
            <w:tcW w:w="1320" w:type="dxa"/>
            <w:tcBorders>
              <w:top w:val="nil"/>
              <w:left w:val="nil"/>
              <w:bottom w:val="nil"/>
              <w:right w:val="nil"/>
            </w:tcBorders>
            <w:shd w:val="clear" w:color="000000" w:fill="FFFFFF"/>
            <w:noWrap/>
            <w:vAlign w:val="bottom"/>
            <w:hideMark/>
          </w:tcPr>
          <w:p w14:paraId="4D4464B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-0.119</w:t>
            </w:r>
          </w:p>
        </w:tc>
        <w:tc>
          <w:tcPr>
            <w:tcW w:w="1170" w:type="dxa"/>
            <w:tcBorders>
              <w:top w:val="nil"/>
              <w:left w:val="nil"/>
              <w:bottom w:val="nil"/>
              <w:right w:val="nil"/>
            </w:tcBorders>
            <w:shd w:val="clear" w:color="000000" w:fill="FFFFFF"/>
            <w:noWrap/>
            <w:vAlign w:val="bottom"/>
            <w:hideMark/>
          </w:tcPr>
          <w:p w14:paraId="53D8A52F"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(0.087)</w:t>
            </w:r>
          </w:p>
        </w:tc>
        <w:tc>
          <w:tcPr>
            <w:tcW w:w="1320" w:type="dxa"/>
            <w:tcBorders>
              <w:top w:val="nil"/>
              <w:left w:val="nil"/>
              <w:bottom w:val="nil"/>
              <w:right w:val="nil"/>
            </w:tcBorders>
            <w:shd w:val="clear" w:color="000000" w:fill="FFFFFF"/>
            <w:noWrap/>
            <w:vAlign w:val="bottom"/>
            <w:hideMark/>
          </w:tcPr>
          <w:p w14:paraId="3945DAB6"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-0.109</w:t>
            </w:r>
          </w:p>
        </w:tc>
        <w:tc>
          <w:tcPr>
            <w:tcW w:w="1170" w:type="dxa"/>
            <w:tcBorders>
              <w:top w:val="nil"/>
              <w:left w:val="nil"/>
              <w:bottom w:val="nil"/>
              <w:right w:val="nil"/>
            </w:tcBorders>
            <w:shd w:val="clear" w:color="000000" w:fill="FFFFFF"/>
            <w:noWrap/>
            <w:vAlign w:val="bottom"/>
            <w:hideMark/>
          </w:tcPr>
          <w:p w14:paraId="47E43B6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(0.090)</w:t>
            </w:r>
          </w:p>
        </w:tc>
        <w:tc>
          <w:tcPr>
            <w:tcW w:w="580" w:type="dxa"/>
            <w:tcBorders>
              <w:top w:val="nil"/>
              <w:left w:val="nil"/>
              <w:bottom w:val="nil"/>
              <w:right w:val="nil"/>
            </w:tcBorders>
            <w:shd w:val="clear" w:color="000000" w:fill="FFFFFF"/>
            <w:noWrap/>
            <w:vAlign w:val="bottom"/>
            <w:hideMark/>
          </w:tcPr>
          <w:p w14:paraId="19C7BC9B"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68</w:t>
            </w:r>
          </w:p>
        </w:tc>
      </w:tr>
      <w:tr w:rsidR="00434819" w:rsidRPr="00434819" w14:paraId="0D0F339A" w14:textId="77777777" w:rsidTr="00434819">
        <w:trPr>
          <w:divId w:val="1426874971"/>
          <w:trHeight w:val="300"/>
        </w:trPr>
        <w:tc>
          <w:tcPr>
            <w:tcW w:w="2110" w:type="dxa"/>
            <w:tcBorders>
              <w:top w:val="nil"/>
              <w:left w:val="nil"/>
              <w:bottom w:val="single" w:sz="4" w:space="0" w:color="auto"/>
              <w:right w:val="nil"/>
            </w:tcBorders>
            <w:shd w:val="clear" w:color="000000" w:fill="FFFFFF"/>
            <w:noWrap/>
            <w:vAlign w:val="center"/>
            <w:hideMark/>
          </w:tcPr>
          <w:p w14:paraId="45DEF05A"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color w:val="000000"/>
                <w:sz w:val="18"/>
                <w:szCs w:val="18"/>
                <w:lang w:val="en-GB" w:eastAsia="en-GB"/>
              </w:rPr>
            </w:pPr>
            <w:r w:rsidRPr="00434819">
              <w:rPr>
                <w:rFonts w:ascii="Times New Roman" w:eastAsia="Times New Roman" w:hAnsi="Times New Roman" w:cs="Times New Roman"/>
                <w:color w:val="000000"/>
                <w:sz w:val="18"/>
                <w:szCs w:val="18"/>
                <w:lang w:val="en-GB" w:eastAsia="en-GB"/>
              </w:rPr>
              <w:t>CAPI-only (LWP)</w:t>
            </w:r>
          </w:p>
        </w:tc>
        <w:tc>
          <w:tcPr>
            <w:tcW w:w="1230" w:type="dxa"/>
            <w:tcBorders>
              <w:top w:val="nil"/>
              <w:left w:val="nil"/>
              <w:bottom w:val="single" w:sz="4" w:space="0" w:color="auto"/>
              <w:right w:val="nil"/>
            </w:tcBorders>
            <w:shd w:val="clear" w:color="000000" w:fill="FFFFFF"/>
            <w:noWrap/>
            <w:vAlign w:val="bottom"/>
            <w:hideMark/>
          </w:tcPr>
          <w:p w14:paraId="14B790A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0.089</w:t>
            </w:r>
          </w:p>
        </w:tc>
        <w:tc>
          <w:tcPr>
            <w:tcW w:w="1170" w:type="dxa"/>
            <w:tcBorders>
              <w:top w:val="nil"/>
              <w:left w:val="nil"/>
              <w:bottom w:val="single" w:sz="4" w:space="0" w:color="auto"/>
              <w:right w:val="nil"/>
            </w:tcBorders>
            <w:shd w:val="clear" w:color="000000" w:fill="FFFFFF"/>
            <w:noWrap/>
            <w:vAlign w:val="bottom"/>
            <w:hideMark/>
          </w:tcPr>
          <w:p w14:paraId="613515FB"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(0.115)</w:t>
            </w:r>
          </w:p>
        </w:tc>
        <w:tc>
          <w:tcPr>
            <w:tcW w:w="1140" w:type="dxa"/>
            <w:tcBorders>
              <w:top w:val="nil"/>
              <w:left w:val="nil"/>
              <w:bottom w:val="single" w:sz="4" w:space="0" w:color="auto"/>
              <w:right w:val="nil"/>
            </w:tcBorders>
            <w:shd w:val="clear" w:color="000000" w:fill="FFFFFF"/>
            <w:noWrap/>
            <w:vAlign w:val="bottom"/>
            <w:hideMark/>
          </w:tcPr>
          <w:p w14:paraId="4C992AAE"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0.028</w:t>
            </w:r>
          </w:p>
        </w:tc>
        <w:tc>
          <w:tcPr>
            <w:tcW w:w="1170" w:type="dxa"/>
            <w:tcBorders>
              <w:top w:val="nil"/>
              <w:left w:val="nil"/>
              <w:bottom w:val="single" w:sz="4" w:space="0" w:color="auto"/>
              <w:right w:val="nil"/>
            </w:tcBorders>
            <w:shd w:val="clear" w:color="000000" w:fill="FFFFFF"/>
            <w:noWrap/>
            <w:vAlign w:val="bottom"/>
            <w:hideMark/>
          </w:tcPr>
          <w:p w14:paraId="2B072FA7"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(0.050)</w:t>
            </w:r>
          </w:p>
        </w:tc>
        <w:tc>
          <w:tcPr>
            <w:tcW w:w="1050" w:type="dxa"/>
            <w:tcBorders>
              <w:top w:val="nil"/>
              <w:left w:val="nil"/>
              <w:bottom w:val="single" w:sz="4" w:space="0" w:color="auto"/>
              <w:right w:val="nil"/>
            </w:tcBorders>
            <w:shd w:val="clear" w:color="000000" w:fill="FFFFFF"/>
            <w:noWrap/>
            <w:vAlign w:val="bottom"/>
            <w:hideMark/>
          </w:tcPr>
          <w:p w14:paraId="4DBBD65C" w14:textId="77777777" w:rsidR="00434819" w:rsidRPr="00434819" w:rsidRDefault="00434819" w:rsidP="00434819">
            <w:pPr>
              <w:spacing w:after="0" w:line="240" w:lineRule="auto"/>
              <w:ind w:firstLineChars="200" w:firstLine="360"/>
              <w:jc w:val="lef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170</w:t>
            </w:r>
          </w:p>
        </w:tc>
        <w:tc>
          <w:tcPr>
            <w:tcW w:w="1320" w:type="dxa"/>
            <w:tcBorders>
              <w:top w:val="nil"/>
              <w:left w:val="nil"/>
              <w:bottom w:val="single" w:sz="4" w:space="0" w:color="auto"/>
              <w:right w:val="nil"/>
            </w:tcBorders>
            <w:shd w:val="clear" w:color="000000" w:fill="FFFFFF"/>
            <w:noWrap/>
            <w:vAlign w:val="bottom"/>
            <w:hideMark/>
          </w:tcPr>
          <w:p w14:paraId="3A1B6635"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0.262**</w:t>
            </w:r>
          </w:p>
        </w:tc>
        <w:tc>
          <w:tcPr>
            <w:tcW w:w="1170" w:type="dxa"/>
            <w:tcBorders>
              <w:top w:val="nil"/>
              <w:left w:val="nil"/>
              <w:bottom w:val="single" w:sz="4" w:space="0" w:color="auto"/>
              <w:right w:val="nil"/>
            </w:tcBorders>
            <w:shd w:val="clear" w:color="000000" w:fill="FFFFFF"/>
            <w:noWrap/>
            <w:vAlign w:val="bottom"/>
            <w:hideMark/>
          </w:tcPr>
          <w:p w14:paraId="482CD07A"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(0.111)</w:t>
            </w:r>
          </w:p>
        </w:tc>
        <w:tc>
          <w:tcPr>
            <w:tcW w:w="1320" w:type="dxa"/>
            <w:tcBorders>
              <w:top w:val="nil"/>
              <w:left w:val="nil"/>
              <w:bottom w:val="single" w:sz="4" w:space="0" w:color="auto"/>
              <w:right w:val="nil"/>
            </w:tcBorders>
            <w:shd w:val="clear" w:color="000000" w:fill="FFFFFF"/>
            <w:noWrap/>
            <w:vAlign w:val="bottom"/>
            <w:hideMark/>
          </w:tcPr>
          <w:p w14:paraId="7A46AE43"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0.279*</w:t>
            </w:r>
          </w:p>
        </w:tc>
        <w:tc>
          <w:tcPr>
            <w:tcW w:w="1170" w:type="dxa"/>
            <w:tcBorders>
              <w:top w:val="nil"/>
              <w:left w:val="nil"/>
              <w:bottom w:val="single" w:sz="4" w:space="0" w:color="auto"/>
              <w:right w:val="nil"/>
            </w:tcBorders>
            <w:shd w:val="clear" w:color="000000" w:fill="FFFFFF"/>
            <w:noWrap/>
            <w:vAlign w:val="bottom"/>
            <w:hideMark/>
          </w:tcPr>
          <w:p w14:paraId="0498274C" w14:textId="77777777" w:rsidR="00434819" w:rsidRPr="001512AC" w:rsidRDefault="00434819" w:rsidP="00434819">
            <w:pPr>
              <w:spacing w:after="0" w:line="240" w:lineRule="auto"/>
              <w:ind w:firstLineChars="200" w:firstLine="361"/>
              <w:jc w:val="left"/>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(0.122)</w:t>
            </w:r>
          </w:p>
        </w:tc>
        <w:tc>
          <w:tcPr>
            <w:tcW w:w="580" w:type="dxa"/>
            <w:tcBorders>
              <w:top w:val="nil"/>
              <w:left w:val="nil"/>
              <w:bottom w:val="single" w:sz="4" w:space="0" w:color="auto"/>
              <w:right w:val="nil"/>
            </w:tcBorders>
            <w:shd w:val="clear" w:color="000000" w:fill="FFFFFF"/>
            <w:noWrap/>
            <w:vAlign w:val="bottom"/>
            <w:hideMark/>
          </w:tcPr>
          <w:p w14:paraId="5C2831E6" w14:textId="77777777" w:rsidR="00434819" w:rsidRPr="00434819" w:rsidRDefault="00434819" w:rsidP="00434819">
            <w:pPr>
              <w:spacing w:after="0" w:line="240" w:lineRule="auto"/>
              <w:jc w:val="right"/>
              <w:rPr>
                <w:rFonts w:ascii="Times New Roman" w:eastAsia="Times New Roman" w:hAnsi="Times New Roman" w:cs="Times New Roman"/>
                <w:sz w:val="18"/>
                <w:szCs w:val="18"/>
                <w:lang w:val="en-GB" w:eastAsia="en-GB"/>
              </w:rPr>
            </w:pPr>
            <w:r w:rsidRPr="00434819">
              <w:rPr>
                <w:rFonts w:ascii="Times New Roman" w:eastAsia="Times New Roman" w:hAnsi="Times New Roman" w:cs="Times New Roman"/>
                <w:sz w:val="18"/>
                <w:szCs w:val="18"/>
                <w:lang w:val="en-GB" w:eastAsia="en-GB"/>
              </w:rPr>
              <w:t>27</w:t>
            </w:r>
          </w:p>
        </w:tc>
      </w:tr>
    </w:tbl>
    <w:p w14:paraId="61DB3CFB" w14:textId="569279FF" w:rsidR="00434819" w:rsidRPr="00434819" w:rsidRDefault="00434819" w:rsidP="00434819">
      <w:pPr>
        <w:spacing w:line="240" w:lineRule="auto"/>
        <w:divId w:val="1426874971"/>
      </w:pPr>
      <w:r w:rsidRPr="005803F4">
        <w:rPr>
          <w:sz w:val="20"/>
          <w:szCs w:val="18"/>
        </w:rPr>
        <w:t xml:space="preserve">Note – Sig. * </w:t>
      </w:r>
      <w:r w:rsidRPr="005803F4">
        <w:rPr>
          <w:i/>
          <w:iCs/>
          <w:sz w:val="20"/>
          <w:szCs w:val="18"/>
        </w:rPr>
        <w:t>p</w:t>
      </w:r>
      <w:r w:rsidRPr="005803F4">
        <w:rPr>
          <w:sz w:val="20"/>
          <w:szCs w:val="18"/>
        </w:rPr>
        <w:t xml:space="preserve"> &lt; .05, ** </w:t>
      </w:r>
      <w:r w:rsidRPr="005803F4">
        <w:rPr>
          <w:i/>
          <w:iCs/>
          <w:sz w:val="20"/>
          <w:szCs w:val="18"/>
        </w:rPr>
        <w:t>p</w:t>
      </w:r>
      <w:r w:rsidRPr="005803F4">
        <w:rPr>
          <w:sz w:val="20"/>
          <w:szCs w:val="18"/>
        </w:rPr>
        <w:t xml:space="preserve"> &lt; .01, *** </w:t>
      </w:r>
      <w:r w:rsidRPr="005803F4">
        <w:rPr>
          <w:i/>
          <w:iCs/>
          <w:sz w:val="20"/>
          <w:szCs w:val="18"/>
        </w:rPr>
        <w:t>p</w:t>
      </w:r>
      <w:r w:rsidRPr="005803F4">
        <w:rPr>
          <w:sz w:val="20"/>
          <w:szCs w:val="18"/>
        </w:rPr>
        <w:t xml:space="preserve"> &lt; .001. These estimates are marginal effects expressed as proportions from a set of logistic regression models that included each moderator, the experimental allocation variable and the interaction term. </w:t>
      </w:r>
      <w:r w:rsidRPr="005803F4">
        <w:rPr>
          <w:sz w:val="20"/>
          <w:szCs w:val="18"/>
          <w:vertAlign w:val="superscript"/>
        </w:rPr>
        <w:t>1</w:t>
      </w:r>
      <w:r w:rsidRPr="005803F4">
        <w:rPr>
          <w:sz w:val="20"/>
          <w:szCs w:val="18"/>
        </w:rPr>
        <w:t xml:space="preserve"> Previous wave CAPI-only sample members </w:t>
      </w:r>
      <w:r>
        <w:rPr>
          <w:sz w:val="20"/>
          <w:szCs w:val="18"/>
        </w:rPr>
        <w:t xml:space="preserve">were </w:t>
      </w:r>
      <w:r w:rsidRPr="005803F4">
        <w:rPr>
          <w:sz w:val="20"/>
          <w:szCs w:val="18"/>
        </w:rPr>
        <w:t xml:space="preserve">divided into those with a high response propensity on the web (HWP), who are comparable to the </w:t>
      </w:r>
      <w:r>
        <w:rPr>
          <w:sz w:val="20"/>
          <w:szCs w:val="18"/>
        </w:rPr>
        <w:t xml:space="preserve">(previously) </w:t>
      </w:r>
      <w:r w:rsidRPr="005803F4">
        <w:rPr>
          <w:sz w:val="20"/>
          <w:szCs w:val="18"/>
        </w:rPr>
        <w:t>web-first group, and those with a low web propensity (LWP), who are comparable to the (previously) CAPI-first group.</w:t>
      </w:r>
    </w:p>
    <w:p w14:paraId="059A5284" w14:textId="77777777" w:rsidR="00434819" w:rsidRDefault="00434819">
      <w:pPr>
        <w:spacing w:line="252" w:lineRule="auto"/>
        <w:rPr>
          <w:lang w:val="en-GB"/>
        </w:rPr>
      </w:pPr>
    </w:p>
    <w:p w14:paraId="276E854E" w14:textId="77777777" w:rsidR="00434819" w:rsidRDefault="00434819">
      <w:pPr>
        <w:spacing w:line="252" w:lineRule="auto"/>
        <w:rPr>
          <w:lang w:val="en-GB"/>
        </w:rPr>
        <w:sectPr w:rsidR="00434819" w:rsidSect="001512AC">
          <w:pgSz w:w="15840" w:h="12240" w:orient="landscape" w:code="1"/>
          <w:pgMar w:top="1440" w:right="1440" w:bottom="1440" w:left="1440" w:header="720" w:footer="720" w:gutter="0"/>
          <w:cols w:space="720"/>
          <w:docGrid w:linePitch="360"/>
        </w:sectPr>
      </w:pPr>
    </w:p>
    <w:p w14:paraId="2333C294" w14:textId="0B64A055" w:rsidR="00563A0E" w:rsidRDefault="00563A0E" w:rsidP="00563A0E">
      <w:pPr>
        <w:pStyle w:val="Heading1"/>
      </w:pPr>
      <w:bookmarkStart w:id="9" w:name="_Toc183429651"/>
      <w:r>
        <w:rPr>
          <w:lang w:val="en-GB"/>
        </w:rPr>
        <w:lastRenderedPageBreak/>
        <w:t xml:space="preserve">Online Appendix E. </w:t>
      </w:r>
      <w:r>
        <w:rPr>
          <w:rFonts w:eastAsiaTheme="minorEastAsia"/>
        </w:rPr>
        <w:t>Variables in the analysis</w:t>
      </w:r>
      <w:bookmarkEnd w:id="9"/>
    </w:p>
    <w:p w14:paraId="13BC7DC9" w14:textId="77777777" w:rsidR="00563A0E" w:rsidRDefault="00563A0E" w:rsidP="00563A0E">
      <w:pPr>
        <w:pStyle w:val="Caption"/>
        <w:keepNext/>
      </w:pPr>
      <w:r>
        <w:t>Table A</w:t>
      </w:r>
      <w:fldSimple w:instr=" SEQ Table_A \* ARABIC ">
        <w:r>
          <w:rPr>
            <w:noProof/>
          </w:rPr>
          <w:t>4</w:t>
        </w:r>
      </w:fldSimple>
      <w:r>
        <w:t xml:space="preserve">. </w:t>
      </w:r>
      <w:r w:rsidRPr="000E1577">
        <w:t>Description of the variables included in the analysis</w:t>
      </w:r>
    </w:p>
    <w:tbl>
      <w:tblPr>
        <w:tblStyle w:val="TableGrid"/>
        <w:tblW w:w="0" w:type="auto"/>
        <w:tblInd w:w="108" w:type="dxa"/>
        <w:tblLook w:val="04A0" w:firstRow="1" w:lastRow="0" w:firstColumn="1" w:lastColumn="0" w:noHBand="0" w:noVBand="1"/>
      </w:tblPr>
      <w:tblGrid>
        <w:gridCol w:w="1690"/>
        <w:gridCol w:w="4613"/>
        <w:gridCol w:w="2939"/>
      </w:tblGrid>
      <w:tr w:rsidR="00563A0E" w14:paraId="18087146" w14:textId="77777777" w:rsidTr="00C20534">
        <w:trPr>
          <w:trHeight w:val="215"/>
        </w:trPr>
        <w:tc>
          <w:tcPr>
            <w:tcW w:w="1691" w:type="dxa"/>
            <w:tcBorders>
              <w:top w:val="single" w:sz="4" w:space="0" w:color="auto"/>
              <w:bottom w:val="single" w:sz="4" w:space="0" w:color="auto"/>
            </w:tcBorders>
          </w:tcPr>
          <w:p w14:paraId="41324F94" w14:textId="77777777" w:rsidR="00563A0E" w:rsidRPr="004D7C23" w:rsidRDefault="00563A0E" w:rsidP="00C20534">
            <w:pPr>
              <w:spacing w:line="240" w:lineRule="auto"/>
              <w:jc w:val="center"/>
              <w:rPr>
                <w:rFonts w:cstheme="minorHAnsi"/>
                <w:b/>
                <w:bCs/>
                <w:sz w:val="20"/>
                <w:szCs w:val="20"/>
                <w:lang w:val="en-GB"/>
              </w:rPr>
            </w:pPr>
            <w:r>
              <w:rPr>
                <w:rFonts w:cstheme="minorHAnsi"/>
                <w:b/>
                <w:bCs/>
                <w:sz w:val="20"/>
                <w:szCs w:val="20"/>
                <w:lang w:val="en-GB"/>
              </w:rPr>
              <w:t>Variable</w:t>
            </w:r>
          </w:p>
        </w:tc>
        <w:tc>
          <w:tcPr>
            <w:tcW w:w="4619" w:type="dxa"/>
            <w:tcBorders>
              <w:top w:val="single" w:sz="4" w:space="0" w:color="auto"/>
              <w:bottom w:val="single" w:sz="4" w:space="0" w:color="auto"/>
            </w:tcBorders>
          </w:tcPr>
          <w:p w14:paraId="4223A626" w14:textId="77777777" w:rsidR="00563A0E" w:rsidRPr="004D7C23" w:rsidRDefault="00563A0E" w:rsidP="00C20534">
            <w:pPr>
              <w:spacing w:line="240" w:lineRule="auto"/>
              <w:jc w:val="center"/>
              <w:rPr>
                <w:rFonts w:cstheme="minorHAnsi"/>
                <w:b/>
                <w:bCs/>
                <w:sz w:val="20"/>
                <w:szCs w:val="20"/>
                <w:lang w:val="en-GB"/>
              </w:rPr>
            </w:pPr>
            <w:r w:rsidRPr="004D7C23">
              <w:rPr>
                <w:rFonts w:cstheme="minorHAnsi"/>
                <w:b/>
                <w:bCs/>
                <w:sz w:val="20"/>
                <w:szCs w:val="20"/>
                <w:lang w:val="en-GB"/>
              </w:rPr>
              <w:t>Description</w:t>
            </w:r>
          </w:p>
        </w:tc>
        <w:tc>
          <w:tcPr>
            <w:tcW w:w="2942" w:type="dxa"/>
            <w:tcBorders>
              <w:top w:val="single" w:sz="4" w:space="0" w:color="auto"/>
              <w:bottom w:val="single" w:sz="4" w:space="0" w:color="auto"/>
            </w:tcBorders>
          </w:tcPr>
          <w:p w14:paraId="6CA9E149" w14:textId="77777777" w:rsidR="00563A0E" w:rsidRDefault="00563A0E" w:rsidP="00C20534">
            <w:pPr>
              <w:spacing w:line="240" w:lineRule="auto"/>
              <w:jc w:val="center"/>
              <w:rPr>
                <w:rFonts w:cstheme="minorHAnsi"/>
                <w:b/>
                <w:bCs/>
                <w:sz w:val="20"/>
                <w:szCs w:val="20"/>
                <w:lang w:val="en-GB"/>
              </w:rPr>
            </w:pPr>
            <w:r w:rsidRPr="004D7C23">
              <w:rPr>
                <w:rFonts w:cstheme="minorHAnsi"/>
                <w:b/>
                <w:bCs/>
                <w:sz w:val="20"/>
                <w:szCs w:val="20"/>
                <w:lang w:val="en-GB"/>
              </w:rPr>
              <w:t>Distribution</w:t>
            </w:r>
          </w:p>
          <w:p w14:paraId="4C34936C" w14:textId="77777777" w:rsidR="00563A0E" w:rsidRPr="004D7C23" w:rsidRDefault="00563A0E" w:rsidP="00C20534">
            <w:pPr>
              <w:spacing w:line="240" w:lineRule="auto"/>
              <w:jc w:val="center"/>
              <w:rPr>
                <w:rFonts w:cstheme="minorHAnsi"/>
                <w:b/>
                <w:bCs/>
                <w:sz w:val="20"/>
                <w:szCs w:val="20"/>
                <w:lang w:val="en-GB"/>
              </w:rPr>
            </w:pPr>
            <w:r>
              <w:rPr>
                <w:rFonts w:cstheme="minorHAnsi"/>
                <w:b/>
                <w:bCs/>
                <w:sz w:val="20"/>
                <w:szCs w:val="20"/>
                <w:lang w:val="en-GB"/>
              </w:rPr>
              <w:t>(unweighted)</w:t>
            </w:r>
          </w:p>
        </w:tc>
      </w:tr>
      <w:tr w:rsidR="00563A0E" w14:paraId="50C6310B" w14:textId="77777777" w:rsidTr="00C20534">
        <w:trPr>
          <w:trHeight w:val="307"/>
        </w:trPr>
        <w:tc>
          <w:tcPr>
            <w:tcW w:w="9252" w:type="dxa"/>
            <w:gridSpan w:val="3"/>
            <w:tcBorders>
              <w:top w:val="single" w:sz="4" w:space="0" w:color="auto"/>
              <w:bottom w:val="single" w:sz="4" w:space="0" w:color="auto"/>
            </w:tcBorders>
          </w:tcPr>
          <w:p w14:paraId="16EE5882" w14:textId="77777777" w:rsidR="00563A0E" w:rsidRPr="004D7C23" w:rsidRDefault="00563A0E" w:rsidP="00C20534">
            <w:pPr>
              <w:spacing w:line="240" w:lineRule="auto"/>
              <w:jc w:val="center"/>
              <w:rPr>
                <w:rFonts w:cstheme="minorHAnsi"/>
                <w:b/>
                <w:bCs/>
                <w:sz w:val="20"/>
                <w:szCs w:val="20"/>
                <w:lang w:val="en-GB"/>
              </w:rPr>
            </w:pPr>
            <w:r>
              <w:rPr>
                <w:rFonts w:cstheme="minorHAnsi"/>
                <w:b/>
                <w:bCs/>
                <w:sz w:val="20"/>
                <w:szCs w:val="20"/>
                <w:lang w:val="en-GB"/>
              </w:rPr>
              <w:t>Individual-level analysis (RQ 1 and RQ 2)</w:t>
            </w:r>
          </w:p>
        </w:tc>
      </w:tr>
      <w:tr w:rsidR="00563A0E" w14:paraId="32B20ABC" w14:textId="77777777" w:rsidTr="00C20534">
        <w:tc>
          <w:tcPr>
            <w:tcW w:w="1691" w:type="dxa"/>
            <w:tcBorders>
              <w:top w:val="single" w:sz="4" w:space="0" w:color="auto"/>
            </w:tcBorders>
          </w:tcPr>
          <w:p w14:paraId="5E544737" w14:textId="77777777" w:rsidR="00563A0E" w:rsidRPr="004D7C23" w:rsidRDefault="00563A0E" w:rsidP="00C20534">
            <w:pPr>
              <w:spacing w:line="240" w:lineRule="auto"/>
              <w:rPr>
                <w:rFonts w:cstheme="minorHAnsi"/>
                <w:sz w:val="20"/>
                <w:szCs w:val="20"/>
                <w:lang w:val="en-GB"/>
              </w:rPr>
            </w:pPr>
            <w:r>
              <w:rPr>
                <w:rFonts w:cstheme="minorHAnsi"/>
                <w:sz w:val="20"/>
                <w:szCs w:val="20"/>
                <w:lang w:val="en-GB"/>
              </w:rPr>
              <w:t>Web-</w:t>
            </w:r>
            <w:proofErr w:type="gramStart"/>
            <w:r>
              <w:rPr>
                <w:rFonts w:cstheme="minorHAnsi"/>
                <w:sz w:val="20"/>
                <w:szCs w:val="20"/>
                <w:lang w:val="en-GB"/>
              </w:rPr>
              <w:t>only  response</w:t>
            </w:r>
            <w:proofErr w:type="gramEnd"/>
          </w:p>
        </w:tc>
        <w:tc>
          <w:tcPr>
            <w:tcW w:w="4619" w:type="dxa"/>
            <w:tcBorders>
              <w:top w:val="single" w:sz="4" w:space="0" w:color="auto"/>
            </w:tcBorders>
          </w:tcPr>
          <w:p w14:paraId="623CE91D" w14:textId="77777777" w:rsidR="00563A0E" w:rsidRPr="004D7C23" w:rsidRDefault="00563A0E" w:rsidP="00C20534">
            <w:pPr>
              <w:spacing w:line="240" w:lineRule="auto"/>
              <w:rPr>
                <w:rFonts w:cstheme="minorHAnsi"/>
                <w:sz w:val="20"/>
                <w:szCs w:val="20"/>
                <w:lang w:val="en-GB"/>
              </w:rPr>
            </w:pPr>
            <w:r w:rsidRPr="001A1576">
              <w:rPr>
                <w:rFonts w:cstheme="minorHAnsi"/>
                <w:sz w:val="20"/>
                <w:szCs w:val="20"/>
                <w:lang w:val="en-GB"/>
              </w:rPr>
              <w:t xml:space="preserve">The web response </w:t>
            </w:r>
            <w:r>
              <w:rPr>
                <w:rFonts w:cstheme="minorHAnsi"/>
                <w:sz w:val="20"/>
                <w:szCs w:val="20"/>
                <w:lang w:val="en-GB"/>
              </w:rPr>
              <w:t xml:space="preserve">variable </w:t>
            </w:r>
            <w:r w:rsidRPr="001A1576">
              <w:rPr>
                <w:rFonts w:cstheme="minorHAnsi"/>
                <w:sz w:val="20"/>
                <w:szCs w:val="20"/>
                <w:lang w:val="en-GB"/>
              </w:rPr>
              <w:t>was calculated based on the AAPOR RR6</w:t>
            </w:r>
            <w:r>
              <w:rPr>
                <w:rFonts w:cstheme="minorHAnsi"/>
                <w:sz w:val="20"/>
                <w:szCs w:val="20"/>
                <w:lang w:val="en-GB"/>
              </w:rPr>
              <w:t xml:space="preserve"> (AAPOR 2023). The variable takes 1 for those completing the individual questionnaire online (interviews and partials) during the first five weeks of web-only fieldwork and 0 for the proxy interviews, individual refusals, household refusals, non-contacted households, others and untraced. </w:t>
            </w:r>
          </w:p>
        </w:tc>
        <w:tc>
          <w:tcPr>
            <w:tcW w:w="2942" w:type="dxa"/>
            <w:tcBorders>
              <w:top w:val="single" w:sz="4" w:space="0" w:color="auto"/>
            </w:tcBorders>
          </w:tcPr>
          <w:p w14:paraId="55C7D919" w14:textId="77777777" w:rsidR="00563A0E" w:rsidRDefault="00563A0E" w:rsidP="00C20534">
            <w:pPr>
              <w:spacing w:line="240" w:lineRule="auto"/>
              <w:rPr>
                <w:rFonts w:cstheme="minorHAnsi"/>
                <w:sz w:val="20"/>
                <w:szCs w:val="20"/>
                <w:lang w:val="en-GB"/>
              </w:rPr>
            </w:pPr>
            <w:r w:rsidRPr="00480891">
              <w:rPr>
                <w:rFonts w:cstheme="minorHAnsi"/>
                <w:sz w:val="20"/>
                <w:szCs w:val="20"/>
                <w:lang w:val="en-GB"/>
              </w:rPr>
              <w:t>(0</w:t>
            </w:r>
            <w:r>
              <w:rPr>
                <w:rFonts w:cstheme="minorHAnsi"/>
                <w:sz w:val="20"/>
                <w:szCs w:val="20"/>
                <w:lang w:val="en-GB"/>
              </w:rPr>
              <w:t xml:space="preserve">) </w:t>
            </w:r>
            <w:proofErr w:type="gramStart"/>
            <w:r w:rsidRPr="00480891">
              <w:rPr>
                <w:rFonts w:cstheme="minorHAnsi"/>
                <w:sz w:val="20"/>
                <w:szCs w:val="20"/>
                <w:lang w:val="en-GB"/>
              </w:rPr>
              <w:t>Non-</w:t>
            </w:r>
            <w:proofErr w:type="spellStart"/>
            <w:r w:rsidRPr="00480891">
              <w:rPr>
                <w:rFonts w:cstheme="minorHAnsi"/>
                <w:sz w:val="20"/>
                <w:szCs w:val="20"/>
                <w:lang w:val="en-GB"/>
              </w:rPr>
              <w:t>repsonse</w:t>
            </w:r>
            <w:proofErr w:type="spellEnd"/>
            <w:proofErr w:type="gramEnd"/>
            <w:r>
              <w:rPr>
                <w:rFonts w:cstheme="minorHAnsi"/>
                <w:sz w:val="20"/>
                <w:szCs w:val="20"/>
                <w:lang w:val="en-GB"/>
              </w:rPr>
              <w:t xml:space="preserve"> (n = 2,772; 41.7%)</w:t>
            </w:r>
          </w:p>
          <w:p w14:paraId="6EE06C92" w14:textId="77777777" w:rsidR="00563A0E" w:rsidRPr="00480891" w:rsidRDefault="00563A0E" w:rsidP="00C20534">
            <w:pPr>
              <w:spacing w:line="240" w:lineRule="auto"/>
              <w:rPr>
                <w:rFonts w:cstheme="minorHAnsi"/>
                <w:sz w:val="20"/>
                <w:szCs w:val="20"/>
                <w:lang w:val="en-GB"/>
              </w:rPr>
            </w:pPr>
            <w:r>
              <w:rPr>
                <w:rFonts w:cstheme="minorHAnsi"/>
                <w:sz w:val="20"/>
                <w:szCs w:val="20"/>
                <w:lang w:val="en-GB"/>
              </w:rPr>
              <w:t>(1) Response (n = 3,875; 58.3%)</w:t>
            </w:r>
          </w:p>
        </w:tc>
      </w:tr>
      <w:tr w:rsidR="00563A0E" w14:paraId="39C0D54B" w14:textId="77777777" w:rsidTr="00C20534">
        <w:tc>
          <w:tcPr>
            <w:tcW w:w="1691" w:type="dxa"/>
          </w:tcPr>
          <w:p w14:paraId="7352A523" w14:textId="77777777" w:rsidR="00563A0E" w:rsidRPr="004D7C23" w:rsidRDefault="00563A0E" w:rsidP="00C20534">
            <w:pPr>
              <w:spacing w:line="240" w:lineRule="auto"/>
              <w:rPr>
                <w:rFonts w:cstheme="minorHAnsi"/>
                <w:color w:val="000000"/>
                <w:sz w:val="20"/>
                <w:szCs w:val="20"/>
              </w:rPr>
            </w:pPr>
            <w:r>
              <w:rPr>
                <w:rFonts w:cstheme="minorHAnsi"/>
                <w:color w:val="000000"/>
                <w:sz w:val="20"/>
                <w:szCs w:val="20"/>
              </w:rPr>
              <w:t>Final response (Web + CATI)</w:t>
            </w:r>
          </w:p>
        </w:tc>
        <w:tc>
          <w:tcPr>
            <w:tcW w:w="4619" w:type="dxa"/>
          </w:tcPr>
          <w:p w14:paraId="44961D8F" w14:textId="77777777" w:rsidR="00563A0E" w:rsidRDefault="00563A0E" w:rsidP="00C20534">
            <w:pPr>
              <w:spacing w:line="240" w:lineRule="auto"/>
              <w:rPr>
                <w:rFonts w:cstheme="minorHAnsi"/>
                <w:sz w:val="20"/>
                <w:szCs w:val="20"/>
                <w:lang w:val="en-GB"/>
              </w:rPr>
            </w:pPr>
            <w:r w:rsidRPr="001A1576">
              <w:rPr>
                <w:rFonts w:cstheme="minorHAnsi"/>
                <w:sz w:val="20"/>
                <w:szCs w:val="20"/>
                <w:lang w:val="en-GB"/>
              </w:rPr>
              <w:t xml:space="preserve">The web response </w:t>
            </w:r>
            <w:r>
              <w:rPr>
                <w:rFonts w:cstheme="minorHAnsi"/>
                <w:sz w:val="20"/>
                <w:szCs w:val="20"/>
                <w:lang w:val="en-GB"/>
              </w:rPr>
              <w:t xml:space="preserve">variable </w:t>
            </w:r>
            <w:r w:rsidRPr="001A1576">
              <w:rPr>
                <w:rFonts w:cstheme="minorHAnsi"/>
                <w:sz w:val="20"/>
                <w:szCs w:val="20"/>
                <w:lang w:val="en-GB"/>
              </w:rPr>
              <w:t>was calculated based on the AAPOR RR6</w:t>
            </w:r>
            <w:r>
              <w:rPr>
                <w:rFonts w:cstheme="minorHAnsi"/>
                <w:sz w:val="20"/>
                <w:szCs w:val="20"/>
                <w:lang w:val="en-GB"/>
              </w:rPr>
              <w:t xml:space="preserve"> (AAPOR 2023). The variable takes 1 for those completing the individual questionnaire (interviews and partials) and 0 for the proxy interviews, individual refusals, household refusals, non-contacted households, others and untraced.</w:t>
            </w:r>
          </w:p>
        </w:tc>
        <w:tc>
          <w:tcPr>
            <w:tcW w:w="2942" w:type="dxa"/>
          </w:tcPr>
          <w:p w14:paraId="4DF8DBE1" w14:textId="77777777" w:rsidR="00563A0E" w:rsidRDefault="00563A0E" w:rsidP="00C20534">
            <w:pPr>
              <w:spacing w:line="240" w:lineRule="auto"/>
              <w:rPr>
                <w:rFonts w:cstheme="minorHAnsi"/>
                <w:sz w:val="20"/>
                <w:szCs w:val="20"/>
                <w:lang w:val="en-GB"/>
              </w:rPr>
            </w:pPr>
            <w:r w:rsidRPr="00480891">
              <w:rPr>
                <w:rFonts w:cstheme="minorHAnsi"/>
                <w:sz w:val="20"/>
                <w:szCs w:val="20"/>
                <w:lang w:val="en-GB"/>
              </w:rPr>
              <w:t>(0</w:t>
            </w:r>
            <w:r>
              <w:rPr>
                <w:rFonts w:cstheme="minorHAnsi"/>
                <w:sz w:val="20"/>
                <w:szCs w:val="20"/>
                <w:lang w:val="en-GB"/>
              </w:rPr>
              <w:t xml:space="preserve">) </w:t>
            </w:r>
            <w:proofErr w:type="gramStart"/>
            <w:r w:rsidRPr="00480891">
              <w:rPr>
                <w:rFonts w:cstheme="minorHAnsi"/>
                <w:sz w:val="20"/>
                <w:szCs w:val="20"/>
                <w:lang w:val="en-GB"/>
              </w:rPr>
              <w:t>Non-</w:t>
            </w:r>
            <w:proofErr w:type="spellStart"/>
            <w:r w:rsidRPr="00480891">
              <w:rPr>
                <w:rFonts w:cstheme="minorHAnsi"/>
                <w:sz w:val="20"/>
                <w:szCs w:val="20"/>
                <w:lang w:val="en-GB"/>
              </w:rPr>
              <w:t>repsonse</w:t>
            </w:r>
            <w:proofErr w:type="spellEnd"/>
            <w:proofErr w:type="gramEnd"/>
            <w:r>
              <w:rPr>
                <w:rFonts w:cstheme="minorHAnsi"/>
                <w:sz w:val="20"/>
                <w:szCs w:val="20"/>
                <w:lang w:val="en-GB"/>
              </w:rPr>
              <w:t xml:space="preserve"> (n = 1,419; 21.4%)</w:t>
            </w:r>
          </w:p>
          <w:p w14:paraId="5F1813EA" w14:textId="77777777" w:rsidR="00563A0E" w:rsidRPr="0079345E" w:rsidRDefault="00563A0E" w:rsidP="00C20534">
            <w:pPr>
              <w:spacing w:line="240" w:lineRule="auto"/>
              <w:rPr>
                <w:rFonts w:cstheme="minorHAnsi"/>
                <w:sz w:val="20"/>
                <w:szCs w:val="20"/>
                <w:lang w:val="en-GB"/>
              </w:rPr>
            </w:pPr>
            <w:r>
              <w:rPr>
                <w:rFonts w:cstheme="minorHAnsi"/>
                <w:sz w:val="20"/>
                <w:szCs w:val="20"/>
                <w:lang w:val="en-GB"/>
              </w:rPr>
              <w:t>(1) Response (n = 5,228; 78.6%)</w:t>
            </w:r>
          </w:p>
        </w:tc>
      </w:tr>
      <w:tr w:rsidR="00563A0E" w14:paraId="099F5D8C" w14:textId="77777777" w:rsidTr="00C20534">
        <w:tc>
          <w:tcPr>
            <w:tcW w:w="1691" w:type="dxa"/>
          </w:tcPr>
          <w:p w14:paraId="35C37D8E" w14:textId="77777777" w:rsidR="00563A0E" w:rsidRPr="004D7C23" w:rsidRDefault="00563A0E" w:rsidP="00C20534">
            <w:pPr>
              <w:spacing w:line="240" w:lineRule="auto"/>
              <w:rPr>
                <w:rFonts w:cstheme="minorHAnsi"/>
                <w:color w:val="000000"/>
                <w:sz w:val="20"/>
                <w:szCs w:val="20"/>
              </w:rPr>
            </w:pPr>
            <w:r>
              <w:rPr>
                <w:rFonts w:cstheme="minorHAnsi"/>
                <w:color w:val="000000"/>
                <w:sz w:val="20"/>
                <w:szCs w:val="20"/>
              </w:rPr>
              <w:t>Gender</w:t>
            </w:r>
          </w:p>
        </w:tc>
        <w:tc>
          <w:tcPr>
            <w:tcW w:w="4619" w:type="dxa"/>
          </w:tcPr>
          <w:p w14:paraId="27B48C3A" w14:textId="77777777" w:rsidR="00563A0E" w:rsidRDefault="00563A0E" w:rsidP="00C20534">
            <w:pPr>
              <w:spacing w:line="240" w:lineRule="auto"/>
              <w:rPr>
                <w:rFonts w:cstheme="minorHAnsi"/>
                <w:sz w:val="20"/>
                <w:szCs w:val="20"/>
                <w:lang w:val="en-GB"/>
              </w:rPr>
            </w:pPr>
            <w:r>
              <w:rPr>
                <w:rFonts w:cstheme="minorHAnsi"/>
                <w:sz w:val="20"/>
                <w:szCs w:val="20"/>
                <w:lang w:val="en-GB"/>
              </w:rPr>
              <w:t>The gender variable was derived from the household grid questionnaire, which is asked at the beginning of the annual interview.</w:t>
            </w:r>
          </w:p>
        </w:tc>
        <w:tc>
          <w:tcPr>
            <w:tcW w:w="2942" w:type="dxa"/>
          </w:tcPr>
          <w:p w14:paraId="5474462A" w14:textId="77777777" w:rsidR="00563A0E" w:rsidRPr="0079345E" w:rsidRDefault="00563A0E" w:rsidP="00C20534">
            <w:pPr>
              <w:spacing w:line="240" w:lineRule="auto"/>
              <w:rPr>
                <w:rFonts w:cstheme="minorHAnsi"/>
                <w:sz w:val="20"/>
                <w:szCs w:val="20"/>
                <w:lang w:val="en-GB"/>
              </w:rPr>
            </w:pPr>
            <w:r w:rsidRPr="0079345E">
              <w:rPr>
                <w:rFonts w:cstheme="minorHAnsi"/>
                <w:sz w:val="20"/>
                <w:szCs w:val="20"/>
                <w:lang w:val="en-GB"/>
              </w:rPr>
              <w:t>(</w:t>
            </w:r>
            <w:r>
              <w:rPr>
                <w:rFonts w:cstheme="minorHAnsi"/>
                <w:sz w:val="20"/>
                <w:szCs w:val="20"/>
                <w:lang w:val="en-GB"/>
              </w:rPr>
              <w:t>0</w:t>
            </w:r>
            <w:r w:rsidRPr="0079345E">
              <w:rPr>
                <w:rFonts w:cstheme="minorHAnsi"/>
                <w:sz w:val="20"/>
                <w:szCs w:val="20"/>
                <w:lang w:val="en-GB"/>
              </w:rPr>
              <w:t xml:space="preserve">) Male (n = </w:t>
            </w:r>
            <w:r>
              <w:rPr>
                <w:rFonts w:cstheme="minorHAnsi"/>
                <w:sz w:val="20"/>
                <w:szCs w:val="20"/>
                <w:lang w:val="en-GB"/>
              </w:rPr>
              <w:t>3,086</w:t>
            </w:r>
            <w:r w:rsidRPr="0079345E">
              <w:rPr>
                <w:rFonts w:cstheme="minorHAnsi"/>
                <w:sz w:val="20"/>
                <w:szCs w:val="20"/>
                <w:lang w:val="en-GB"/>
              </w:rPr>
              <w:t>, 4</w:t>
            </w:r>
            <w:r>
              <w:rPr>
                <w:rFonts w:cstheme="minorHAnsi"/>
                <w:sz w:val="20"/>
                <w:szCs w:val="20"/>
                <w:lang w:val="en-GB"/>
              </w:rPr>
              <w:t>6</w:t>
            </w:r>
            <w:r w:rsidRPr="0079345E">
              <w:rPr>
                <w:rFonts w:cstheme="minorHAnsi"/>
                <w:sz w:val="20"/>
                <w:szCs w:val="20"/>
                <w:lang w:val="en-GB"/>
              </w:rPr>
              <w:t>.</w:t>
            </w:r>
            <w:r>
              <w:rPr>
                <w:rFonts w:cstheme="minorHAnsi"/>
                <w:sz w:val="20"/>
                <w:szCs w:val="20"/>
                <w:lang w:val="en-GB"/>
              </w:rPr>
              <w:t>4</w:t>
            </w:r>
            <w:r w:rsidRPr="0079345E">
              <w:rPr>
                <w:rFonts w:cstheme="minorHAnsi"/>
                <w:sz w:val="20"/>
                <w:szCs w:val="20"/>
                <w:lang w:val="en-GB"/>
              </w:rPr>
              <w:t>%)</w:t>
            </w:r>
          </w:p>
          <w:p w14:paraId="0BB4A2D6" w14:textId="77777777" w:rsidR="00563A0E" w:rsidRDefault="00563A0E" w:rsidP="00C20534">
            <w:pPr>
              <w:spacing w:line="240" w:lineRule="auto"/>
              <w:rPr>
                <w:rFonts w:cstheme="minorHAnsi"/>
                <w:sz w:val="20"/>
                <w:szCs w:val="20"/>
                <w:lang w:val="en-GB"/>
              </w:rPr>
            </w:pPr>
            <w:r w:rsidRPr="0079345E">
              <w:rPr>
                <w:rFonts w:cstheme="minorHAnsi"/>
                <w:sz w:val="20"/>
                <w:szCs w:val="20"/>
                <w:lang w:val="en-GB"/>
              </w:rPr>
              <w:t>(</w:t>
            </w:r>
            <w:r>
              <w:rPr>
                <w:rFonts w:cstheme="minorHAnsi"/>
                <w:sz w:val="20"/>
                <w:szCs w:val="20"/>
                <w:lang w:val="en-GB"/>
              </w:rPr>
              <w:t>1</w:t>
            </w:r>
            <w:r w:rsidRPr="0079345E">
              <w:rPr>
                <w:rFonts w:cstheme="minorHAnsi"/>
                <w:sz w:val="20"/>
                <w:szCs w:val="20"/>
                <w:lang w:val="en-GB"/>
              </w:rPr>
              <w:t xml:space="preserve">) Female (n = </w:t>
            </w:r>
            <w:r>
              <w:rPr>
                <w:rFonts w:cstheme="minorHAnsi"/>
                <w:sz w:val="20"/>
                <w:szCs w:val="20"/>
                <w:lang w:val="en-GB"/>
              </w:rPr>
              <w:t>3,559</w:t>
            </w:r>
            <w:r w:rsidRPr="0079345E">
              <w:rPr>
                <w:rFonts w:cstheme="minorHAnsi"/>
                <w:sz w:val="20"/>
                <w:szCs w:val="20"/>
                <w:lang w:val="en-GB"/>
              </w:rPr>
              <w:t>, 5</w:t>
            </w:r>
            <w:r>
              <w:rPr>
                <w:rFonts w:cstheme="minorHAnsi"/>
                <w:sz w:val="20"/>
                <w:szCs w:val="20"/>
                <w:lang w:val="en-GB"/>
              </w:rPr>
              <w:t>3</w:t>
            </w:r>
            <w:r w:rsidRPr="0079345E">
              <w:rPr>
                <w:rFonts w:cstheme="minorHAnsi"/>
                <w:sz w:val="20"/>
                <w:szCs w:val="20"/>
                <w:lang w:val="en-GB"/>
              </w:rPr>
              <w:t>.</w:t>
            </w:r>
            <w:r>
              <w:rPr>
                <w:rFonts w:cstheme="minorHAnsi"/>
                <w:sz w:val="20"/>
                <w:szCs w:val="20"/>
                <w:lang w:val="en-GB"/>
              </w:rPr>
              <w:t>5</w:t>
            </w:r>
            <w:r w:rsidRPr="0079345E">
              <w:rPr>
                <w:rFonts w:cstheme="minorHAnsi"/>
                <w:sz w:val="20"/>
                <w:szCs w:val="20"/>
                <w:lang w:val="en-GB"/>
              </w:rPr>
              <w:t xml:space="preserve">%) </w:t>
            </w:r>
          </w:p>
          <w:p w14:paraId="2BD79C99" w14:textId="77777777" w:rsidR="00563A0E" w:rsidRPr="0079345E" w:rsidRDefault="00563A0E" w:rsidP="00C20534">
            <w:pPr>
              <w:spacing w:line="240" w:lineRule="auto"/>
              <w:rPr>
                <w:rFonts w:cstheme="minorHAnsi"/>
                <w:sz w:val="20"/>
                <w:szCs w:val="20"/>
                <w:lang w:val="en-GB"/>
              </w:rPr>
            </w:pPr>
            <w:r>
              <w:rPr>
                <w:rFonts w:cstheme="minorHAnsi"/>
                <w:sz w:val="20"/>
                <w:szCs w:val="20"/>
                <w:lang w:val="en-GB"/>
              </w:rPr>
              <w:t>(99) Missing (n = 2, 0.0%)</w:t>
            </w:r>
          </w:p>
        </w:tc>
      </w:tr>
      <w:tr w:rsidR="00563A0E" w14:paraId="6F4B5E61" w14:textId="77777777" w:rsidTr="00C20534">
        <w:tc>
          <w:tcPr>
            <w:tcW w:w="1691" w:type="dxa"/>
          </w:tcPr>
          <w:p w14:paraId="41D46DAB" w14:textId="77777777" w:rsidR="00563A0E" w:rsidRPr="004D7C23" w:rsidRDefault="00563A0E" w:rsidP="00C20534">
            <w:pPr>
              <w:spacing w:line="240" w:lineRule="auto"/>
              <w:rPr>
                <w:rFonts w:cstheme="minorHAnsi"/>
                <w:sz w:val="20"/>
                <w:szCs w:val="20"/>
                <w:lang w:val="en-GB"/>
              </w:rPr>
            </w:pPr>
            <w:r w:rsidRPr="004D7C23">
              <w:rPr>
                <w:rFonts w:cstheme="minorHAnsi"/>
                <w:color w:val="000000"/>
                <w:sz w:val="20"/>
                <w:szCs w:val="20"/>
              </w:rPr>
              <w:t>Ag</w:t>
            </w:r>
            <w:r>
              <w:rPr>
                <w:rFonts w:cstheme="minorHAnsi"/>
                <w:color w:val="000000"/>
                <w:sz w:val="20"/>
                <w:szCs w:val="20"/>
              </w:rPr>
              <w:t>e</w:t>
            </w:r>
          </w:p>
        </w:tc>
        <w:tc>
          <w:tcPr>
            <w:tcW w:w="4619" w:type="dxa"/>
          </w:tcPr>
          <w:p w14:paraId="0D80209A" w14:textId="77777777" w:rsidR="00563A0E" w:rsidRPr="004D7C23" w:rsidRDefault="00563A0E" w:rsidP="00C20534">
            <w:pPr>
              <w:spacing w:line="240" w:lineRule="auto"/>
              <w:rPr>
                <w:rFonts w:cstheme="minorHAnsi"/>
                <w:sz w:val="20"/>
                <w:szCs w:val="20"/>
                <w:lang w:val="en-GB"/>
              </w:rPr>
            </w:pPr>
            <w:r>
              <w:rPr>
                <w:rFonts w:cstheme="minorHAnsi"/>
                <w:sz w:val="20"/>
                <w:szCs w:val="20"/>
                <w:lang w:val="en-GB"/>
              </w:rPr>
              <w:t>Age in four groups was derived from the age information collected in the household grid.</w:t>
            </w:r>
          </w:p>
        </w:tc>
        <w:tc>
          <w:tcPr>
            <w:tcW w:w="2942" w:type="dxa"/>
          </w:tcPr>
          <w:p w14:paraId="076F6181" w14:textId="77777777" w:rsidR="00563A0E" w:rsidRPr="0079345E" w:rsidRDefault="00563A0E" w:rsidP="00C20534">
            <w:pPr>
              <w:spacing w:line="240" w:lineRule="auto"/>
              <w:rPr>
                <w:rFonts w:cstheme="minorHAnsi"/>
                <w:sz w:val="20"/>
                <w:szCs w:val="20"/>
                <w:lang w:val="en-GB"/>
              </w:rPr>
            </w:pPr>
            <w:r w:rsidRPr="0079345E">
              <w:rPr>
                <w:rFonts w:cstheme="minorHAnsi"/>
                <w:sz w:val="20"/>
                <w:szCs w:val="20"/>
                <w:lang w:val="en-GB"/>
              </w:rPr>
              <w:t>(</w:t>
            </w:r>
            <w:r>
              <w:rPr>
                <w:rFonts w:cstheme="minorHAnsi"/>
                <w:sz w:val="20"/>
                <w:szCs w:val="20"/>
                <w:lang w:val="en-GB"/>
              </w:rPr>
              <w:t>0</w:t>
            </w:r>
            <w:r w:rsidRPr="0079345E">
              <w:rPr>
                <w:rFonts w:cstheme="minorHAnsi"/>
                <w:sz w:val="20"/>
                <w:szCs w:val="20"/>
                <w:lang w:val="en-GB"/>
              </w:rPr>
              <w:t>) 16-</w:t>
            </w:r>
            <w:r>
              <w:rPr>
                <w:rFonts w:cstheme="minorHAnsi"/>
                <w:sz w:val="20"/>
                <w:szCs w:val="20"/>
                <w:lang w:val="en-GB"/>
              </w:rPr>
              <w:t>29</w:t>
            </w:r>
            <w:r w:rsidRPr="0079345E">
              <w:rPr>
                <w:rFonts w:cstheme="minorHAnsi"/>
                <w:sz w:val="20"/>
                <w:szCs w:val="20"/>
                <w:lang w:val="en-GB"/>
              </w:rPr>
              <w:t xml:space="preserve"> (n = </w:t>
            </w:r>
            <w:r>
              <w:rPr>
                <w:rFonts w:cstheme="minorHAnsi"/>
                <w:sz w:val="20"/>
                <w:szCs w:val="20"/>
                <w:lang w:val="en-GB"/>
              </w:rPr>
              <w:t>1,316;</w:t>
            </w:r>
            <w:r w:rsidRPr="0079345E">
              <w:rPr>
                <w:rFonts w:cstheme="minorHAnsi"/>
                <w:sz w:val="20"/>
                <w:szCs w:val="20"/>
                <w:lang w:val="en-GB"/>
              </w:rPr>
              <w:t xml:space="preserve"> </w:t>
            </w:r>
            <w:r>
              <w:rPr>
                <w:rFonts w:cstheme="minorHAnsi"/>
                <w:sz w:val="20"/>
                <w:szCs w:val="20"/>
                <w:lang w:val="en-GB"/>
              </w:rPr>
              <w:t>19</w:t>
            </w:r>
            <w:r w:rsidRPr="0079345E">
              <w:rPr>
                <w:rFonts w:cstheme="minorHAnsi"/>
                <w:sz w:val="20"/>
                <w:szCs w:val="20"/>
                <w:lang w:val="en-GB"/>
              </w:rPr>
              <w:t>.</w:t>
            </w:r>
            <w:r>
              <w:rPr>
                <w:rFonts w:cstheme="minorHAnsi"/>
                <w:sz w:val="20"/>
                <w:szCs w:val="20"/>
                <w:lang w:val="en-GB"/>
              </w:rPr>
              <w:t>8</w:t>
            </w:r>
            <w:r w:rsidRPr="0079345E">
              <w:rPr>
                <w:rFonts w:cstheme="minorHAnsi"/>
                <w:sz w:val="20"/>
                <w:szCs w:val="20"/>
                <w:lang w:val="en-GB"/>
              </w:rPr>
              <w:t>%)</w:t>
            </w:r>
          </w:p>
          <w:p w14:paraId="56FC561F" w14:textId="77777777" w:rsidR="00563A0E" w:rsidRDefault="00563A0E" w:rsidP="00C20534">
            <w:pPr>
              <w:spacing w:line="240" w:lineRule="auto"/>
              <w:rPr>
                <w:rFonts w:cstheme="minorHAnsi"/>
                <w:sz w:val="20"/>
                <w:szCs w:val="20"/>
                <w:lang w:val="en-GB"/>
              </w:rPr>
            </w:pPr>
            <w:r w:rsidRPr="0079345E">
              <w:rPr>
                <w:rFonts w:cstheme="minorHAnsi"/>
                <w:sz w:val="20"/>
                <w:szCs w:val="20"/>
                <w:lang w:val="en-GB"/>
              </w:rPr>
              <w:t>(</w:t>
            </w:r>
            <w:r>
              <w:rPr>
                <w:rFonts w:cstheme="minorHAnsi"/>
                <w:sz w:val="20"/>
                <w:szCs w:val="20"/>
                <w:lang w:val="en-GB"/>
              </w:rPr>
              <w:t>1</w:t>
            </w:r>
            <w:r w:rsidRPr="0079345E">
              <w:rPr>
                <w:rFonts w:cstheme="minorHAnsi"/>
                <w:sz w:val="20"/>
                <w:szCs w:val="20"/>
                <w:lang w:val="en-GB"/>
              </w:rPr>
              <w:t>) 3</w:t>
            </w:r>
            <w:r>
              <w:rPr>
                <w:rFonts w:cstheme="minorHAnsi"/>
                <w:sz w:val="20"/>
                <w:szCs w:val="20"/>
                <w:lang w:val="en-GB"/>
              </w:rPr>
              <w:t>0</w:t>
            </w:r>
            <w:r w:rsidRPr="0079345E">
              <w:rPr>
                <w:rFonts w:cstheme="minorHAnsi"/>
                <w:sz w:val="20"/>
                <w:szCs w:val="20"/>
                <w:lang w:val="en-GB"/>
              </w:rPr>
              <w:t>-</w:t>
            </w:r>
            <w:r>
              <w:rPr>
                <w:rFonts w:cstheme="minorHAnsi"/>
                <w:sz w:val="20"/>
                <w:szCs w:val="20"/>
                <w:lang w:val="en-GB"/>
              </w:rPr>
              <w:t>44</w:t>
            </w:r>
            <w:r w:rsidRPr="0079345E">
              <w:rPr>
                <w:rFonts w:cstheme="minorHAnsi"/>
                <w:sz w:val="20"/>
                <w:szCs w:val="20"/>
                <w:lang w:val="en-GB"/>
              </w:rPr>
              <w:t xml:space="preserve"> (n = </w:t>
            </w:r>
            <w:r>
              <w:rPr>
                <w:rFonts w:cstheme="minorHAnsi"/>
                <w:sz w:val="20"/>
                <w:szCs w:val="20"/>
                <w:lang w:val="en-GB"/>
              </w:rPr>
              <w:t>1,240;</w:t>
            </w:r>
            <w:r w:rsidRPr="0079345E">
              <w:rPr>
                <w:rFonts w:cstheme="minorHAnsi"/>
                <w:sz w:val="20"/>
                <w:szCs w:val="20"/>
                <w:lang w:val="en-GB"/>
              </w:rPr>
              <w:t xml:space="preserve"> </w:t>
            </w:r>
            <w:r>
              <w:rPr>
                <w:rFonts w:cstheme="minorHAnsi"/>
                <w:sz w:val="20"/>
                <w:szCs w:val="20"/>
                <w:lang w:val="en-GB"/>
              </w:rPr>
              <w:t>18</w:t>
            </w:r>
            <w:r w:rsidRPr="0079345E">
              <w:rPr>
                <w:rFonts w:cstheme="minorHAnsi"/>
                <w:sz w:val="20"/>
                <w:szCs w:val="20"/>
                <w:lang w:val="en-GB"/>
              </w:rPr>
              <w:t>.</w:t>
            </w:r>
            <w:r>
              <w:rPr>
                <w:rFonts w:cstheme="minorHAnsi"/>
                <w:sz w:val="20"/>
                <w:szCs w:val="20"/>
                <w:lang w:val="en-GB"/>
              </w:rPr>
              <w:t>7</w:t>
            </w:r>
            <w:r w:rsidRPr="0079345E">
              <w:rPr>
                <w:rFonts w:cstheme="minorHAnsi"/>
                <w:sz w:val="20"/>
                <w:szCs w:val="20"/>
                <w:lang w:val="en-GB"/>
              </w:rPr>
              <w:t>%)</w:t>
            </w:r>
          </w:p>
          <w:p w14:paraId="2980CF4F" w14:textId="77777777" w:rsidR="00563A0E" w:rsidRPr="0079345E" w:rsidRDefault="00563A0E" w:rsidP="00C20534">
            <w:pPr>
              <w:spacing w:line="240" w:lineRule="auto"/>
              <w:rPr>
                <w:rFonts w:cstheme="minorHAnsi"/>
                <w:sz w:val="20"/>
                <w:szCs w:val="20"/>
                <w:lang w:val="en-GB"/>
              </w:rPr>
            </w:pPr>
            <w:r>
              <w:rPr>
                <w:rFonts w:cstheme="minorHAnsi"/>
                <w:sz w:val="20"/>
                <w:szCs w:val="20"/>
                <w:lang w:val="en-GB"/>
              </w:rPr>
              <w:t>(2) 45-64 (n = 2,264; 34.1%)</w:t>
            </w:r>
          </w:p>
          <w:p w14:paraId="4D9DE0B1" w14:textId="77777777" w:rsidR="00563A0E" w:rsidRDefault="00563A0E" w:rsidP="00C20534">
            <w:pPr>
              <w:spacing w:line="240" w:lineRule="auto"/>
              <w:rPr>
                <w:rFonts w:cstheme="minorHAnsi"/>
                <w:sz w:val="20"/>
                <w:szCs w:val="20"/>
                <w:lang w:val="en-GB"/>
              </w:rPr>
            </w:pPr>
            <w:r w:rsidRPr="0079345E">
              <w:rPr>
                <w:rFonts w:cstheme="minorHAnsi"/>
                <w:sz w:val="20"/>
                <w:szCs w:val="20"/>
                <w:lang w:val="en-GB"/>
              </w:rPr>
              <w:t>(</w:t>
            </w:r>
            <w:r>
              <w:rPr>
                <w:rFonts w:cstheme="minorHAnsi"/>
                <w:sz w:val="20"/>
                <w:szCs w:val="20"/>
                <w:lang w:val="en-GB"/>
              </w:rPr>
              <w:t>3</w:t>
            </w:r>
            <w:r w:rsidRPr="0079345E">
              <w:rPr>
                <w:rFonts w:cstheme="minorHAnsi"/>
                <w:sz w:val="20"/>
                <w:szCs w:val="20"/>
                <w:lang w:val="en-GB"/>
              </w:rPr>
              <w:t>) 6</w:t>
            </w:r>
            <w:r>
              <w:rPr>
                <w:rFonts w:cstheme="minorHAnsi"/>
                <w:sz w:val="20"/>
                <w:szCs w:val="20"/>
                <w:lang w:val="en-GB"/>
              </w:rPr>
              <w:t>5</w:t>
            </w:r>
            <w:r w:rsidRPr="0079345E">
              <w:rPr>
                <w:rFonts w:cstheme="minorHAnsi"/>
                <w:sz w:val="20"/>
                <w:szCs w:val="20"/>
                <w:lang w:val="en-GB"/>
              </w:rPr>
              <w:t xml:space="preserve">+ (n = </w:t>
            </w:r>
            <w:r>
              <w:rPr>
                <w:rFonts w:cstheme="minorHAnsi"/>
                <w:sz w:val="20"/>
                <w:szCs w:val="20"/>
                <w:lang w:val="en-GB"/>
              </w:rPr>
              <w:t>1,824;</w:t>
            </w:r>
            <w:r w:rsidRPr="0079345E">
              <w:rPr>
                <w:rFonts w:cstheme="minorHAnsi"/>
                <w:sz w:val="20"/>
                <w:szCs w:val="20"/>
                <w:lang w:val="en-GB"/>
              </w:rPr>
              <w:t xml:space="preserve"> 2</w:t>
            </w:r>
            <w:r>
              <w:rPr>
                <w:rFonts w:cstheme="minorHAnsi"/>
                <w:sz w:val="20"/>
                <w:szCs w:val="20"/>
                <w:lang w:val="en-GB"/>
              </w:rPr>
              <w:t>7</w:t>
            </w:r>
            <w:r w:rsidRPr="0079345E">
              <w:rPr>
                <w:rFonts w:cstheme="minorHAnsi"/>
                <w:sz w:val="20"/>
                <w:szCs w:val="20"/>
                <w:lang w:val="en-GB"/>
              </w:rPr>
              <w:t>.</w:t>
            </w:r>
            <w:r>
              <w:rPr>
                <w:rFonts w:cstheme="minorHAnsi"/>
                <w:sz w:val="20"/>
                <w:szCs w:val="20"/>
                <w:lang w:val="en-GB"/>
              </w:rPr>
              <w:t>4</w:t>
            </w:r>
            <w:r w:rsidRPr="0079345E">
              <w:rPr>
                <w:rFonts w:cstheme="minorHAnsi"/>
                <w:sz w:val="20"/>
                <w:szCs w:val="20"/>
                <w:lang w:val="en-GB"/>
              </w:rPr>
              <w:t>%)</w:t>
            </w:r>
          </w:p>
          <w:p w14:paraId="3CC1BBB8" w14:textId="77777777" w:rsidR="00563A0E" w:rsidRPr="004D7C23" w:rsidRDefault="00563A0E" w:rsidP="00C20534">
            <w:pPr>
              <w:spacing w:line="240" w:lineRule="auto"/>
              <w:rPr>
                <w:rFonts w:cstheme="minorHAnsi"/>
                <w:sz w:val="20"/>
                <w:szCs w:val="20"/>
                <w:lang w:val="en-GB"/>
              </w:rPr>
            </w:pPr>
            <w:r>
              <w:rPr>
                <w:rFonts w:cstheme="minorHAnsi"/>
                <w:sz w:val="20"/>
                <w:szCs w:val="20"/>
                <w:lang w:val="en-GB"/>
              </w:rPr>
              <w:t>(99) Missing (n = 3; 0.1%)</w:t>
            </w:r>
          </w:p>
        </w:tc>
      </w:tr>
      <w:tr w:rsidR="00563A0E" w14:paraId="36C4E0A2" w14:textId="77777777" w:rsidTr="00C20534">
        <w:tc>
          <w:tcPr>
            <w:tcW w:w="1691" w:type="dxa"/>
          </w:tcPr>
          <w:p w14:paraId="39709597" w14:textId="77777777" w:rsidR="00563A0E" w:rsidRPr="004D7C23" w:rsidRDefault="00563A0E" w:rsidP="00C20534">
            <w:pPr>
              <w:spacing w:line="240" w:lineRule="auto"/>
              <w:rPr>
                <w:rFonts w:cstheme="minorHAnsi"/>
                <w:sz w:val="20"/>
                <w:szCs w:val="20"/>
                <w:lang w:val="en-GB"/>
              </w:rPr>
            </w:pPr>
            <w:r>
              <w:rPr>
                <w:rFonts w:cstheme="minorHAnsi"/>
                <w:color w:val="000000"/>
                <w:sz w:val="20"/>
                <w:szCs w:val="20"/>
              </w:rPr>
              <w:t>Education</w:t>
            </w:r>
          </w:p>
        </w:tc>
        <w:tc>
          <w:tcPr>
            <w:tcW w:w="4619" w:type="dxa"/>
          </w:tcPr>
          <w:p w14:paraId="2F27A07E" w14:textId="77777777" w:rsidR="00563A0E" w:rsidRPr="004D7C23" w:rsidRDefault="00563A0E" w:rsidP="00C20534">
            <w:pPr>
              <w:spacing w:line="240" w:lineRule="auto"/>
              <w:rPr>
                <w:rFonts w:cstheme="minorHAnsi"/>
                <w:sz w:val="20"/>
                <w:szCs w:val="20"/>
                <w:lang w:val="en-GB"/>
              </w:rPr>
            </w:pPr>
            <w:r>
              <w:rPr>
                <w:rFonts w:cstheme="minorHAnsi"/>
                <w:sz w:val="20"/>
                <w:szCs w:val="20"/>
                <w:lang w:val="en-GB"/>
              </w:rPr>
              <w:t>The education variable was derived from the highest qualification reported by respondents. The most recent valid response was imputed for those not responding at wave 12.</w:t>
            </w:r>
          </w:p>
        </w:tc>
        <w:tc>
          <w:tcPr>
            <w:tcW w:w="2942" w:type="dxa"/>
          </w:tcPr>
          <w:p w14:paraId="1E44C510" w14:textId="77777777" w:rsidR="00563A0E" w:rsidRPr="0079345E" w:rsidRDefault="00563A0E" w:rsidP="00C20534">
            <w:pPr>
              <w:spacing w:line="240" w:lineRule="auto"/>
              <w:rPr>
                <w:rFonts w:cstheme="minorHAnsi"/>
                <w:sz w:val="20"/>
                <w:szCs w:val="20"/>
                <w:lang w:val="en-GB"/>
              </w:rPr>
            </w:pPr>
            <w:r w:rsidRPr="0079345E">
              <w:rPr>
                <w:rFonts w:cstheme="minorHAnsi"/>
                <w:sz w:val="20"/>
                <w:szCs w:val="20"/>
                <w:lang w:val="en-GB"/>
              </w:rPr>
              <w:t>(0) N</w:t>
            </w:r>
            <w:r>
              <w:rPr>
                <w:rFonts w:cstheme="minorHAnsi"/>
                <w:sz w:val="20"/>
                <w:szCs w:val="20"/>
                <w:lang w:val="en-GB"/>
              </w:rPr>
              <w:t>o degree</w:t>
            </w:r>
            <w:r w:rsidRPr="0079345E">
              <w:rPr>
                <w:rFonts w:cstheme="minorHAnsi"/>
                <w:sz w:val="20"/>
                <w:szCs w:val="20"/>
                <w:lang w:val="en-GB"/>
              </w:rPr>
              <w:t xml:space="preserve"> (n = </w:t>
            </w:r>
            <w:r>
              <w:rPr>
                <w:rFonts w:cstheme="minorHAnsi"/>
                <w:sz w:val="20"/>
                <w:szCs w:val="20"/>
                <w:lang w:val="en-GB"/>
              </w:rPr>
              <w:t>4,627;</w:t>
            </w:r>
            <w:r w:rsidRPr="0079345E">
              <w:rPr>
                <w:rFonts w:cstheme="minorHAnsi"/>
                <w:sz w:val="20"/>
                <w:szCs w:val="20"/>
                <w:lang w:val="en-GB"/>
              </w:rPr>
              <w:t xml:space="preserve"> 6</w:t>
            </w:r>
            <w:r>
              <w:rPr>
                <w:rFonts w:cstheme="minorHAnsi"/>
                <w:sz w:val="20"/>
                <w:szCs w:val="20"/>
                <w:lang w:val="en-GB"/>
              </w:rPr>
              <w:t>9</w:t>
            </w:r>
            <w:r w:rsidRPr="0079345E">
              <w:rPr>
                <w:rFonts w:cstheme="minorHAnsi"/>
                <w:sz w:val="20"/>
                <w:szCs w:val="20"/>
                <w:lang w:val="en-GB"/>
              </w:rPr>
              <w:t>.</w:t>
            </w:r>
            <w:r>
              <w:rPr>
                <w:rFonts w:cstheme="minorHAnsi"/>
                <w:sz w:val="20"/>
                <w:szCs w:val="20"/>
                <w:lang w:val="en-GB"/>
              </w:rPr>
              <w:t>6</w:t>
            </w:r>
            <w:r w:rsidRPr="0079345E">
              <w:rPr>
                <w:rFonts w:cstheme="minorHAnsi"/>
                <w:sz w:val="20"/>
                <w:szCs w:val="20"/>
                <w:lang w:val="en-GB"/>
              </w:rPr>
              <w:t>%)</w:t>
            </w:r>
          </w:p>
          <w:p w14:paraId="4F48AEA2" w14:textId="77777777" w:rsidR="00563A0E" w:rsidRPr="0079345E" w:rsidRDefault="00563A0E" w:rsidP="00C20534">
            <w:pPr>
              <w:spacing w:line="240" w:lineRule="auto"/>
              <w:rPr>
                <w:rFonts w:cstheme="minorHAnsi"/>
                <w:sz w:val="20"/>
                <w:szCs w:val="20"/>
                <w:lang w:val="en-GB"/>
              </w:rPr>
            </w:pPr>
            <w:r w:rsidRPr="0079345E">
              <w:rPr>
                <w:rFonts w:cstheme="minorHAnsi"/>
                <w:sz w:val="20"/>
                <w:szCs w:val="20"/>
                <w:lang w:val="en-GB"/>
              </w:rPr>
              <w:t xml:space="preserve">(1) </w:t>
            </w:r>
            <w:r>
              <w:rPr>
                <w:rFonts w:cstheme="minorHAnsi"/>
                <w:sz w:val="20"/>
                <w:szCs w:val="20"/>
                <w:lang w:val="en-GB"/>
              </w:rPr>
              <w:t>Degree</w:t>
            </w:r>
            <w:r w:rsidRPr="0079345E">
              <w:rPr>
                <w:rFonts w:cstheme="minorHAnsi"/>
                <w:sz w:val="20"/>
                <w:szCs w:val="20"/>
                <w:lang w:val="en-GB"/>
              </w:rPr>
              <w:t xml:space="preserve"> (n = </w:t>
            </w:r>
            <w:r>
              <w:rPr>
                <w:rFonts w:cstheme="minorHAnsi"/>
                <w:sz w:val="20"/>
                <w:szCs w:val="20"/>
                <w:lang w:val="en-GB"/>
              </w:rPr>
              <w:t>1,745;</w:t>
            </w:r>
            <w:r w:rsidRPr="0079345E">
              <w:rPr>
                <w:rFonts w:cstheme="minorHAnsi"/>
                <w:sz w:val="20"/>
                <w:szCs w:val="20"/>
                <w:lang w:val="en-GB"/>
              </w:rPr>
              <w:t xml:space="preserve"> </w:t>
            </w:r>
            <w:r>
              <w:rPr>
                <w:rFonts w:cstheme="minorHAnsi"/>
                <w:sz w:val="20"/>
                <w:szCs w:val="20"/>
                <w:lang w:val="en-GB"/>
              </w:rPr>
              <w:t>26</w:t>
            </w:r>
            <w:r w:rsidRPr="0079345E">
              <w:rPr>
                <w:rFonts w:cstheme="minorHAnsi"/>
                <w:sz w:val="20"/>
                <w:szCs w:val="20"/>
                <w:lang w:val="en-GB"/>
              </w:rPr>
              <w:t>.</w:t>
            </w:r>
            <w:r>
              <w:rPr>
                <w:rFonts w:cstheme="minorHAnsi"/>
                <w:sz w:val="20"/>
                <w:szCs w:val="20"/>
                <w:lang w:val="en-GB"/>
              </w:rPr>
              <w:t>3</w:t>
            </w:r>
            <w:r w:rsidRPr="0079345E">
              <w:rPr>
                <w:rFonts w:cstheme="minorHAnsi"/>
                <w:sz w:val="20"/>
                <w:szCs w:val="20"/>
                <w:lang w:val="en-GB"/>
              </w:rPr>
              <w:t>%)</w:t>
            </w:r>
          </w:p>
          <w:p w14:paraId="3260630E" w14:textId="77777777" w:rsidR="00563A0E" w:rsidRPr="004D7C23" w:rsidRDefault="00563A0E" w:rsidP="00C20534">
            <w:pPr>
              <w:spacing w:line="240" w:lineRule="auto"/>
              <w:rPr>
                <w:rFonts w:cstheme="minorHAnsi"/>
                <w:sz w:val="20"/>
                <w:szCs w:val="20"/>
                <w:lang w:val="en-GB"/>
              </w:rPr>
            </w:pPr>
            <w:r w:rsidRPr="0079345E">
              <w:rPr>
                <w:rFonts w:cstheme="minorHAnsi"/>
                <w:sz w:val="20"/>
                <w:szCs w:val="20"/>
                <w:lang w:val="en-GB"/>
              </w:rPr>
              <w:t>(99) Missing (n = 2</w:t>
            </w:r>
            <w:r>
              <w:rPr>
                <w:rFonts w:cstheme="minorHAnsi"/>
                <w:sz w:val="20"/>
                <w:szCs w:val="20"/>
                <w:lang w:val="en-GB"/>
              </w:rPr>
              <w:t>75;</w:t>
            </w:r>
            <w:r w:rsidRPr="0079345E">
              <w:rPr>
                <w:rFonts w:cstheme="minorHAnsi"/>
                <w:sz w:val="20"/>
                <w:szCs w:val="20"/>
                <w:lang w:val="en-GB"/>
              </w:rPr>
              <w:t xml:space="preserve"> </w:t>
            </w:r>
            <w:r>
              <w:rPr>
                <w:rFonts w:cstheme="minorHAnsi"/>
                <w:sz w:val="20"/>
                <w:szCs w:val="20"/>
                <w:lang w:val="en-GB"/>
              </w:rPr>
              <w:t>4</w:t>
            </w:r>
            <w:r w:rsidRPr="0079345E">
              <w:rPr>
                <w:rFonts w:cstheme="minorHAnsi"/>
                <w:sz w:val="20"/>
                <w:szCs w:val="20"/>
                <w:lang w:val="en-GB"/>
              </w:rPr>
              <w:t>.1%)</w:t>
            </w:r>
          </w:p>
        </w:tc>
      </w:tr>
      <w:tr w:rsidR="00563A0E" w14:paraId="48002904" w14:textId="77777777" w:rsidTr="00C20534">
        <w:tc>
          <w:tcPr>
            <w:tcW w:w="1691" w:type="dxa"/>
          </w:tcPr>
          <w:p w14:paraId="39EA8ACE" w14:textId="77777777" w:rsidR="00563A0E" w:rsidRPr="004D7C23" w:rsidRDefault="00563A0E" w:rsidP="00C20534">
            <w:pPr>
              <w:spacing w:line="240" w:lineRule="auto"/>
              <w:rPr>
                <w:rFonts w:cstheme="minorHAnsi"/>
                <w:sz w:val="20"/>
                <w:szCs w:val="20"/>
                <w:lang w:val="en-GB"/>
              </w:rPr>
            </w:pPr>
            <w:r>
              <w:rPr>
                <w:rFonts w:cstheme="minorHAnsi"/>
                <w:color w:val="000000"/>
                <w:sz w:val="20"/>
                <w:szCs w:val="20"/>
              </w:rPr>
              <w:t>Ethnic background</w:t>
            </w:r>
          </w:p>
        </w:tc>
        <w:tc>
          <w:tcPr>
            <w:tcW w:w="4619" w:type="dxa"/>
          </w:tcPr>
          <w:p w14:paraId="75DBE683" w14:textId="77777777" w:rsidR="00563A0E" w:rsidRPr="004D7C23" w:rsidRDefault="00563A0E" w:rsidP="00C20534">
            <w:pPr>
              <w:spacing w:line="240" w:lineRule="auto"/>
              <w:rPr>
                <w:rFonts w:cstheme="minorHAnsi"/>
                <w:sz w:val="20"/>
                <w:szCs w:val="20"/>
                <w:lang w:val="en-GB"/>
              </w:rPr>
            </w:pPr>
            <w:r w:rsidRPr="00FF294D">
              <w:rPr>
                <w:rFonts w:cstheme="minorHAnsi"/>
                <w:sz w:val="20"/>
                <w:szCs w:val="20"/>
                <w:lang w:val="en-GB"/>
              </w:rPr>
              <w:t xml:space="preserve">Ethnic </w:t>
            </w:r>
            <w:r>
              <w:rPr>
                <w:rFonts w:cstheme="minorHAnsi"/>
                <w:sz w:val="20"/>
                <w:szCs w:val="20"/>
                <w:lang w:val="en-GB"/>
              </w:rPr>
              <w:t>background</w:t>
            </w:r>
            <w:r w:rsidRPr="00FF294D">
              <w:rPr>
                <w:rFonts w:cstheme="minorHAnsi"/>
                <w:sz w:val="20"/>
                <w:szCs w:val="20"/>
                <w:lang w:val="en-GB"/>
              </w:rPr>
              <w:t xml:space="preserve"> derived from multiple sources (self-reported as an adult, self-reported as a youth, reported by a household member, ethnic group of biological parents), with priority given to self-reported information.</w:t>
            </w:r>
          </w:p>
        </w:tc>
        <w:tc>
          <w:tcPr>
            <w:tcW w:w="2942" w:type="dxa"/>
          </w:tcPr>
          <w:p w14:paraId="10271C17" w14:textId="77777777" w:rsidR="00563A0E" w:rsidRPr="0079345E" w:rsidRDefault="00563A0E" w:rsidP="00C20534">
            <w:pPr>
              <w:spacing w:line="240" w:lineRule="auto"/>
              <w:rPr>
                <w:rFonts w:cstheme="minorHAnsi"/>
                <w:sz w:val="20"/>
                <w:szCs w:val="20"/>
                <w:lang w:val="en-GB"/>
              </w:rPr>
            </w:pPr>
            <w:r w:rsidRPr="0079345E">
              <w:rPr>
                <w:rFonts w:cstheme="minorHAnsi"/>
                <w:sz w:val="20"/>
                <w:szCs w:val="20"/>
                <w:lang w:val="en-GB"/>
              </w:rPr>
              <w:t>(</w:t>
            </w:r>
            <w:r>
              <w:rPr>
                <w:rFonts w:cstheme="minorHAnsi"/>
                <w:sz w:val="20"/>
                <w:szCs w:val="20"/>
                <w:lang w:val="en-GB"/>
              </w:rPr>
              <w:t>0</w:t>
            </w:r>
            <w:r w:rsidRPr="0079345E">
              <w:rPr>
                <w:rFonts w:cstheme="minorHAnsi"/>
                <w:sz w:val="20"/>
                <w:szCs w:val="20"/>
                <w:lang w:val="en-GB"/>
              </w:rPr>
              <w:t xml:space="preserve">) </w:t>
            </w:r>
            <w:r>
              <w:rPr>
                <w:rFonts w:cstheme="minorHAnsi"/>
                <w:sz w:val="20"/>
                <w:szCs w:val="20"/>
                <w:lang w:val="en-GB"/>
              </w:rPr>
              <w:t>Ethnic minority</w:t>
            </w:r>
            <w:r w:rsidRPr="0079345E">
              <w:rPr>
                <w:rFonts w:cstheme="minorHAnsi"/>
                <w:sz w:val="20"/>
                <w:szCs w:val="20"/>
                <w:lang w:val="en-GB"/>
              </w:rPr>
              <w:t xml:space="preserve"> (n = </w:t>
            </w:r>
            <w:r>
              <w:rPr>
                <w:rFonts w:cstheme="minorHAnsi"/>
                <w:sz w:val="20"/>
                <w:szCs w:val="20"/>
                <w:lang w:val="en-GB"/>
              </w:rPr>
              <w:t>1,123;</w:t>
            </w:r>
            <w:r w:rsidRPr="0079345E">
              <w:rPr>
                <w:rFonts w:cstheme="minorHAnsi"/>
                <w:sz w:val="20"/>
                <w:szCs w:val="20"/>
                <w:lang w:val="en-GB"/>
              </w:rPr>
              <w:t xml:space="preserve"> </w:t>
            </w:r>
            <w:r>
              <w:rPr>
                <w:rFonts w:cstheme="minorHAnsi"/>
                <w:sz w:val="20"/>
                <w:szCs w:val="20"/>
                <w:lang w:val="en-GB"/>
              </w:rPr>
              <w:t>16.8</w:t>
            </w:r>
            <w:r w:rsidRPr="0079345E">
              <w:rPr>
                <w:rFonts w:cstheme="minorHAnsi"/>
                <w:sz w:val="20"/>
                <w:szCs w:val="20"/>
                <w:lang w:val="en-GB"/>
              </w:rPr>
              <w:t>%)</w:t>
            </w:r>
          </w:p>
          <w:p w14:paraId="476D526E" w14:textId="77777777" w:rsidR="00563A0E" w:rsidRPr="004D7C23" w:rsidRDefault="00563A0E" w:rsidP="00C20534">
            <w:pPr>
              <w:spacing w:line="240" w:lineRule="auto"/>
              <w:rPr>
                <w:rFonts w:cstheme="minorHAnsi"/>
                <w:sz w:val="20"/>
                <w:szCs w:val="20"/>
                <w:lang w:val="en-GB"/>
              </w:rPr>
            </w:pPr>
            <w:r w:rsidRPr="0079345E">
              <w:rPr>
                <w:rFonts w:cstheme="minorHAnsi"/>
                <w:sz w:val="20"/>
                <w:szCs w:val="20"/>
                <w:lang w:val="en-GB"/>
              </w:rPr>
              <w:t>(</w:t>
            </w:r>
            <w:r>
              <w:rPr>
                <w:rFonts w:cstheme="minorHAnsi"/>
                <w:sz w:val="20"/>
                <w:szCs w:val="20"/>
                <w:lang w:val="en-GB"/>
              </w:rPr>
              <w:t>1</w:t>
            </w:r>
            <w:r w:rsidRPr="0079345E">
              <w:rPr>
                <w:rFonts w:cstheme="minorHAnsi"/>
                <w:sz w:val="20"/>
                <w:szCs w:val="20"/>
                <w:lang w:val="en-GB"/>
              </w:rPr>
              <w:t xml:space="preserve">) </w:t>
            </w:r>
            <w:r>
              <w:rPr>
                <w:rFonts w:cstheme="minorHAnsi"/>
                <w:sz w:val="20"/>
                <w:szCs w:val="20"/>
                <w:lang w:val="en-GB"/>
              </w:rPr>
              <w:t>White British</w:t>
            </w:r>
            <w:r w:rsidRPr="0079345E">
              <w:rPr>
                <w:rFonts w:cstheme="minorHAnsi"/>
                <w:sz w:val="20"/>
                <w:szCs w:val="20"/>
                <w:lang w:val="en-GB"/>
              </w:rPr>
              <w:t xml:space="preserve"> (n = </w:t>
            </w:r>
            <w:r>
              <w:rPr>
                <w:rFonts w:cstheme="minorHAnsi"/>
                <w:sz w:val="20"/>
                <w:szCs w:val="20"/>
                <w:lang w:val="en-GB"/>
              </w:rPr>
              <w:t>5,524;</w:t>
            </w:r>
            <w:r w:rsidRPr="0079345E">
              <w:rPr>
                <w:rFonts w:cstheme="minorHAnsi"/>
                <w:sz w:val="20"/>
                <w:szCs w:val="20"/>
                <w:lang w:val="en-GB"/>
              </w:rPr>
              <w:t xml:space="preserve"> </w:t>
            </w:r>
            <w:r>
              <w:rPr>
                <w:rFonts w:cstheme="minorHAnsi"/>
                <w:sz w:val="20"/>
                <w:szCs w:val="20"/>
                <w:lang w:val="en-GB"/>
              </w:rPr>
              <w:t>83.2</w:t>
            </w:r>
            <w:r w:rsidRPr="0079345E">
              <w:rPr>
                <w:rFonts w:cstheme="minorHAnsi"/>
                <w:sz w:val="20"/>
                <w:szCs w:val="20"/>
                <w:lang w:val="en-GB"/>
              </w:rPr>
              <w:t>%)</w:t>
            </w:r>
          </w:p>
        </w:tc>
      </w:tr>
      <w:tr w:rsidR="00E310F5" w14:paraId="2070731A" w14:textId="77777777" w:rsidTr="00C20534">
        <w:tc>
          <w:tcPr>
            <w:tcW w:w="1691" w:type="dxa"/>
          </w:tcPr>
          <w:p w14:paraId="51A4F656" w14:textId="18F3151D" w:rsidR="00E310F5" w:rsidRDefault="00E310F5" w:rsidP="00C20534">
            <w:pPr>
              <w:spacing w:line="240" w:lineRule="auto"/>
              <w:rPr>
                <w:rFonts w:cstheme="minorHAnsi"/>
                <w:color w:val="000000"/>
                <w:sz w:val="20"/>
                <w:szCs w:val="20"/>
              </w:rPr>
            </w:pPr>
            <w:r>
              <w:rPr>
                <w:rFonts w:cstheme="minorHAnsi"/>
                <w:color w:val="000000"/>
                <w:sz w:val="20"/>
                <w:szCs w:val="20"/>
              </w:rPr>
              <w:t>Household size (adults)</w:t>
            </w:r>
          </w:p>
        </w:tc>
        <w:tc>
          <w:tcPr>
            <w:tcW w:w="4619" w:type="dxa"/>
          </w:tcPr>
          <w:p w14:paraId="408B1E01" w14:textId="5FFDBC69" w:rsidR="00E310F5" w:rsidRPr="00FF294D" w:rsidRDefault="00E310F5" w:rsidP="00C20534">
            <w:pPr>
              <w:spacing w:line="240" w:lineRule="auto"/>
              <w:rPr>
                <w:rFonts w:cstheme="minorHAnsi"/>
                <w:sz w:val="20"/>
                <w:szCs w:val="20"/>
                <w:lang w:val="en-GB"/>
              </w:rPr>
            </w:pPr>
            <w:r>
              <w:rPr>
                <w:rFonts w:cstheme="minorHAnsi"/>
                <w:sz w:val="20"/>
                <w:szCs w:val="20"/>
                <w:lang w:val="en-GB"/>
              </w:rPr>
              <w:t>Number of panel members aged 16 or over eligible for an individual interview in the household at wave 12. This excludes the adults who were new to the study at wave 12.</w:t>
            </w:r>
          </w:p>
        </w:tc>
        <w:tc>
          <w:tcPr>
            <w:tcW w:w="2942" w:type="dxa"/>
          </w:tcPr>
          <w:p w14:paraId="75D67D64" w14:textId="5C151D08" w:rsidR="00E310F5" w:rsidRPr="001512AC" w:rsidRDefault="00E310F5" w:rsidP="00E310F5">
            <w:pPr>
              <w:spacing w:line="240" w:lineRule="auto"/>
              <w:rPr>
                <w:rFonts w:cstheme="minorHAnsi"/>
                <w:sz w:val="20"/>
                <w:szCs w:val="20"/>
                <w:lang w:val="en-GB"/>
              </w:rPr>
            </w:pPr>
            <w:r w:rsidRPr="00E310F5">
              <w:rPr>
                <w:rFonts w:cstheme="minorHAnsi"/>
                <w:sz w:val="20"/>
                <w:szCs w:val="20"/>
                <w:lang w:val="en-GB"/>
              </w:rPr>
              <w:t>(0</w:t>
            </w:r>
            <w:r>
              <w:rPr>
                <w:rFonts w:cstheme="minorHAnsi"/>
                <w:sz w:val="20"/>
                <w:szCs w:val="20"/>
                <w:lang w:val="en-GB"/>
              </w:rPr>
              <w:t xml:space="preserve">) </w:t>
            </w:r>
            <w:r w:rsidRPr="001512AC">
              <w:rPr>
                <w:rFonts w:cstheme="minorHAnsi"/>
                <w:sz w:val="20"/>
                <w:szCs w:val="20"/>
                <w:lang w:val="en-GB"/>
              </w:rPr>
              <w:t>1 (n = 1,283; 19.3%)</w:t>
            </w:r>
          </w:p>
          <w:p w14:paraId="71BFFC18" w14:textId="77777777" w:rsidR="00E310F5" w:rsidRDefault="00E310F5" w:rsidP="001512AC">
            <w:pPr>
              <w:spacing w:line="276" w:lineRule="auto"/>
              <w:rPr>
                <w:rFonts w:cstheme="minorHAnsi"/>
                <w:sz w:val="20"/>
                <w:szCs w:val="20"/>
                <w:lang w:val="en-GB"/>
              </w:rPr>
            </w:pPr>
            <w:r w:rsidRPr="001512AC">
              <w:rPr>
                <w:rFonts w:cstheme="minorHAnsi"/>
                <w:sz w:val="20"/>
                <w:szCs w:val="20"/>
                <w:lang w:val="en-GB"/>
              </w:rPr>
              <w:t>(1) 2 (n = 3,196; 48.1%)</w:t>
            </w:r>
          </w:p>
          <w:p w14:paraId="01443983" w14:textId="1F28E3C4" w:rsidR="00E310F5" w:rsidRDefault="00E310F5" w:rsidP="00E310F5">
            <w:pPr>
              <w:spacing w:line="240" w:lineRule="auto"/>
              <w:rPr>
                <w:rFonts w:cstheme="minorHAnsi"/>
                <w:sz w:val="20"/>
                <w:szCs w:val="20"/>
                <w:lang w:val="en-GB"/>
              </w:rPr>
            </w:pPr>
            <w:r>
              <w:rPr>
                <w:rFonts w:cstheme="minorHAnsi"/>
                <w:sz w:val="20"/>
                <w:szCs w:val="20"/>
                <w:lang w:val="en-GB"/>
              </w:rPr>
              <w:t>(2) 3 (n = 1,087; 16.4%)</w:t>
            </w:r>
          </w:p>
          <w:p w14:paraId="340AE142" w14:textId="7CD9CF30" w:rsidR="00E310F5" w:rsidRPr="001512AC" w:rsidRDefault="00E310F5" w:rsidP="00E310F5">
            <w:pPr>
              <w:spacing w:line="240" w:lineRule="auto"/>
              <w:rPr>
                <w:rFonts w:cstheme="minorHAnsi"/>
                <w:sz w:val="20"/>
                <w:szCs w:val="20"/>
                <w:lang w:val="en-GB"/>
              </w:rPr>
            </w:pPr>
            <w:r>
              <w:rPr>
                <w:rFonts w:cstheme="minorHAnsi"/>
                <w:sz w:val="20"/>
                <w:szCs w:val="20"/>
                <w:lang w:val="en-GB"/>
              </w:rPr>
              <w:t>(3) 4 or more (n = 1,081; 16.3%)</w:t>
            </w:r>
          </w:p>
        </w:tc>
      </w:tr>
      <w:tr w:rsidR="00563A0E" w14:paraId="66DB257B" w14:textId="77777777" w:rsidTr="00C20534">
        <w:tc>
          <w:tcPr>
            <w:tcW w:w="1691" w:type="dxa"/>
          </w:tcPr>
          <w:p w14:paraId="49325D3D" w14:textId="77777777" w:rsidR="00563A0E" w:rsidRPr="004D7C23" w:rsidRDefault="00563A0E" w:rsidP="00C20534">
            <w:pPr>
              <w:spacing w:line="240" w:lineRule="auto"/>
              <w:rPr>
                <w:rFonts w:cstheme="minorHAnsi"/>
                <w:sz w:val="20"/>
                <w:szCs w:val="20"/>
                <w:lang w:val="en-GB"/>
              </w:rPr>
            </w:pPr>
            <w:r>
              <w:rPr>
                <w:rFonts w:cstheme="minorHAnsi"/>
                <w:color w:val="000000"/>
                <w:sz w:val="20"/>
                <w:szCs w:val="20"/>
              </w:rPr>
              <w:t>Individual income</w:t>
            </w:r>
          </w:p>
        </w:tc>
        <w:tc>
          <w:tcPr>
            <w:tcW w:w="4619" w:type="dxa"/>
          </w:tcPr>
          <w:p w14:paraId="2C2FBE62" w14:textId="77777777" w:rsidR="00563A0E" w:rsidRPr="004D7C23" w:rsidRDefault="00563A0E" w:rsidP="00C20534">
            <w:pPr>
              <w:spacing w:line="240" w:lineRule="auto"/>
              <w:rPr>
                <w:rFonts w:cstheme="minorHAnsi"/>
                <w:sz w:val="20"/>
                <w:szCs w:val="20"/>
                <w:lang w:val="en-GB"/>
              </w:rPr>
            </w:pPr>
            <w:r>
              <w:rPr>
                <w:rFonts w:cstheme="minorHAnsi"/>
                <w:sz w:val="20"/>
                <w:szCs w:val="20"/>
                <w:lang w:val="en-GB"/>
              </w:rPr>
              <w:t>Individual income in quartiles derived from the individual gross income variable (see</w:t>
            </w:r>
            <w:hyperlink r:id="rId16" w:history="1">
              <w:r w:rsidRPr="00480891">
                <w:rPr>
                  <w:rStyle w:val="Hyperlink"/>
                  <w:rFonts w:cstheme="minorHAnsi"/>
                  <w:sz w:val="20"/>
                  <w:szCs w:val="20"/>
                  <w:lang w:val="en-GB"/>
                </w:rPr>
                <w:t xml:space="preserve"> Main Survey User Guide</w:t>
              </w:r>
            </w:hyperlink>
            <w:r>
              <w:rPr>
                <w:rFonts w:cstheme="minorHAnsi"/>
                <w:sz w:val="20"/>
                <w:szCs w:val="20"/>
                <w:lang w:val="en-GB"/>
              </w:rPr>
              <w:t>).</w:t>
            </w:r>
          </w:p>
        </w:tc>
        <w:tc>
          <w:tcPr>
            <w:tcW w:w="2942" w:type="dxa"/>
          </w:tcPr>
          <w:p w14:paraId="3EA78B8B" w14:textId="77777777" w:rsidR="00563A0E" w:rsidRPr="0079345E" w:rsidRDefault="00563A0E" w:rsidP="00C20534">
            <w:pPr>
              <w:spacing w:line="240" w:lineRule="auto"/>
              <w:rPr>
                <w:rFonts w:cstheme="minorHAnsi"/>
                <w:sz w:val="20"/>
                <w:szCs w:val="20"/>
                <w:lang w:val="en-GB"/>
              </w:rPr>
            </w:pPr>
            <w:r w:rsidRPr="0079345E">
              <w:rPr>
                <w:rFonts w:cstheme="minorHAnsi"/>
                <w:sz w:val="20"/>
                <w:szCs w:val="20"/>
                <w:lang w:val="en-GB"/>
              </w:rPr>
              <w:t>(</w:t>
            </w:r>
            <w:r>
              <w:rPr>
                <w:rFonts w:cstheme="minorHAnsi"/>
                <w:sz w:val="20"/>
                <w:szCs w:val="20"/>
                <w:lang w:val="en-GB"/>
              </w:rPr>
              <w:t>0</w:t>
            </w:r>
            <w:r w:rsidRPr="0079345E">
              <w:rPr>
                <w:rFonts w:cstheme="minorHAnsi"/>
                <w:sz w:val="20"/>
                <w:szCs w:val="20"/>
                <w:lang w:val="en-GB"/>
              </w:rPr>
              <w:t xml:space="preserve">) </w:t>
            </w:r>
            <w:r>
              <w:rPr>
                <w:rFonts w:cstheme="minorHAnsi"/>
                <w:sz w:val="20"/>
                <w:szCs w:val="20"/>
                <w:lang w:val="en-GB"/>
              </w:rPr>
              <w:t>Q1 (Bottom)</w:t>
            </w:r>
            <w:r w:rsidRPr="0079345E">
              <w:rPr>
                <w:rFonts w:cstheme="minorHAnsi"/>
                <w:sz w:val="20"/>
                <w:szCs w:val="20"/>
                <w:lang w:val="en-GB"/>
              </w:rPr>
              <w:t xml:space="preserve"> (n = </w:t>
            </w:r>
            <w:r>
              <w:rPr>
                <w:rFonts w:cstheme="minorHAnsi"/>
                <w:sz w:val="20"/>
                <w:szCs w:val="20"/>
                <w:lang w:val="en-GB"/>
              </w:rPr>
              <w:t>1,608;</w:t>
            </w:r>
            <w:r w:rsidRPr="0079345E">
              <w:rPr>
                <w:rFonts w:cstheme="minorHAnsi"/>
                <w:sz w:val="20"/>
                <w:szCs w:val="20"/>
                <w:lang w:val="en-GB"/>
              </w:rPr>
              <w:t xml:space="preserve"> </w:t>
            </w:r>
            <w:r>
              <w:rPr>
                <w:rFonts w:cstheme="minorHAnsi"/>
                <w:sz w:val="20"/>
                <w:szCs w:val="20"/>
                <w:lang w:val="en-GB"/>
              </w:rPr>
              <w:t>24</w:t>
            </w:r>
            <w:r w:rsidRPr="0079345E">
              <w:rPr>
                <w:rFonts w:cstheme="minorHAnsi"/>
                <w:sz w:val="20"/>
                <w:szCs w:val="20"/>
                <w:lang w:val="en-GB"/>
              </w:rPr>
              <w:t>.</w:t>
            </w:r>
            <w:r>
              <w:rPr>
                <w:rFonts w:cstheme="minorHAnsi"/>
                <w:sz w:val="20"/>
                <w:szCs w:val="20"/>
                <w:lang w:val="en-GB"/>
              </w:rPr>
              <w:t>3</w:t>
            </w:r>
            <w:r w:rsidRPr="0079345E">
              <w:rPr>
                <w:rFonts w:cstheme="minorHAnsi"/>
                <w:sz w:val="20"/>
                <w:szCs w:val="20"/>
                <w:lang w:val="en-GB"/>
              </w:rPr>
              <w:t>%)</w:t>
            </w:r>
          </w:p>
          <w:p w14:paraId="3CA13A73" w14:textId="77777777" w:rsidR="00563A0E" w:rsidRDefault="00563A0E" w:rsidP="00C20534">
            <w:pPr>
              <w:spacing w:line="240" w:lineRule="auto"/>
              <w:rPr>
                <w:rFonts w:cstheme="minorHAnsi"/>
                <w:sz w:val="20"/>
                <w:szCs w:val="20"/>
                <w:lang w:val="en-GB"/>
              </w:rPr>
            </w:pPr>
            <w:r w:rsidRPr="0079345E">
              <w:rPr>
                <w:rFonts w:cstheme="minorHAnsi"/>
                <w:sz w:val="20"/>
                <w:szCs w:val="20"/>
                <w:lang w:val="en-GB"/>
              </w:rPr>
              <w:t>(</w:t>
            </w:r>
            <w:r>
              <w:rPr>
                <w:rFonts w:cstheme="minorHAnsi"/>
                <w:sz w:val="20"/>
                <w:szCs w:val="20"/>
                <w:lang w:val="en-GB"/>
              </w:rPr>
              <w:t>1</w:t>
            </w:r>
            <w:r w:rsidRPr="0079345E">
              <w:rPr>
                <w:rFonts w:cstheme="minorHAnsi"/>
                <w:sz w:val="20"/>
                <w:szCs w:val="20"/>
                <w:lang w:val="en-GB"/>
              </w:rPr>
              <w:t xml:space="preserve">) </w:t>
            </w:r>
            <w:r>
              <w:rPr>
                <w:rFonts w:cstheme="minorHAnsi"/>
                <w:sz w:val="20"/>
                <w:szCs w:val="20"/>
                <w:lang w:val="en-GB"/>
              </w:rPr>
              <w:t>Q2</w:t>
            </w:r>
            <w:r w:rsidRPr="0079345E">
              <w:rPr>
                <w:rFonts w:cstheme="minorHAnsi"/>
                <w:sz w:val="20"/>
                <w:szCs w:val="20"/>
                <w:lang w:val="en-GB"/>
              </w:rPr>
              <w:t xml:space="preserve"> (n = 1</w:t>
            </w:r>
            <w:r>
              <w:rPr>
                <w:rFonts w:cstheme="minorHAnsi"/>
                <w:sz w:val="20"/>
                <w:szCs w:val="20"/>
                <w:lang w:val="en-GB"/>
              </w:rPr>
              <w:t>,551;</w:t>
            </w:r>
            <w:r w:rsidRPr="0079345E">
              <w:rPr>
                <w:rFonts w:cstheme="minorHAnsi"/>
                <w:sz w:val="20"/>
                <w:szCs w:val="20"/>
                <w:lang w:val="en-GB"/>
              </w:rPr>
              <w:t xml:space="preserve"> </w:t>
            </w:r>
            <w:r>
              <w:rPr>
                <w:rFonts w:cstheme="minorHAnsi"/>
                <w:sz w:val="20"/>
                <w:szCs w:val="20"/>
                <w:lang w:val="en-GB"/>
              </w:rPr>
              <w:t>23.3</w:t>
            </w:r>
            <w:r w:rsidRPr="0079345E">
              <w:rPr>
                <w:rFonts w:cstheme="minorHAnsi"/>
                <w:sz w:val="20"/>
                <w:szCs w:val="20"/>
                <w:lang w:val="en-GB"/>
              </w:rPr>
              <w:t>%)</w:t>
            </w:r>
          </w:p>
          <w:p w14:paraId="104C1749" w14:textId="77777777" w:rsidR="00563A0E" w:rsidRDefault="00563A0E" w:rsidP="00C20534">
            <w:pPr>
              <w:spacing w:line="240" w:lineRule="auto"/>
              <w:rPr>
                <w:rFonts w:cstheme="minorHAnsi"/>
                <w:sz w:val="20"/>
                <w:szCs w:val="20"/>
                <w:lang w:val="en-GB"/>
              </w:rPr>
            </w:pPr>
            <w:r>
              <w:rPr>
                <w:rFonts w:cstheme="minorHAnsi"/>
                <w:sz w:val="20"/>
                <w:szCs w:val="20"/>
                <w:lang w:val="en-GB"/>
              </w:rPr>
              <w:t>(2) Q3 (n = 1,635; 24.6</w:t>
            </w:r>
            <w:proofErr w:type="gramStart"/>
            <w:r>
              <w:rPr>
                <w:rFonts w:cstheme="minorHAnsi"/>
                <w:sz w:val="20"/>
                <w:szCs w:val="20"/>
                <w:lang w:val="en-GB"/>
              </w:rPr>
              <w:t>% )</w:t>
            </w:r>
            <w:proofErr w:type="gramEnd"/>
          </w:p>
          <w:p w14:paraId="52260643" w14:textId="77777777" w:rsidR="00563A0E" w:rsidRDefault="00563A0E" w:rsidP="00C20534">
            <w:pPr>
              <w:spacing w:line="240" w:lineRule="auto"/>
              <w:rPr>
                <w:rFonts w:cstheme="minorHAnsi"/>
                <w:sz w:val="20"/>
                <w:szCs w:val="20"/>
                <w:lang w:val="en-GB"/>
              </w:rPr>
            </w:pPr>
            <w:r>
              <w:rPr>
                <w:rFonts w:cstheme="minorHAnsi"/>
                <w:sz w:val="20"/>
                <w:szCs w:val="20"/>
                <w:lang w:val="en-GB"/>
              </w:rPr>
              <w:t>(3) Q4 (Top) (n = 1,612; 24.3</w:t>
            </w:r>
            <w:proofErr w:type="gramStart"/>
            <w:r>
              <w:rPr>
                <w:rFonts w:cstheme="minorHAnsi"/>
                <w:sz w:val="20"/>
                <w:szCs w:val="20"/>
                <w:lang w:val="en-GB"/>
              </w:rPr>
              <w:t>% )</w:t>
            </w:r>
            <w:proofErr w:type="gramEnd"/>
          </w:p>
          <w:p w14:paraId="17CB21C4" w14:textId="77777777" w:rsidR="00563A0E" w:rsidRPr="004D7C23" w:rsidRDefault="00563A0E" w:rsidP="00C20534">
            <w:pPr>
              <w:spacing w:line="240" w:lineRule="auto"/>
              <w:rPr>
                <w:rFonts w:cstheme="minorHAnsi"/>
                <w:sz w:val="20"/>
                <w:szCs w:val="20"/>
                <w:lang w:val="en-GB"/>
              </w:rPr>
            </w:pPr>
            <w:r>
              <w:rPr>
                <w:rFonts w:cstheme="minorHAnsi"/>
                <w:sz w:val="20"/>
                <w:szCs w:val="20"/>
                <w:lang w:val="en-GB"/>
              </w:rPr>
              <w:t>(99) Missing (n = 241; 3.6%)</w:t>
            </w:r>
          </w:p>
        </w:tc>
      </w:tr>
      <w:tr w:rsidR="00563A0E" w14:paraId="1A573609" w14:textId="77777777" w:rsidTr="00C20534">
        <w:tc>
          <w:tcPr>
            <w:tcW w:w="1691" w:type="dxa"/>
          </w:tcPr>
          <w:p w14:paraId="0039D241" w14:textId="77777777" w:rsidR="00563A0E" w:rsidRPr="004D7C23" w:rsidRDefault="00563A0E" w:rsidP="00C20534">
            <w:pPr>
              <w:spacing w:line="240" w:lineRule="auto"/>
              <w:rPr>
                <w:rFonts w:cstheme="minorHAnsi"/>
                <w:sz w:val="20"/>
                <w:szCs w:val="20"/>
                <w:lang w:val="en-GB"/>
              </w:rPr>
            </w:pPr>
            <w:r w:rsidRPr="004D7C23">
              <w:rPr>
                <w:rFonts w:cstheme="minorHAnsi"/>
                <w:color w:val="000000"/>
                <w:sz w:val="20"/>
                <w:szCs w:val="20"/>
              </w:rPr>
              <w:t xml:space="preserve">Previous response </w:t>
            </w:r>
            <w:proofErr w:type="spellStart"/>
            <w:r w:rsidRPr="004D7C23">
              <w:rPr>
                <w:rFonts w:cstheme="minorHAnsi"/>
                <w:color w:val="000000"/>
                <w:sz w:val="20"/>
                <w:szCs w:val="20"/>
              </w:rPr>
              <w:t>behaviour</w:t>
            </w:r>
            <w:proofErr w:type="spellEnd"/>
          </w:p>
        </w:tc>
        <w:tc>
          <w:tcPr>
            <w:tcW w:w="4619" w:type="dxa"/>
          </w:tcPr>
          <w:p w14:paraId="4543B0AD" w14:textId="77777777" w:rsidR="00563A0E" w:rsidRPr="004D7C23" w:rsidRDefault="00563A0E" w:rsidP="00C20534">
            <w:pPr>
              <w:spacing w:line="240" w:lineRule="auto"/>
              <w:rPr>
                <w:rFonts w:cstheme="minorHAnsi"/>
                <w:sz w:val="20"/>
                <w:szCs w:val="20"/>
                <w:lang w:val="en-GB"/>
              </w:rPr>
            </w:pPr>
            <w:r>
              <w:rPr>
                <w:rFonts w:cstheme="minorHAnsi"/>
                <w:sz w:val="20"/>
                <w:szCs w:val="20"/>
                <w:lang w:val="en-GB"/>
              </w:rPr>
              <w:t xml:space="preserve">This variable was derived using the outcome code for the adult interviews in which the panel members had been invited to participate up to wave 11. First, we calculated the ratio of adult interviews the panel member completed to the waves they were issued to the field. Then, we identified regular respondents as those </w:t>
            </w:r>
            <w:r>
              <w:rPr>
                <w:rFonts w:cstheme="minorHAnsi"/>
                <w:sz w:val="20"/>
                <w:szCs w:val="20"/>
                <w:lang w:val="en-GB"/>
              </w:rPr>
              <w:lastRenderedPageBreak/>
              <w:t>who completed at least 2-in-3 interviews and irregular respondents who participated less than 66% of the time.</w:t>
            </w:r>
          </w:p>
        </w:tc>
        <w:tc>
          <w:tcPr>
            <w:tcW w:w="2942" w:type="dxa"/>
          </w:tcPr>
          <w:p w14:paraId="50DDA501" w14:textId="77777777" w:rsidR="00563A0E" w:rsidRPr="0079345E" w:rsidRDefault="00563A0E" w:rsidP="00C20534">
            <w:pPr>
              <w:spacing w:line="240" w:lineRule="auto"/>
              <w:rPr>
                <w:rFonts w:cstheme="minorHAnsi"/>
                <w:sz w:val="20"/>
                <w:szCs w:val="20"/>
                <w:lang w:val="en-GB"/>
              </w:rPr>
            </w:pPr>
            <w:r w:rsidRPr="0079345E">
              <w:rPr>
                <w:rFonts w:cstheme="minorHAnsi"/>
                <w:sz w:val="20"/>
                <w:szCs w:val="20"/>
                <w:lang w:val="en-GB"/>
              </w:rPr>
              <w:lastRenderedPageBreak/>
              <w:t>(</w:t>
            </w:r>
            <w:r>
              <w:rPr>
                <w:rFonts w:cstheme="minorHAnsi"/>
                <w:sz w:val="20"/>
                <w:szCs w:val="20"/>
                <w:lang w:val="en-GB"/>
              </w:rPr>
              <w:t>0</w:t>
            </w:r>
            <w:r w:rsidRPr="0079345E">
              <w:rPr>
                <w:rFonts w:cstheme="minorHAnsi"/>
                <w:sz w:val="20"/>
                <w:szCs w:val="20"/>
                <w:lang w:val="en-GB"/>
              </w:rPr>
              <w:t>) Irregular respondent (n = 1</w:t>
            </w:r>
            <w:r>
              <w:rPr>
                <w:rFonts w:cstheme="minorHAnsi"/>
                <w:sz w:val="20"/>
                <w:szCs w:val="20"/>
                <w:lang w:val="en-GB"/>
              </w:rPr>
              <w:t>,074</w:t>
            </w:r>
            <w:r w:rsidRPr="0079345E">
              <w:rPr>
                <w:rFonts w:cstheme="minorHAnsi"/>
                <w:sz w:val="20"/>
                <w:szCs w:val="20"/>
                <w:lang w:val="en-GB"/>
              </w:rPr>
              <w:t xml:space="preserve">, </w:t>
            </w:r>
            <w:r>
              <w:rPr>
                <w:rFonts w:cstheme="minorHAnsi"/>
                <w:sz w:val="20"/>
                <w:szCs w:val="20"/>
                <w:lang w:val="en-GB"/>
              </w:rPr>
              <w:t>16</w:t>
            </w:r>
            <w:r w:rsidRPr="0079345E">
              <w:rPr>
                <w:rFonts w:cstheme="minorHAnsi"/>
                <w:sz w:val="20"/>
                <w:szCs w:val="20"/>
                <w:lang w:val="en-GB"/>
              </w:rPr>
              <w:t>.</w:t>
            </w:r>
            <w:r>
              <w:rPr>
                <w:rFonts w:cstheme="minorHAnsi"/>
                <w:sz w:val="20"/>
                <w:szCs w:val="20"/>
                <w:lang w:val="en-GB"/>
              </w:rPr>
              <w:t>2</w:t>
            </w:r>
            <w:r w:rsidRPr="0079345E">
              <w:rPr>
                <w:rFonts w:cstheme="minorHAnsi"/>
                <w:sz w:val="20"/>
                <w:szCs w:val="20"/>
                <w:lang w:val="en-GB"/>
              </w:rPr>
              <w:t>%)</w:t>
            </w:r>
          </w:p>
          <w:p w14:paraId="620FFC84" w14:textId="77777777" w:rsidR="00563A0E" w:rsidRPr="004D7C23" w:rsidRDefault="00563A0E" w:rsidP="00C20534">
            <w:pPr>
              <w:spacing w:line="240" w:lineRule="auto"/>
              <w:rPr>
                <w:rFonts w:cstheme="minorHAnsi"/>
                <w:sz w:val="20"/>
                <w:szCs w:val="20"/>
                <w:lang w:val="en-GB"/>
              </w:rPr>
            </w:pPr>
            <w:r w:rsidRPr="0079345E">
              <w:rPr>
                <w:rFonts w:cstheme="minorHAnsi"/>
                <w:sz w:val="20"/>
                <w:szCs w:val="20"/>
                <w:lang w:val="en-GB"/>
              </w:rPr>
              <w:t>(</w:t>
            </w:r>
            <w:r>
              <w:rPr>
                <w:rFonts w:cstheme="minorHAnsi"/>
                <w:sz w:val="20"/>
                <w:szCs w:val="20"/>
                <w:lang w:val="en-GB"/>
              </w:rPr>
              <w:t>1</w:t>
            </w:r>
            <w:r w:rsidRPr="0079345E">
              <w:rPr>
                <w:rFonts w:cstheme="minorHAnsi"/>
                <w:sz w:val="20"/>
                <w:szCs w:val="20"/>
                <w:lang w:val="en-GB"/>
              </w:rPr>
              <w:t xml:space="preserve">) Regular respondent (n = </w:t>
            </w:r>
            <w:r>
              <w:rPr>
                <w:rFonts w:cstheme="minorHAnsi"/>
                <w:sz w:val="20"/>
                <w:szCs w:val="20"/>
                <w:lang w:val="en-GB"/>
              </w:rPr>
              <w:t>5,573</w:t>
            </w:r>
            <w:r w:rsidRPr="0079345E">
              <w:rPr>
                <w:rFonts w:cstheme="minorHAnsi"/>
                <w:sz w:val="20"/>
                <w:szCs w:val="20"/>
                <w:lang w:val="en-GB"/>
              </w:rPr>
              <w:t>, 8</w:t>
            </w:r>
            <w:r>
              <w:rPr>
                <w:rFonts w:cstheme="minorHAnsi"/>
                <w:sz w:val="20"/>
                <w:szCs w:val="20"/>
                <w:lang w:val="en-GB"/>
              </w:rPr>
              <w:t>3</w:t>
            </w:r>
            <w:r w:rsidRPr="0079345E">
              <w:rPr>
                <w:rFonts w:cstheme="minorHAnsi"/>
                <w:sz w:val="20"/>
                <w:szCs w:val="20"/>
                <w:lang w:val="en-GB"/>
              </w:rPr>
              <w:t>.</w:t>
            </w:r>
            <w:r>
              <w:rPr>
                <w:rFonts w:cstheme="minorHAnsi"/>
                <w:sz w:val="20"/>
                <w:szCs w:val="20"/>
                <w:lang w:val="en-GB"/>
              </w:rPr>
              <w:t>8</w:t>
            </w:r>
            <w:r w:rsidRPr="0079345E">
              <w:rPr>
                <w:rFonts w:cstheme="minorHAnsi"/>
                <w:sz w:val="20"/>
                <w:szCs w:val="20"/>
                <w:lang w:val="en-GB"/>
              </w:rPr>
              <w:t>%)</w:t>
            </w:r>
          </w:p>
        </w:tc>
      </w:tr>
      <w:tr w:rsidR="00563A0E" w14:paraId="1374E19A" w14:textId="77777777" w:rsidTr="00C20534">
        <w:tc>
          <w:tcPr>
            <w:tcW w:w="1691" w:type="dxa"/>
            <w:tcBorders>
              <w:bottom w:val="single" w:sz="4" w:space="0" w:color="auto"/>
            </w:tcBorders>
          </w:tcPr>
          <w:p w14:paraId="1EC0C832" w14:textId="77777777" w:rsidR="00563A0E" w:rsidRPr="004D7C23" w:rsidRDefault="00563A0E" w:rsidP="00C20534">
            <w:pPr>
              <w:spacing w:line="240" w:lineRule="auto"/>
              <w:rPr>
                <w:rFonts w:cstheme="minorHAnsi"/>
                <w:color w:val="000000"/>
                <w:sz w:val="20"/>
                <w:szCs w:val="20"/>
              </w:rPr>
            </w:pPr>
            <w:r>
              <w:rPr>
                <w:rFonts w:cstheme="minorHAnsi"/>
                <w:color w:val="000000"/>
                <w:sz w:val="20"/>
                <w:szCs w:val="20"/>
              </w:rPr>
              <w:t>Previous wave fieldwork protocol</w:t>
            </w:r>
          </w:p>
        </w:tc>
        <w:tc>
          <w:tcPr>
            <w:tcW w:w="4619" w:type="dxa"/>
            <w:tcBorders>
              <w:bottom w:val="single" w:sz="4" w:space="0" w:color="auto"/>
            </w:tcBorders>
          </w:tcPr>
          <w:p w14:paraId="64CCE03B" w14:textId="77777777" w:rsidR="00563A0E" w:rsidRDefault="00563A0E" w:rsidP="00C20534">
            <w:pPr>
              <w:spacing w:line="240" w:lineRule="auto"/>
              <w:rPr>
                <w:rFonts w:cstheme="minorHAnsi"/>
                <w:sz w:val="20"/>
                <w:szCs w:val="20"/>
                <w:lang w:val="en-GB"/>
              </w:rPr>
            </w:pPr>
            <w:r>
              <w:rPr>
                <w:rFonts w:cstheme="minorHAnsi"/>
                <w:sz w:val="20"/>
                <w:szCs w:val="20"/>
                <w:lang w:val="en-GB"/>
              </w:rPr>
              <w:t>Fieldwork protocol the household of the panel member was allocated in the previous wave</w:t>
            </w:r>
            <w:r>
              <w:rPr>
                <w:vertAlign w:val="superscript"/>
              </w:rPr>
              <w:t>1</w:t>
            </w:r>
            <w:r>
              <w:rPr>
                <w:rFonts w:cstheme="minorHAnsi"/>
                <w:sz w:val="20"/>
                <w:szCs w:val="20"/>
                <w:lang w:val="en-GB"/>
              </w:rPr>
              <w:t>. For the CAPI-only protocol we differentiate between the cases with higher and lower online response propensities.</w:t>
            </w:r>
          </w:p>
        </w:tc>
        <w:tc>
          <w:tcPr>
            <w:tcW w:w="2942" w:type="dxa"/>
            <w:tcBorders>
              <w:bottom w:val="single" w:sz="4" w:space="0" w:color="auto"/>
            </w:tcBorders>
          </w:tcPr>
          <w:p w14:paraId="22C32EDF" w14:textId="77777777" w:rsidR="00563A0E" w:rsidRDefault="00563A0E" w:rsidP="00C20534">
            <w:pPr>
              <w:spacing w:line="240" w:lineRule="auto"/>
              <w:rPr>
                <w:rFonts w:cstheme="minorHAnsi"/>
                <w:sz w:val="20"/>
                <w:szCs w:val="20"/>
                <w:lang w:val="en-GB"/>
              </w:rPr>
            </w:pPr>
            <w:r>
              <w:rPr>
                <w:rFonts w:cstheme="minorHAnsi"/>
                <w:sz w:val="20"/>
                <w:szCs w:val="20"/>
                <w:lang w:val="en-GB"/>
              </w:rPr>
              <w:t xml:space="preserve">(0) </w:t>
            </w:r>
            <w:r w:rsidRPr="001C091B">
              <w:rPr>
                <w:rFonts w:cstheme="minorHAnsi"/>
                <w:sz w:val="20"/>
                <w:szCs w:val="20"/>
                <w:lang w:val="en-GB"/>
              </w:rPr>
              <w:t>Web-first</w:t>
            </w:r>
            <w:r>
              <w:rPr>
                <w:rFonts w:cstheme="minorHAnsi"/>
                <w:sz w:val="20"/>
                <w:szCs w:val="20"/>
                <w:lang w:val="en-GB"/>
              </w:rPr>
              <w:t xml:space="preserve"> (n = 4,763; 71.7%)</w:t>
            </w:r>
          </w:p>
          <w:p w14:paraId="34E9E905" w14:textId="77777777" w:rsidR="00563A0E" w:rsidRDefault="00563A0E" w:rsidP="00C20534">
            <w:pPr>
              <w:spacing w:line="240" w:lineRule="auto"/>
              <w:rPr>
                <w:rFonts w:cstheme="minorHAnsi"/>
                <w:sz w:val="20"/>
                <w:szCs w:val="20"/>
                <w:lang w:val="en-GB"/>
              </w:rPr>
            </w:pPr>
            <w:r>
              <w:rPr>
                <w:rFonts w:cstheme="minorHAnsi"/>
                <w:sz w:val="20"/>
                <w:szCs w:val="20"/>
                <w:lang w:val="en-GB"/>
              </w:rPr>
              <w:t>(1) CAPI-only HWP (n = 989; 14.9%)</w:t>
            </w:r>
          </w:p>
          <w:p w14:paraId="0C9D2DA6" w14:textId="77777777" w:rsidR="00563A0E" w:rsidRDefault="00563A0E" w:rsidP="00C20534">
            <w:pPr>
              <w:spacing w:line="240" w:lineRule="auto"/>
              <w:rPr>
                <w:rFonts w:cstheme="minorHAnsi"/>
                <w:sz w:val="20"/>
                <w:szCs w:val="20"/>
                <w:lang w:val="en-GB"/>
              </w:rPr>
            </w:pPr>
            <w:r>
              <w:rPr>
                <w:rFonts w:cstheme="minorHAnsi"/>
                <w:sz w:val="20"/>
                <w:szCs w:val="20"/>
                <w:lang w:val="en-GB"/>
              </w:rPr>
              <w:t>(2) CAPI-first (n = 689; 10.4%)</w:t>
            </w:r>
          </w:p>
          <w:p w14:paraId="04ED0210" w14:textId="77777777" w:rsidR="00563A0E" w:rsidRPr="001C091B" w:rsidRDefault="00563A0E" w:rsidP="00C20534">
            <w:pPr>
              <w:spacing w:line="240" w:lineRule="auto"/>
              <w:rPr>
                <w:rFonts w:cstheme="minorHAnsi"/>
                <w:sz w:val="20"/>
                <w:szCs w:val="20"/>
                <w:lang w:val="en-GB"/>
              </w:rPr>
            </w:pPr>
            <w:r>
              <w:rPr>
                <w:rFonts w:cstheme="minorHAnsi"/>
                <w:sz w:val="20"/>
                <w:szCs w:val="20"/>
                <w:lang w:val="en-GB"/>
              </w:rPr>
              <w:t>(3) CAPI-only LWP (n = 206; 3.1%)</w:t>
            </w:r>
          </w:p>
        </w:tc>
      </w:tr>
      <w:tr w:rsidR="00563A0E" w14:paraId="394B1518" w14:textId="77777777" w:rsidTr="00C20534">
        <w:tc>
          <w:tcPr>
            <w:tcW w:w="9252" w:type="dxa"/>
            <w:gridSpan w:val="3"/>
            <w:tcBorders>
              <w:top w:val="single" w:sz="4" w:space="0" w:color="auto"/>
              <w:bottom w:val="single" w:sz="4" w:space="0" w:color="auto"/>
            </w:tcBorders>
          </w:tcPr>
          <w:p w14:paraId="05FF96DB" w14:textId="77777777" w:rsidR="00563A0E" w:rsidRPr="0079345E" w:rsidRDefault="00563A0E" w:rsidP="00C20534">
            <w:pPr>
              <w:spacing w:line="240" w:lineRule="auto"/>
              <w:jc w:val="center"/>
              <w:rPr>
                <w:rFonts w:cstheme="minorHAnsi"/>
                <w:sz w:val="20"/>
                <w:szCs w:val="20"/>
                <w:lang w:val="en-GB"/>
              </w:rPr>
            </w:pPr>
            <w:r>
              <w:rPr>
                <w:rFonts w:cstheme="minorHAnsi"/>
                <w:b/>
                <w:bCs/>
                <w:sz w:val="20"/>
                <w:szCs w:val="20"/>
                <w:lang w:val="en-GB"/>
              </w:rPr>
              <w:t>Household-level analysis (RQ 3)</w:t>
            </w:r>
          </w:p>
        </w:tc>
      </w:tr>
      <w:tr w:rsidR="00563A0E" w14:paraId="7F6E3CA8" w14:textId="77777777" w:rsidTr="00C20534">
        <w:tc>
          <w:tcPr>
            <w:tcW w:w="1691" w:type="dxa"/>
            <w:tcBorders>
              <w:top w:val="single" w:sz="4" w:space="0" w:color="auto"/>
            </w:tcBorders>
          </w:tcPr>
          <w:p w14:paraId="107502C7" w14:textId="5E32C1EB" w:rsidR="00563A0E" w:rsidRDefault="00563A0E" w:rsidP="00C20534">
            <w:pPr>
              <w:spacing w:line="240" w:lineRule="auto"/>
              <w:rPr>
                <w:rFonts w:cstheme="minorHAnsi"/>
                <w:color w:val="000000"/>
                <w:sz w:val="20"/>
                <w:szCs w:val="20"/>
              </w:rPr>
            </w:pPr>
            <w:r>
              <w:rPr>
                <w:rFonts w:cstheme="minorHAnsi"/>
                <w:color w:val="000000"/>
                <w:sz w:val="20"/>
                <w:szCs w:val="20"/>
              </w:rPr>
              <w:t>Full household response</w:t>
            </w:r>
            <w:r w:rsidR="007D3E4F">
              <w:rPr>
                <w:rFonts w:cstheme="minorHAnsi"/>
                <w:color w:val="000000"/>
                <w:sz w:val="20"/>
                <w:szCs w:val="20"/>
              </w:rPr>
              <w:t xml:space="preserve"> (web-only phase)</w:t>
            </w:r>
            <w:r>
              <w:rPr>
                <w:rFonts w:cstheme="minorHAnsi"/>
                <w:color w:val="000000"/>
                <w:sz w:val="20"/>
                <w:szCs w:val="20"/>
              </w:rPr>
              <w:t xml:space="preserve"> </w:t>
            </w:r>
          </w:p>
        </w:tc>
        <w:tc>
          <w:tcPr>
            <w:tcW w:w="4619" w:type="dxa"/>
            <w:tcBorders>
              <w:top w:val="single" w:sz="4" w:space="0" w:color="auto"/>
            </w:tcBorders>
          </w:tcPr>
          <w:p w14:paraId="73F84396" w14:textId="3EDB9B34" w:rsidR="00563A0E" w:rsidRDefault="00563A0E" w:rsidP="00C20534">
            <w:pPr>
              <w:spacing w:line="240" w:lineRule="auto"/>
              <w:rPr>
                <w:rFonts w:cstheme="minorHAnsi"/>
                <w:sz w:val="20"/>
                <w:szCs w:val="20"/>
                <w:lang w:val="en-GB"/>
              </w:rPr>
            </w:pPr>
            <w:r w:rsidRPr="001A1576">
              <w:rPr>
                <w:rFonts w:cstheme="minorHAnsi"/>
                <w:sz w:val="20"/>
                <w:szCs w:val="20"/>
                <w:lang w:val="en-GB"/>
              </w:rPr>
              <w:t>The full household web response rate (FHWRR) is based on the AAPOR RR5 (AAPOR 2023), where the partials are not considered as respondents</w:t>
            </w:r>
            <w:r>
              <w:rPr>
                <w:rFonts w:cstheme="minorHAnsi"/>
                <w:sz w:val="20"/>
                <w:szCs w:val="20"/>
                <w:lang w:val="en-GB"/>
              </w:rPr>
              <w:t xml:space="preserve">. </w:t>
            </w:r>
            <w:r w:rsidR="00C20534">
              <w:rPr>
                <w:rFonts w:cstheme="minorHAnsi"/>
                <w:sz w:val="20"/>
                <w:szCs w:val="20"/>
                <w:lang w:val="en-GB"/>
              </w:rPr>
              <w:t xml:space="preserve">We consider partial households where one or more </w:t>
            </w:r>
            <w:r w:rsidR="007D3E4F">
              <w:rPr>
                <w:rFonts w:cstheme="minorHAnsi"/>
                <w:sz w:val="20"/>
                <w:szCs w:val="20"/>
                <w:lang w:val="en-GB"/>
              </w:rPr>
              <w:t>adults</w:t>
            </w:r>
            <w:r w:rsidR="00C20534">
              <w:rPr>
                <w:rFonts w:cstheme="minorHAnsi"/>
                <w:sz w:val="20"/>
                <w:szCs w:val="20"/>
                <w:lang w:val="en-GB"/>
              </w:rPr>
              <w:t xml:space="preserve"> did not complete the</w:t>
            </w:r>
            <w:r w:rsidR="007D3E4F">
              <w:rPr>
                <w:rFonts w:cstheme="minorHAnsi"/>
                <w:sz w:val="20"/>
                <w:szCs w:val="20"/>
                <w:lang w:val="en-GB"/>
              </w:rPr>
              <w:t xml:space="preserve"> individual</w:t>
            </w:r>
            <w:r w:rsidR="00C20534">
              <w:rPr>
                <w:rFonts w:cstheme="minorHAnsi"/>
                <w:sz w:val="20"/>
                <w:szCs w:val="20"/>
                <w:lang w:val="en-GB"/>
              </w:rPr>
              <w:t xml:space="preserve"> interview. </w:t>
            </w:r>
            <w:r>
              <w:rPr>
                <w:rFonts w:cstheme="minorHAnsi"/>
                <w:sz w:val="20"/>
                <w:szCs w:val="20"/>
                <w:lang w:val="en-GB"/>
              </w:rPr>
              <w:t xml:space="preserve">This variable takes 1 for the households </w:t>
            </w:r>
            <w:r w:rsidR="007D3E4F">
              <w:rPr>
                <w:rFonts w:cstheme="minorHAnsi"/>
                <w:sz w:val="20"/>
                <w:szCs w:val="20"/>
                <w:lang w:val="en-GB"/>
              </w:rPr>
              <w:t>where</w:t>
            </w:r>
            <w:r>
              <w:rPr>
                <w:rFonts w:cstheme="minorHAnsi"/>
                <w:sz w:val="20"/>
                <w:szCs w:val="20"/>
                <w:lang w:val="en-GB"/>
              </w:rPr>
              <w:t xml:space="preserve"> all adults completed the individual interviews</w:t>
            </w:r>
            <w:r w:rsidR="007D3E4F">
              <w:rPr>
                <w:rFonts w:cstheme="minorHAnsi"/>
                <w:sz w:val="20"/>
                <w:szCs w:val="20"/>
                <w:lang w:val="en-GB"/>
              </w:rPr>
              <w:t xml:space="preserve"> during the web-only phase of the fieldwork</w:t>
            </w:r>
            <w:r>
              <w:rPr>
                <w:rFonts w:cstheme="minorHAnsi"/>
                <w:sz w:val="20"/>
                <w:szCs w:val="20"/>
                <w:lang w:val="en-GB"/>
              </w:rPr>
              <w:t xml:space="preserve"> and 0 for the partials, refusals, non-contacted, others and untraced.</w:t>
            </w:r>
          </w:p>
        </w:tc>
        <w:tc>
          <w:tcPr>
            <w:tcW w:w="2942" w:type="dxa"/>
            <w:tcBorders>
              <w:top w:val="single" w:sz="4" w:space="0" w:color="auto"/>
            </w:tcBorders>
          </w:tcPr>
          <w:p w14:paraId="1645D3A5" w14:textId="77777777" w:rsidR="00563A0E" w:rsidRDefault="00563A0E" w:rsidP="00C20534">
            <w:pPr>
              <w:spacing w:line="240" w:lineRule="auto"/>
              <w:rPr>
                <w:rFonts w:cstheme="minorHAnsi"/>
                <w:sz w:val="20"/>
                <w:szCs w:val="20"/>
                <w:lang w:val="en-GB"/>
              </w:rPr>
            </w:pPr>
            <w:r w:rsidRPr="00480891">
              <w:rPr>
                <w:rFonts w:cstheme="minorHAnsi"/>
                <w:sz w:val="20"/>
                <w:szCs w:val="20"/>
                <w:lang w:val="en-GB"/>
              </w:rPr>
              <w:t>(0</w:t>
            </w:r>
            <w:r>
              <w:rPr>
                <w:rFonts w:cstheme="minorHAnsi"/>
                <w:sz w:val="20"/>
                <w:szCs w:val="20"/>
                <w:lang w:val="en-GB"/>
              </w:rPr>
              <w:t xml:space="preserve">) </w:t>
            </w:r>
            <w:proofErr w:type="gramStart"/>
            <w:r w:rsidRPr="00480891">
              <w:rPr>
                <w:rFonts w:cstheme="minorHAnsi"/>
                <w:sz w:val="20"/>
                <w:szCs w:val="20"/>
                <w:lang w:val="en-GB"/>
              </w:rPr>
              <w:t>Non-</w:t>
            </w:r>
            <w:proofErr w:type="spellStart"/>
            <w:r w:rsidRPr="00480891">
              <w:rPr>
                <w:rFonts w:cstheme="minorHAnsi"/>
                <w:sz w:val="20"/>
                <w:szCs w:val="20"/>
                <w:lang w:val="en-GB"/>
              </w:rPr>
              <w:t>repsonse</w:t>
            </w:r>
            <w:proofErr w:type="spellEnd"/>
            <w:proofErr w:type="gramEnd"/>
            <w:r>
              <w:rPr>
                <w:rFonts w:cstheme="minorHAnsi"/>
                <w:sz w:val="20"/>
                <w:szCs w:val="20"/>
                <w:lang w:val="en-GB"/>
              </w:rPr>
              <w:t xml:space="preserve"> (n = 1,937; 55.5%)</w:t>
            </w:r>
          </w:p>
          <w:p w14:paraId="0FD5280D" w14:textId="77777777" w:rsidR="00563A0E" w:rsidRPr="0079345E" w:rsidRDefault="00563A0E" w:rsidP="00C20534">
            <w:pPr>
              <w:spacing w:line="240" w:lineRule="auto"/>
              <w:rPr>
                <w:rFonts w:cstheme="minorHAnsi"/>
                <w:sz w:val="20"/>
                <w:szCs w:val="20"/>
                <w:lang w:val="en-GB"/>
              </w:rPr>
            </w:pPr>
            <w:r>
              <w:rPr>
                <w:rFonts w:cstheme="minorHAnsi"/>
                <w:sz w:val="20"/>
                <w:szCs w:val="20"/>
                <w:lang w:val="en-GB"/>
              </w:rPr>
              <w:t>(1) Response (n = 1,554; 44.5%)</w:t>
            </w:r>
          </w:p>
        </w:tc>
      </w:tr>
      <w:tr w:rsidR="00563A0E" w14:paraId="71F355A7" w14:textId="77777777" w:rsidTr="00C20534">
        <w:tc>
          <w:tcPr>
            <w:tcW w:w="1691" w:type="dxa"/>
            <w:tcBorders>
              <w:bottom w:val="single" w:sz="4" w:space="0" w:color="auto"/>
            </w:tcBorders>
          </w:tcPr>
          <w:p w14:paraId="4319F33D" w14:textId="77777777" w:rsidR="00563A0E" w:rsidRDefault="00563A0E" w:rsidP="00C20534">
            <w:pPr>
              <w:spacing w:line="240" w:lineRule="auto"/>
              <w:rPr>
                <w:rFonts w:cstheme="minorHAnsi"/>
                <w:color w:val="000000"/>
                <w:sz w:val="20"/>
                <w:szCs w:val="20"/>
              </w:rPr>
            </w:pPr>
            <w:r>
              <w:rPr>
                <w:rFonts w:cstheme="minorHAnsi"/>
                <w:color w:val="000000"/>
                <w:sz w:val="20"/>
                <w:szCs w:val="20"/>
              </w:rPr>
              <w:t>Previous wave fieldwork protocol</w:t>
            </w:r>
          </w:p>
        </w:tc>
        <w:tc>
          <w:tcPr>
            <w:tcW w:w="4619" w:type="dxa"/>
            <w:tcBorders>
              <w:bottom w:val="single" w:sz="4" w:space="0" w:color="auto"/>
            </w:tcBorders>
          </w:tcPr>
          <w:p w14:paraId="55954EE4" w14:textId="77777777" w:rsidR="00563A0E" w:rsidRDefault="00563A0E" w:rsidP="00C20534">
            <w:pPr>
              <w:spacing w:line="240" w:lineRule="auto"/>
              <w:rPr>
                <w:rFonts w:cstheme="minorHAnsi"/>
                <w:sz w:val="20"/>
                <w:szCs w:val="20"/>
                <w:lang w:val="en-GB"/>
              </w:rPr>
            </w:pPr>
            <w:r>
              <w:rPr>
                <w:rFonts w:cstheme="minorHAnsi"/>
                <w:sz w:val="20"/>
                <w:szCs w:val="20"/>
                <w:lang w:val="en-GB"/>
              </w:rPr>
              <w:t>Fieldwork protocol the household was allocated in the previous wave</w:t>
            </w:r>
            <w:r>
              <w:rPr>
                <w:rFonts w:cstheme="minorHAnsi"/>
                <w:sz w:val="20"/>
                <w:szCs w:val="20"/>
                <w:vertAlign w:val="superscript"/>
                <w:lang w:val="en-GB"/>
              </w:rPr>
              <w:t>1</w:t>
            </w:r>
            <w:r>
              <w:rPr>
                <w:rFonts w:cstheme="minorHAnsi"/>
                <w:sz w:val="20"/>
                <w:szCs w:val="20"/>
                <w:lang w:val="en-GB"/>
              </w:rPr>
              <w:t>. For the CAPI-only protocol we differentiate between the cases with higher and lower online response propensities.</w:t>
            </w:r>
          </w:p>
        </w:tc>
        <w:tc>
          <w:tcPr>
            <w:tcW w:w="2942" w:type="dxa"/>
            <w:tcBorders>
              <w:bottom w:val="single" w:sz="4" w:space="0" w:color="auto"/>
            </w:tcBorders>
          </w:tcPr>
          <w:p w14:paraId="5C005199" w14:textId="05A044C0" w:rsidR="00563A0E" w:rsidRDefault="00563A0E" w:rsidP="00C20534">
            <w:pPr>
              <w:spacing w:line="240" w:lineRule="auto"/>
              <w:rPr>
                <w:rFonts w:cstheme="minorHAnsi"/>
                <w:sz w:val="20"/>
                <w:szCs w:val="20"/>
                <w:lang w:val="en-GB"/>
              </w:rPr>
            </w:pPr>
            <w:r>
              <w:rPr>
                <w:rFonts w:cstheme="minorHAnsi"/>
                <w:sz w:val="20"/>
                <w:szCs w:val="20"/>
                <w:lang w:val="en-GB"/>
              </w:rPr>
              <w:t xml:space="preserve">(0) </w:t>
            </w:r>
            <w:r w:rsidRPr="001C091B">
              <w:rPr>
                <w:rFonts w:cstheme="minorHAnsi"/>
                <w:sz w:val="20"/>
                <w:szCs w:val="20"/>
                <w:lang w:val="en-GB"/>
              </w:rPr>
              <w:t>Web-first</w:t>
            </w:r>
            <w:r w:rsidR="007D3E4F">
              <w:rPr>
                <w:rFonts w:cstheme="minorHAnsi"/>
                <w:sz w:val="20"/>
                <w:szCs w:val="20"/>
                <w:lang w:val="en-GB"/>
              </w:rPr>
              <w:t xml:space="preserve"> (HWP)</w:t>
            </w:r>
            <w:r>
              <w:rPr>
                <w:rFonts w:cstheme="minorHAnsi"/>
                <w:sz w:val="20"/>
                <w:szCs w:val="20"/>
                <w:lang w:val="en-GB"/>
              </w:rPr>
              <w:t xml:space="preserve"> (n = 2,503; 71.7%)</w:t>
            </w:r>
          </w:p>
          <w:p w14:paraId="13475372" w14:textId="6682D526" w:rsidR="00563A0E" w:rsidRDefault="00563A0E" w:rsidP="00C20534">
            <w:pPr>
              <w:spacing w:line="240" w:lineRule="auto"/>
              <w:rPr>
                <w:rFonts w:cstheme="minorHAnsi"/>
                <w:sz w:val="20"/>
                <w:szCs w:val="20"/>
                <w:lang w:val="en-GB"/>
              </w:rPr>
            </w:pPr>
            <w:r>
              <w:rPr>
                <w:rFonts w:cstheme="minorHAnsi"/>
                <w:sz w:val="20"/>
                <w:szCs w:val="20"/>
                <w:lang w:val="en-GB"/>
              </w:rPr>
              <w:t xml:space="preserve">(1) CAPI-only </w:t>
            </w:r>
            <w:r w:rsidR="007D3E4F">
              <w:rPr>
                <w:rFonts w:cstheme="minorHAnsi"/>
                <w:sz w:val="20"/>
                <w:szCs w:val="20"/>
                <w:lang w:val="en-GB"/>
              </w:rPr>
              <w:t>(</w:t>
            </w:r>
            <w:r>
              <w:rPr>
                <w:rFonts w:cstheme="minorHAnsi"/>
                <w:sz w:val="20"/>
                <w:szCs w:val="20"/>
                <w:lang w:val="en-GB"/>
              </w:rPr>
              <w:t>HWP</w:t>
            </w:r>
            <w:r w:rsidR="007D3E4F">
              <w:rPr>
                <w:rFonts w:cstheme="minorHAnsi"/>
                <w:sz w:val="20"/>
                <w:szCs w:val="20"/>
                <w:lang w:val="en-GB"/>
              </w:rPr>
              <w:t>)</w:t>
            </w:r>
            <w:r>
              <w:rPr>
                <w:rFonts w:cstheme="minorHAnsi"/>
                <w:sz w:val="20"/>
                <w:szCs w:val="20"/>
                <w:lang w:val="en-GB"/>
              </w:rPr>
              <w:t xml:space="preserve"> (n = 526; 15.1%)</w:t>
            </w:r>
          </w:p>
          <w:p w14:paraId="3258EF5E" w14:textId="3A62D4FE" w:rsidR="00563A0E" w:rsidRDefault="00563A0E" w:rsidP="00C20534">
            <w:pPr>
              <w:spacing w:line="240" w:lineRule="auto"/>
              <w:rPr>
                <w:rFonts w:cstheme="minorHAnsi"/>
                <w:sz w:val="20"/>
                <w:szCs w:val="20"/>
                <w:lang w:val="en-GB"/>
              </w:rPr>
            </w:pPr>
            <w:r>
              <w:rPr>
                <w:rFonts w:cstheme="minorHAnsi"/>
                <w:sz w:val="20"/>
                <w:szCs w:val="20"/>
                <w:lang w:val="en-GB"/>
              </w:rPr>
              <w:t xml:space="preserve">(2) CAPI-first </w:t>
            </w:r>
            <w:r w:rsidR="007D3E4F">
              <w:rPr>
                <w:rFonts w:cstheme="minorHAnsi"/>
                <w:sz w:val="20"/>
                <w:szCs w:val="20"/>
                <w:lang w:val="en-GB"/>
              </w:rPr>
              <w:t xml:space="preserve">(LWP) </w:t>
            </w:r>
            <w:r>
              <w:rPr>
                <w:rFonts w:cstheme="minorHAnsi"/>
                <w:sz w:val="20"/>
                <w:szCs w:val="20"/>
                <w:lang w:val="en-GB"/>
              </w:rPr>
              <w:t>(n = 361; 10.3%)</w:t>
            </w:r>
          </w:p>
          <w:p w14:paraId="18E3B068" w14:textId="6A70AB45" w:rsidR="00563A0E" w:rsidRPr="0079345E" w:rsidRDefault="00563A0E" w:rsidP="00C20534">
            <w:pPr>
              <w:spacing w:line="240" w:lineRule="auto"/>
              <w:rPr>
                <w:rFonts w:cstheme="minorHAnsi"/>
                <w:sz w:val="20"/>
                <w:szCs w:val="20"/>
                <w:lang w:val="en-GB"/>
              </w:rPr>
            </w:pPr>
            <w:r>
              <w:rPr>
                <w:rFonts w:cstheme="minorHAnsi"/>
                <w:sz w:val="20"/>
                <w:szCs w:val="20"/>
                <w:lang w:val="en-GB"/>
              </w:rPr>
              <w:t xml:space="preserve">(3) CAPI-only </w:t>
            </w:r>
            <w:r w:rsidR="007D3E4F">
              <w:rPr>
                <w:rFonts w:cstheme="minorHAnsi"/>
                <w:sz w:val="20"/>
                <w:szCs w:val="20"/>
                <w:lang w:val="en-GB"/>
              </w:rPr>
              <w:t>(</w:t>
            </w:r>
            <w:r>
              <w:rPr>
                <w:rFonts w:cstheme="minorHAnsi"/>
                <w:sz w:val="20"/>
                <w:szCs w:val="20"/>
                <w:lang w:val="en-GB"/>
              </w:rPr>
              <w:t>LWP</w:t>
            </w:r>
            <w:r w:rsidR="007D3E4F">
              <w:rPr>
                <w:rFonts w:cstheme="minorHAnsi"/>
                <w:sz w:val="20"/>
                <w:szCs w:val="20"/>
                <w:lang w:val="en-GB"/>
              </w:rPr>
              <w:t>)</w:t>
            </w:r>
            <w:r>
              <w:rPr>
                <w:rFonts w:cstheme="minorHAnsi"/>
                <w:sz w:val="20"/>
                <w:szCs w:val="20"/>
                <w:lang w:val="en-GB"/>
              </w:rPr>
              <w:t xml:space="preserve"> (n = 101; 2.9%)</w:t>
            </w:r>
          </w:p>
        </w:tc>
      </w:tr>
    </w:tbl>
    <w:p w14:paraId="1F29D9A3" w14:textId="77777777" w:rsidR="00563A0E" w:rsidRPr="00C60398" w:rsidRDefault="00563A0E" w:rsidP="00563A0E">
      <w:pPr>
        <w:pStyle w:val="NoSpacing"/>
        <w:rPr>
          <w:sz w:val="18"/>
          <w:szCs w:val="18"/>
          <w:lang w:val="en-GB"/>
        </w:rPr>
      </w:pPr>
      <w:r w:rsidRPr="00C60398">
        <w:rPr>
          <w:sz w:val="18"/>
          <w:szCs w:val="18"/>
          <w:lang w:val="en-GB"/>
        </w:rPr>
        <w:t xml:space="preserve">Note – (1) In the previous wave of Understanding Society coexisted three fieldwork protocols: web-first (70%), CAPI-first (10%) and CAPI-only (20%). A random subsample of households was allocated to the CAPI-only protocol, whereas the rest of the sample was divided between households predicted to have a higher web response propensity (web-first) and a lower response propensity (CAPI-first). </w:t>
      </w:r>
      <w:proofErr w:type="gramStart"/>
      <w:r w:rsidRPr="00C60398">
        <w:rPr>
          <w:sz w:val="18"/>
          <w:szCs w:val="18"/>
          <w:lang w:val="en-GB"/>
        </w:rPr>
        <w:t>In order to</w:t>
      </w:r>
      <w:proofErr w:type="gramEnd"/>
      <w:r w:rsidRPr="00C60398">
        <w:rPr>
          <w:sz w:val="18"/>
          <w:szCs w:val="18"/>
          <w:lang w:val="en-GB"/>
        </w:rPr>
        <w:t xml:space="preserve"> enable the comparison of the web-first and the CAPI-only subgroups, we split the CAPI-only group into high web propensity (HWP) households – comparable to the web-first – and low web propensity (LWP) households.</w:t>
      </w:r>
    </w:p>
    <w:p w14:paraId="238F0055" w14:textId="77777777" w:rsidR="00563A0E" w:rsidRDefault="00563A0E" w:rsidP="00563A0E">
      <w:pPr>
        <w:spacing w:line="252" w:lineRule="auto"/>
        <w:rPr>
          <w:lang w:val="en-GB"/>
        </w:rPr>
      </w:pPr>
      <w:r>
        <w:rPr>
          <w:lang w:val="en-GB"/>
        </w:rPr>
        <w:br w:type="page"/>
      </w:r>
    </w:p>
    <w:p w14:paraId="419FB808" w14:textId="00FFA603" w:rsidR="004B6EFB" w:rsidRDefault="004B6EFB" w:rsidP="004B6EFB">
      <w:pPr>
        <w:pStyle w:val="Heading1"/>
        <w:rPr>
          <w:lang w:val="en-GB"/>
        </w:rPr>
      </w:pPr>
      <w:bookmarkStart w:id="10" w:name="_Toc183429652"/>
      <w:r>
        <w:rPr>
          <w:lang w:val="en-GB"/>
        </w:rPr>
        <w:lastRenderedPageBreak/>
        <w:t xml:space="preserve">Online Appendix </w:t>
      </w:r>
      <w:r w:rsidR="00563A0E">
        <w:rPr>
          <w:lang w:val="en-GB"/>
        </w:rPr>
        <w:t>F</w:t>
      </w:r>
      <w:r>
        <w:rPr>
          <w:lang w:val="en-GB"/>
        </w:rPr>
        <w:t>. Wave 12 mode of individual interview and sample composition</w:t>
      </w:r>
      <w:bookmarkEnd w:id="10"/>
    </w:p>
    <w:p w14:paraId="33B0294C" w14:textId="08AFAF80" w:rsidR="00BC2EDB" w:rsidRPr="00BC2EDB" w:rsidRDefault="00BC2EDB" w:rsidP="001512AC">
      <w:pPr>
        <w:rPr>
          <w:lang w:val="en-GB"/>
        </w:rPr>
      </w:pPr>
      <w:r>
        <w:rPr>
          <w:lang w:val="en-GB"/>
        </w:rPr>
        <w:fldChar w:fldCharType="begin"/>
      </w:r>
      <w:r>
        <w:rPr>
          <w:lang w:val="en-GB"/>
        </w:rPr>
        <w:instrText xml:space="preserve"> REF _Ref175304595 \h </w:instrText>
      </w:r>
      <w:r>
        <w:rPr>
          <w:lang w:val="en-GB"/>
        </w:rPr>
      </w:r>
      <w:r>
        <w:rPr>
          <w:lang w:val="en-GB"/>
        </w:rPr>
        <w:fldChar w:fldCharType="separate"/>
      </w:r>
      <w:r w:rsidR="001512AC">
        <w:t>Table A</w:t>
      </w:r>
      <w:r w:rsidR="001512AC">
        <w:rPr>
          <w:noProof/>
        </w:rPr>
        <w:t>6</w:t>
      </w:r>
      <w:r>
        <w:rPr>
          <w:lang w:val="en-GB"/>
        </w:rPr>
        <w:fldChar w:fldCharType="end"/>
      </w:r>
      <w:r w:rsidR="001512AC">
        <w:rPr>
          <w:lang w:val="en-GB"/>
        </w:rPr>
        <w:t xml:space="preserve"> </w:t>
      </w:r>
      <w:r>
        <w:rPr>
          <w:lang w:val="en-GB"/>
        </w:rPr>
        <w:t xml:space="preserve">presents the sample profile of those responding to the adult interview at wave 12 by the mode in which the individual interview was completed. </w:t>
      </w:r>
    </w:p>
    <w:p w14:paraId="72405F1D" w14:textId="57B2812B" w:rsidR="00BC2EDB" w:rsidRDefault="00BC2EDB" w:rsidP="001512AC">
      <w:pPr>
        <w:pStyle w:val="Caption"/>
        <w:keepNext/>
        <w:spacing w:after="0"/>
      </w:pPr>
      <w:bookmarkStart w:id="11" w:name="_Ref175304595"/>
      <w:r>
        <w:t>Table A</w:t>
      </w:r>
      <w:fldSimple w:instr=" SEQ Table_A \* ARABIC ">
        <w:r w:rsidR="003F78A0">
          <w:rPr>
            <w:noProof/>
          </w:rPr>
          <w:t>6</w:t>
        </w:r>
      </w:fldSimple>
      <w:bookmarkEnd w:id="11"/>
      <w:r>
        <w:t xml:space="preserve">. </w:t>
      </w:r>
      <w:r w:rsidRPr="007C2B6F">
        <w:t>Sample profile of respondents to the adult questionnaire by mode of interview</w:t>
      </w:r>
    </w:p>
    <w:tbl>
      <w:tblPr>
        <w:tblW w:w="9026" w:type="dxa"/>
        <w:tblLook w:val="04A0" w:firstRow="1" w:lastRow="0" w:firstColumn="1" w:lastColumn="0" w:noHBand="0" w:noVBand="1"/>
      </w:tblPr>
      <w:tblGrid>
        <w:gridCol w:w="1841"/>
        <w:gridCol w:w="933"/>
        <w:gridCol w:w="933"/>
        <w:gridCol w:w="457"/>
        <w:gridCol w:w="803"/>
        <w:gridCol w:w="803"/>
        <w:gridCol w:w="457"/>
        <w:gridCol w:w="901"/>
        <w:gridCol w:w="900"/>
        <w:gridCol w:w="998"/>
      </w:tblGrid>
      <w:tr w:rsidR="006A75F2" w:rsidRPr="006A75F2" w14:paraId="55F43053" w14:textId="77777777" w:rsidTr="006A75F2">
        <w:trPr>
          <w:trHeight w:val="470"/>
        </w:trPr>
        <w:tc>
          <w:tcPr>
            <w:tcW w:w="1841" w:type="dxa"/>
            <w:tcBorders>
              <w:top w:val="single" w:sz="4" w:space="0" w:color="auto"/>
              <w:left w:val="nil"/>
              <w:bottom w:val="nil"/>
              <w:right w:val="nil"/>
            </w:tcBorders>
            <w:shd w:val="clear" w:color="auto" w:fill="auto"/>
            <w:noWrap/>
            <w:vAlign w:val="bottom"/>
            <w:hideMark/>
          </w:tcPr>
          <w:p w14:paraId="75097D9A" w14:textId="77777777" w:rsidR="006A75F2" w:rsidRPr="006A75F2" w:rsidRDefault="006A75F2" w:rsidP="006A75F2">
            <w:pPr>
              <w:spacing w:after="0" w:line="240" w:lineRule="auto"/>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1866" w:type="dxa"/>
            <w:gridSpan w:val="2"/>
            <w:tcBorders>
              <w:top w:val="single" w:sz="4" w:space="0" w:color="auto"/>
              <w:left w:val="nil"/>
              <w:bottom w:val="single" w:sz="4" w:space="0" w:color="auto"/>
              <w:right w:val="nil"/>
            </w:tcBorders>
            <w:shd w:val="clear" w:color="auto" w:fill="auto"/>
            <w:noWrap/>
            <w:vAlign w:val="bottom"/>
            <w:hideMark/>
          </w:tcPr>
          <w:p w14:paraId="08246CBE" w14:textId="77777777" w:rsidR="006A75F2" w:rsidRPr="001512AC" w:rsidRDefault="006A75F2" w:rsidP="006A75F2">
            <w:pPr>
              <w:spacing w:after="0" w:line="240" w:lineRule="auto"/>
              <w:jc w:val="center"/>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Experiment: Control</w:t>
            </w:r>
          </w:p>
        </w:tc>
        <w:tc>
          <w:tcPr>
            <w:tcW w:w="457" w:type="dxa"/>
            <w:tcBorders>
              <w:top w:val="single" w:sz="4" w:space="0" w:color="auto"/>
              <w:left w:val="nil"/>
              <w:bottom w:val="nil"/>
              <w:right w:val="nil"/>
            </w:tcBorders>
            <w:shd w:val="clear" w:color="auto" w:fill="auto"/>
            <w:noWrap/>
            <w:vAlign w:val="bottom"/>
            <w:hideMark/>
          </w:tcPr>
          <w:p w14:paraId="786C68CC" w14:textId="77777777" w:rsidR="006A75F2" w:rsidRPr="001512AC" w:rsidRDefault="006A75F2" w:rsidP="006A75F2">
            <w:pPr>
              <w:spacing w:after="0" w:line="240" w:lineRule="auto"/>
              <w:jc w:val="center"/>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 </w:t>
            </w:r>
          </w:p>
        </w:tc>
        <w:tc>
          <w:tcPr>
            <w:tcW w:w="1606" w:type="dxa"/>
            <w:gridSpan w:val="2"/>
            <w:tcBorders>
              <w:top w:val="single" w:sz="4" w:space="0" w:color="auto"/>
              <w:left w:val="nil"/>
              <w:bottom w:val="single" w:sz="4" w:space="0" w:color="auto"/>
              <w:right w:val="nil"/>
            </w:tcBorders>
            <w:shd w:val="clear" w:color="auto" w:fill="auto"/>
            <w:vAlign w:val="bottom"/>
            <w:hideMark/>
          </w:tcPr>
          <w:p w14:paraId="71FD47A7" w14:textId="77777777" w:rsidR="006A75F2" w:rsidRPr="001512AC" w:rsidRDefault="006A75F2" w:rsidP="006A75F2">
            <w:pPr>
              <w:spacing w:after="0" w:line="240" w:lineRule="auto"/>
              <w:jc w:val="center"/>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Experiment: Higher Incentive</w:t>
            </w:r>
          </w:p>
        </w:tc>
        <w:tc>
          <w:tcPr>
            <w:tcW w:w="457" w:type="dxa"/>
            <w:tcBorders>
              <w:top w:val="single" w:sz="4" w:space="0" w:color="auto"/>
              <w:left w:val="nil"/>
              <w:bottom w:val="nil"/>
              <w:right w:val="nil"/>
            </w:tcBorders>
            <w:shd w:val="clear" w:color="auto" w:fill="auto"/>
            <w:noWrap/>
            <w:vAlign w:val="bottom"/>
            <w:hideMark/>
          </w:tcPr>
          <w:p w14:paraId="1CB2C117" w14:textId="77777777" w:rsidR="006A75F2" w:rsidRPr="001512AC" w:rsidRDefault="006A75F2" w:rsidP="006A75F2">
            <w:pPr>
              <w:spacing w:after="0" w:line="240" w:lineRule="auto"/>
              <w:jc w:val="center"/>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 </w:t>
            </w:r>
          </w:p>
        </w:tc>
        <w:tc>
          <w:tcPr>
            <w:tcW w:w="2799" w:type="dxa"/>
            <w:gridSpan w:val="3"/>
            <w:tcBorders>
              <w:top w:val="single" w:sz="4" w:space="0" w:color="auto"/>
              <w:left w:val="nil"/>
              <w:bottom w:val="single" w:sz="4" w:space="0" w:color="auto"/>
              <w:right w:val="nil"/>
            </w:tcBorders>
            <w:shd w:val="clear" w:color="auto" w:fill="auto"/>
            <w:noWrap/>
            <w:vAlign w:val="bottom"/>
            <w:hideMark/>
          </w:tcPr>
          <w:p w14:paraId="10A646BB" w14:textId="3CED6592" w:rsidR="006A75F2" w:rsidRPr="001512AC" w:rsidRDefault="006A75F2" w:rsidP="006A75F2">
            <w:pPr>
              <w:spacing w:after="0" w:line="240" w:lineRule="auto"/>
              <w:jc w:val="center"/>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Rest of wave 12</w:t>
            </w:r>
            <w:r w:rsidR="00BC2EDB">
              <w:rPr>
                <w:rFonts w:ascii="Times New Roman" w:eastAsia="Times New Roman" w:hAnsi="Times New Roman" w:cs="Times New Roman"/>
                <w:b/>
                <w:bCs/>
                <w:sz w:val="18"/>
                <w:szCs w:val="18"/>
                <w:lang w:val="en-GB" w:eastAsia="en-GB"/>
              </w:rPr>
              <w:t xml:space="preserve"> (2020-22)</w:t>
            </w:r>
          </w:p>
        </w:tc>
      </w:tr>
      <w:tr w:rsidR="006A75F2" w:rsidRPr="006A75F2" w14:paraId="303B4D48" w14:textId="77777777" w:rsidTr="006A75F2">
        <w:trPr>
          <w:trHeight w:val="290"/>
        </w:trPr>
        <w:tc>
          <w:tcPr>
            <w:tcW w:w="1841" w:type="dxa"/>
            <w:tcBorders>
              <w:top w:val="nil"/>
              <w:left w:val="nil"/>
              <w:bottom w:val="single" w:sz="4" w:space="0" w:color="auto"/>
              <w:right w:val="nil"/>
            </w:tcBorders>
            <w:shd w:val="clear" w:color="auto" w:fill="auto"/>
            <w:noWrap/>
            <w:vAlign w:val="bottom"/>
            <w:hideMark/>
          </w:tcPr>
          <w:p w14:paraId="13EEC96E" w14:textId="77777777" w:rsidR="006A75F2" w:rsidRPr="006A75F2" w:rsidRDefault="006A75F2" w:rsidP="006A75F2">
            <w:pPr>
              <w:spacing w:after="0" w:line="240" w:lineRule="auto"/>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933" w:type="dxa"/>
            <w:tcBorders>
              <w:top w:val="nil"/>
              <w:left w:val="nil"/>
              <w:bottom w:val="single" w:sz="4" w:space="0" w:color="auto"/>
              <w:right w:val="nil"/>
            </w:tcBorders>
            <w:shd w:val="clear" w:color="auto" w:fill="auto"/>
            <w:noWrap/>
            <w:vAlign w:val="bottom"/>
            <w:hideMark/>
          </w:tcPr>
          <w:p w14:paraId="4AB23C4E" w14:textId="77777777" w:rsidR="006A75F2" w:rsidRPr="001512AC" w:rsidRDefault="006A75F2" w:rsidP="006A75F2">
            <w:pPr>
              <w:spacing w:after="0" w:line="240" w:lineRule="auto"/>
              <w:jc w:val="center"/>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CATI</w:t>
            </w:r>
          </w:p>
        </w:tc>
        <w:tc>
          <w:tcPr>
            <w:tcW w:w="933" w:type="dxa"/>
            <w:tcBorders>
              <w:top w:val="nil"/>
              <w:left w:val="nil"/>
              <w:bottom w:val="single" w:sz="4" w:space="0" w:color="auto"/>
              <w:right w:val="nil"/>
            </w:tcBorders>
            <w:shd w:val="clear" w:color="auto" w:fill="auto"/>
            <w:noWrap/>
            <w:vAlign w:val="bottom"/>
            <w:hideMark/>
          </w:tcPr>
          <w:p w14:paraId="32C050C8" w14:textId="43FD9D45" w:rsidR="006A75F2" w:rsidRPr="001512AC" w:rsidRDefault="006A75F2" w:rsidP="006A75F2">
            <w:pPr>
              <w:spacing w:after="0" w:line="240" w:lineRule="auto"/>
              <w:jc w:val="center"/>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Web</w:t>
            </w:r>
          </w:p>
        </w:tc>
        <w:tc>
          <w:tcPr>
            <w:tcW w:w="457" w:type="dxa"/>
            <w:tcBorders>
              <w:top w:val="nil"/>
              <w:left w:val="nil"/>
              <w:bottom w:val="single" w:sz="4" w:space="0" w:color="auto"/>
              <w:right w:val="nil"/>
            </w:tcBorders>
            <w:shd w:val="clear" w:color="auto" w:fill="auto"/>
            <w:noWrap/>
            <w:vAlign w:val="bottom"/>
            <w:hideMark/>
          </w:tcPr>
          <w:p w14:paraId="16E7D755" w14:textId="77777777" w:rsidR="006A75F2" w:rsidRPr="001512AC" w:rsidRDefault="006A75F2" w:rsidP="006A75F2">
            <w:pPr>
              <w:spacing w:after="0" w:line="240" w:lineRule="auto"/>
              <w:jc w:val="center"/>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 </w:t>
            </w:r>
          </w:p>
        </w:tc>
        <w:tc>
          <w:tcPr>
            <w:tcW w:w="803" w:type="dxa"/>
            <w:tcBorders>
              <w:top w:val="nil"/>
              <w:left w:val="nil"/>
              <w:bottom w:val="single" w:sz="4" w:space="0" w:color="auto"/>
              <w:right w:val="nil"/>
            </w:tcBorders>
            <w:shd w:val="clear" w:color="auto" w:fill="auto"/>
            <w:noWrap/>
            <w:vAlign w:val="bottom"/>
            <w:hideMark/>
          </w:tcPr>
          <w:p w14:paraId="573CA714" w14:textId="77777777" w:rsidR="006A75F2" w:rsidRPr="001512AC" w:rsidRDefault="006A75F2" w:rsidP="006A75F2">
            <w:pPr>
              <w:spacing w:after="0" w:line="240" w:lineRule="auto"/>
              <w:jc w:val="center"/>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CATI</w:t>
            </w:r>
          </w:p>
        </w:tc>
        <w:tc>
          <w:tcPr>
            <w:tcW w:w="803" w:type="dxa"/>
            <w:tcBorders>
              <w:top w:val="nil"/>
              <w:left w:val="nil"/>
              <w:bottom w:val="single" w:sz="4" w:space="0" w:color="auto"/>
              <w:right w:val="nil"/>
            </w:tcBorders>
            <w:shd w:val="clear" w:color="auto" w:fill="auto"/>
            <w:noWrap/>
            <w:vAlign w:val="bottom"/>
            <w:hideMark/>
          </w:tcPr>
          <w:p w14:paraId="4CE283E1" w14:textId="763F7D27" w:rsidR="006A75F2" w:rsidRPr="001512AC" w:rsidRDefault="006A75F2" w:rsidP="006A75F2">
            <w:pPr>
              <w:spacing w:after="0" w:line="240" w:lineRule="auto"/>
              <w:jc w:val="center"/>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Web</w:t>
            </w:r>
          </w:p>
        </w:tc>
        <w:tc>
          <w:tcPr>
            <w:tcW w:w="457" w:type="dxa"/>
            <w:tcBorders>
              <w:top w:val="nil"/>
              <w:left w:val="nil"/>
              <w:bottom w:val="single" w:sz="4" w:space="0" w:color="auto"/>
              <w:right w:val="nil"/>
            </w:tcBorders>
            <w:shd w:val="clear" w:color="auto" w:fill="auto"/>
            <w:noWrap/>
            <w:vAlign w:val="bottom"/>
            <w:hideMark/>
          </w:tcPr>
          <w:p w14:paraId="28EA31DF" w14:textId="77777777" w:rsidR="006A75F2" w:rsidRPr="001512AC" w:rsidRDefault="006A75F2" w:rsidP="006A75F2">
            <w:pPr>
              <w:spacing w:after="0" w:line="240" w:lineRule="auto"/>
              <w:jc w:val="center"/>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 </w:t>
            </w:r>
          </w:p>
        </w:tc>
        <w:tc>
          <w:tcPr>
            <w:tcW w:w="901" w:type="dxa"/>
            <w:tcBorders>
              <w:top w:val="nil"/>
              <w:left w:val="nil"/>
              <w:bottom w:val="single" w:sz="4" w:space="0" w:color="auto"/>
              <w:right w:val="nil"/>
            </w:tcBorders>
            <w:shd w:val="clear" w:color="auto" w:fill="auto"/>
            <w:noWrap/>
            <w:vAlign w:val="bottom"/>
            <w:hideMark/>
          </w:tcPr>
          <w:p w14:paraId="3B87F767" w14:textId="77777777" w:rsidR="006A75F2" w:rsidRPr="001512AC" w:rsidRDefault="006A75F2" w:rsidP="006A75F2">
            <w:pPr>
              <w:spacing w:after="0" w:line="240" w:lineRule="auto"/>
              <w:jc w:val="center"/>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CAPI</w:t>
            </w:r>
          </w:p>
        </w:tc>
        <w:tc>
          <w:tcPr>
            <w:tcW w:w="900" w:type="dxa"/>
            <w:tcBorders>
              <w:top w:val="nil"/>
              <w:left w:val="nil"/>
              <w:bottom w:val="single" w:sz="4" w:space="0" w:color="auto"/>
              <w:right w:val="nil"/>
            </w:tcBorders>
            <w:shd w:val="clear" w:color="auto" w:fill="auto"/>
            <w:noWrap/>
            <w:vAlign w:val="bottom"/>
            <w:hideMark/>
          </w:tcPr>
          <w:p w14:paraId="6A2AF784" w14:textId="77777777" w:rsidR="006A75F2" w:rsidRPr="001512AC" w:rsidRDefault="006A75F2" w:rsidP="006A75F2">
            <w:pPr>
              <w:spacing w:after="0" w:line="240" w:lineRule="auto"/>
              <w:jc w:val="center"/>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CATI</w:t>
            </w:r>
          </w:p>
        </w:tc>
        <w:tc>
          <w:tcPr>
            <w:tcW w:w="998" w:type="dxa"/>
            <w:tcBorders>
              <w:top w:val="nil"/>
              <w:left w:val="nil"/>
              <w:bottom w:val="single" w:sz="4" w:space="0" w:color="auto"/>
              <w:right w:val="nil"/>
            </w:tcBorders>
            <w:shd w:val="clear" w:color="auto" w:fill="auto"/>
            <w:noWrap/>
            <w:vAlign w:val="bottom"/>
            <w:hideMark/>
          </w:tcPr>
          <w:p w14:paraId="0D667FA3" w14:textId="63F108B8" w:rsidR="006A75F2" w:rsidRPr="001512AC" w:rsidRDefault="006A75F2" w:rsidP="006A75F2">
            <w:pPr>
              <w:spacing w:after="0" w:line="240" w:lineRule="auto"/>
              <w:jc w:val="center"/>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Web</w:t>
            </w:r>
          </w:p>
        </w:tc>
      </w:tr>
      <w:tr w:rsidR="006A75F2" w:rsidRPr="006A75F2" w14:paraId="480E3D57" w14:textId="77777777" w:rsidTr="006A75F2">
        <w:trPr>
          <w:trHeight w:val="290"/>
        </w:trPr>
        <w:tc>
          <w:tcPr>
            <w:tcW w:w="1841" w:type="dxa"/>
            <w:tcBorders>
              <w:top w:val="nil"/>
              <w:left w:val="nil"/>
              <w:bottom w:val="nil"/>
              <w:right w:val="nil"/>
            </w:tcBorders>
            <w:shd w:val="clear" w:color="auto" w:fill="auto"/>
            <w:noWrap/>
            <w:vAlign w:val="bottom"/>
            <w:hideMark/>
          </w:tcPr>
          <w:p w14:paraId="6E109E6B" w14:textId="77777777" w:rsidR="006A75F2" w:rsidRPr="001512AC" w:rsidRDefault="006A75F2" w:rsidP="006A75F2">
            <w:pPr>
              <w:spacing w:after="0" w:line="240" w:lineRule="auto"/>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All respondents</w:t>
            </w:r>
          </w:p>
        </w:tc>
        <w:tc>
          <w:tcPr>
            <w:tcW w:w="933" w:type="dxa"/>
            <w:tcBorders>
              <w:top w:val="nil"/>
              <w:left w:val="nil"/>
              <w:bottom w:val="nil"/>
              <w:right w:val="nil"/>
            </w:tcBorders>
            <w:shd w:val="clear" w:color="auto" w:fill="auto"/>
            <w:noWrap/>
            <w:vAlign w:val="bottom"/>
            <w:hideMark/>
          </w:tcPr>
          <w:p w14:paraId="0E9A51DB"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19.0</w:t>
            </w:r>
          </w:p>
        </w:tc>
        <w:tc>
          <w:tcPr>
            <w:tcW w:w="933" w:type="dxa"/>
            <w:tcBorders>
              <w:top w:val="nil"/>
              <w:left w:val="nil"/>
              <w:bottom w:val="nil"/>
              <w:right w:val="nil"/>
            </w:tcBorders>
            <w:shd w:val="clear" w:color="auto" w:fill="auto"/>
            <w:noWrap/>
            <w:vAlign w:val="bottom"/>
            <w:hideMark/>
          </w:tcPr>
          <w:p w14:paraId="5142F01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81.0</w:t>
            </w:r>
          </w:p>
        </w:tc>
        <w:tc>
          <w:tcPr>
            <w:tcW w:w="457" w:type="dxa"/>
            <w:tcBorders>
              <w:top w:val="nil"/>
              <w:left w:val="nil"/>
              <w:bottom w:val="nil"/>
              <w:right w:val="nil"/>
            </w:tcBorders>
            <w:shd w:val="clear" w:color="auto" w:fill="auto"/>
            <w:noWrap/>
            <w:vAlign w:val="bottom"/>
            <w:hideMark/>
          </w:tcPr>
          <w:p w14:paraId="1001584F"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803" w:type="dxa"/>
            <w:tcBorders>
              <w:top w:val="nil"/>
              <w:left w:val="nil"/>
              <w:bottom w:val="nil"/>
              <w:right w:val="nil"/>
            </w:tcBorders>
            <w:shd w:val="clear" w:color="auto" w:fill="auto"/>
            <w:noWrap/>
            <w:vAlign w:val="bottom"/>
            <w:hideMark/>
          </w:tcPr>
          <w:p w14:paraId="1EA579C9"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17.6</w:t>
            </w:r>
          </w:p>
        </w:tc>
        <w:tc>
          <w:tcPr>
            <w:tcW w:w="803" w:type="dxa"/>
            <w:tcBorders>
              <w:top w:val="nil"/>
              <w:left w:val="nil"/>
              <w:bottom w:val="nil"/>
              <w:right w:val="nil"/>
            </w:tcBorders>
            <w:shd w:val="clear" w:color="auto" w:fill="auto"/>
            <w:noWrap/>
            <w:vAlign w:val="bottom"/>
            <w:hideMark/>
          </w:tcPr>
          <w:p w14:paraId="4D3DD881"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81.0</w:t>
            </w:r>
          </w:p>
        </w:tc>
        <w:tc>
          <w:tcPr>
            <w:tcW w:w="457" w:type="dxa"/>
            <w:tcBorders>
              <w:top w:val="nil"/>
              <w:left w:val="nil"/>
              <w:bottom w:val="nil"/>
              <w:right w:val="nil"/>
            </w:tcBorders>
            <w:shd w:val="clear" w:color="auto" w:fill="auto"/>
            <w:noWrap/>
            <w:vAlign w:val="bottom"/>
            <w:hideMark/>
          </w:tcPr>
          <w:p w14:paraId="58A7A773"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901" w:type="dxa"/>
            <w:tcBorders>
              <w:top w:val="nil"/>
              <w:left w:val="nil"/>
              <w:bottom w:val="nil"/>
              <w:right w:val="nil"/>
            </w:tcBorders>
            <w:shd w:val="clear" w:color="auto" w:fill="auto"/>
            <w:noWrap/>
            <w:vAlign w:val="bottom"/>
            <w:hideMark/>
          </w:tcPr>
          <w:p w14:paraId="32CFD7C5"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2.6</w:t>
            </w:r>
          </w:p>
        </w:tc>
        <w:tc>
          <w:tcPr>
            <w:tcW w:w="900" w:type="dxa"/>
            <w:tcBorders>
              <w:top w:val="nil"/>
              <w:left w:val="nil"/>
              <w:bottom w:val="nil"/>
              <w:right w:val="nil"/>
            </w:tcBorders>
            <w:shd w:val="clear" w:color="auto" w:fill="auto"/>
            <w:noWrap/>
            <w:vAlign w:val="bottom"/>
            <w:hideMark/>
          </w:tcPr>
          <w:p w14:paraId="6A95771B"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15.0</w:t>
            </w:r>
          </w:p>
        </w:tc>
        <w:tc>
          <w:tcPr>
            <w:tcW w:w="998" w:type="dxa"/>
            <w:tcBorders>
              <w:top w:val="nil"/>
              <w:left w:val="nil"/>
              <w:bottom w:val="nil"/>
              <w:right w:val="nil"/>
            </w:tcBorders>
            <w:shd w:val="clear" w:color="auto" w:fill="auto"/>
            <w:noWrap/>
            <w:vAlign w:val="bottom"/>
            <w:hideMark/>
          </w:tcPr>
          <w:p w14:paraId="03073F2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82.4</w:t>
            </w:r>
          </w:p>
        </w:tc>
      </w:tr>
      <w:tr w:rsidR="006A75F2" w:rsidRPr="006A75F2" w14:paraId="13F9C398" w14:textId="77777777" w:rsidTr="006A75F2">
        <w:trPr>
          <w:trHeight w:val="290"/>
        </w:trPr>
        <w:tc>
          <w:tcPr>
            <w:tcW w:w="1841" w:type="dxa"/>
            <w:tcBorders>
              <w:top w:val="single" w:sz="4" w:space="0" w:color="auto"/>
              <w:left w:val="nil"/>
              <w:bottom w:val="nil"/>
              <w:right w:val="nil"/>
            </w:tcBorders>
            <w:shd w:val="clear" w:color="auto" w:fill="auto"/>
            <w:noWrap/>
            <w:vAlign w:val="bottom"/>
            <w:hideMark/>
          </w:tcPr>
          <w:p w14:paraId="655416B6" w14:textId="77777777" w:rsidR="006A75F2" w:rsidRPr="001512AC" w:rsidRDefault="006A75F2" w:rsidP="006A75F2">
            <w:pPr>
              <w:spacing w:after="0" w:line="240" w:lineRule="auto"/>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Sex</w:t>
            </w:r>
          </w:p>
        </w:tc>
        <w:tc>
          <w:tcPr>
            <w:tcW w:w="933" w:type="dxa"/>
            <w:tcBorders>
              <w:top w:val="single" w:sz="4" w:space="0" w:color="auto"/>
              <w:left w:val="nil"/>
              <w:bottom w:val="nil"/>
              <w:right w:val="nil"/>
            </w:tcBorders>
            <w:shd w:val="clear" w:color="auto" w:fill="auto"/>
            <w:noWrap/>
            <w:vAlign w:val="bottom"/>
            <w:hideMark/>
          </w:tcPr>
          <w:p w14:paraId="65F8285F"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933" w:type="dxa"/>
            <w:tcBorders>
              <w:top w:val="single" w:sz="4" w:space="0" w:color="auto"/>
              <w:left w:val="nil"/>
              <w:bottom w:val="nil"/>
              <w:right w:val="nil"/>
            </w:tcBorders>
            <w:shd w:val="clear" w:color="auto" w:fill="auto"/>
            <w:noWrap/>
            <w:vAlign w:val="bottom"/>
            <w:hideMark/>
          </w:tcPr>
          <w:p w14:paraId="7C319FB2"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457" w:type="dxa"/>
            <w:tcBorders>
              <w:top w:val="single" w:sz="4" w:space="0" w:color="auto"/>
              <w:left w:val="nil"/>
              <w:bottom w:val="nil"/>
              <w:right w:val="nil"/>
            </w:tcBorders>
            <w:shd w:val="clear" w:color="auto" w:fill="auto"/>
            <w:noWrap/>
            <w:vAlign w:val="bottom"/>
            <w:hideMark/>
          </w:tcPr>
          <w:p w14:paraId="16C8720B"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803" w:type="dxa"/>
            <w:tcBorders>
              <w:top w:val="single" w:sz="4" w:space="0" w:color="auto"/>
              <w:left w:val="nil"/>
              <w:bottom w:val="nil"/>
              <w:right w:val="nil"/>
            </w:tcBorders>
            <w:shd w:val="clear" w:color="auto" w:fill="auto"/>
            <w:noWrap/>
            <w:vAlign w:val="bottom"/>
            <w:hideMark/>
          </w:tcPr>
          <w:p w14:paraId="22CBC592"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803" w:type="dxa"/>
            <w:tcBorders>
              <w:top w:val="single" w:sz="4" w:space="0" w:color="auto"/>
              <w:left w:val="nil"/>
              <w:bottom w:val="nil"/>
              <w:right w:val="nil"/>
            </w:tcBorders>
            <w:shd w:val="clear" w:color="auto" w:fill="auto"/>
            <w:noWrap/>
            <w:vAlign w:val="bottom"/>
            <w:hideMark/>
          </w:tcPr>
          <w:p w14:paraId="7E674701"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457" w:type="dxa"/>
            <w:tcBorders>
              <w:top w:val="single" w:sz="4" w:space="0" w:color="auto"/>
              <w:left w:val="nil"/>
              <w:bottom w:val="nil"/>
              <w:right w:val="nil"/>
            </w:tcBorders>
            <w:shd w:val="clear" w:color="auto" w:fill="auto"/>
            <w:noWrap/>
            <w:vAlign w:val="bottom"/>
            <w:hideMark/>
          </w:tcPr>
          <w:p w14:paraId="5B1BF0D1"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901" w:type="dxa"/>
            <w:tcBorders>
              <w:top w:val="single" w:sz="4" w:space="0" w:color="auto"/>
              <w:left w:val="nil"/>
              <w:bottom w:val="nil"/>
              <w:right w:val="nil"/>
            </w:tcBorders>
            <w:shd w:val="clear" w:color="auto" w:fill="auto"/>
            <w:noWrap/>
            <w:vAlign w:val="bottom"/>
            <w:hideMark/>
          </w:tcPr>
          <w:p w14:paraId="59F25AB7"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900" w:type="dxa"/>
            <w:tcBorders>
              <w:top w:val="single" w:sz="4" w:space="0" w:color="auto"/>
              <w:left w:val="nil"/>
              <w:bottom w:val="nil"/>
              <w:right w:val="nil"/>
            </w:tcBorders>
            <w:shd w:val="clear" w:color="auto" w:fill="auto"/>
            <w:noWrap/>
            <w:vAlign w:val="bottom"/>
            <w:hideMark/>
          </w:tcPr>
          <w:p w14:paraId="418F01B0"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998" w:type="dxa"/>
            <w:tcBorders>
              <w:top w:val="single" w:sz="4" w:space="0" w:color="auto"/>
              <w:left w:val="nil"/>
              <w:bottom w:val="nil"/>
              <w:right w:val="nil"/>
            </w:tcBorders>
            <w:shd w:val="clear" w:color="auto" w:fill="auto"/>
            <w:noWrap/>
            <w:vAlign w:val="bottom"/>
            <w:hideMark/>
          </w:tcPr>
          <w:p w14:paraId="2640834C"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r>
      <w:tr w:rsidR="006A75F2" w:rsidRPr="006A75F2" w14:paraId="27E67B73" w14:textId="77777777" w:rsidTr="006A75F2">
        <w:trPr>
          <w:trHeight w:val="290"/>
        </w:trPr>
        <w:tc>
          <w:tcPr>
            <w:tcW w:w="1841" w:type="dxa"/>
            <w:tcBorders>
              <w:top w:val="nil"/>
              <w:left w:val="nil"/>
              <w:bottom w:val="nil"/>
              <w:right w:val="nil"/>
            </w:tcBorders>
            <w:shd w:val="clear" w:color="auto" w:fill="auto"/>
            <w:noWrap/>
            <w:vAlign w:val="bottom"/>
            <w:hideMark/>
          </w:tcPr>
          <w:p w14:paraId="6FD14E8B" w14:textId="77777777" w:rsidR="006A75F2" w:rsidRPr="006A75F2" w:rsidRDefault="006A75F2" w:rsidP="006A75F2">
            <w:pPr>
              <w:spacing w:after="0" w:line="240" w:lineRule="auto"/>
              <w:ind w:firstLineChars="200" w:firstLine="360"/>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Male</w:t>
            </w:r>
          </w:p>
        </w:tc>
        <w:tc>
          <w:tcPr>
            <w:tcW w:w="933" w:type="dxa"/>
            <w:tcBorders>
              <w:top w:val="nil"/>
              <w:left w:val="nil"/>
              <w:bottom w:val="nil"/>
              <w:right w:val="nil"/>
            </w:tcBorders>
            <w:shd w:val="clear" w:color="auto" w:fill="auto"/>
            <w:noWrap/>
            <w:vAlign w:val="bottom"/>
            <w:hideMark/>
          </w:tcPr>
          <w:p w14:paraId="4BBF30C4"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44.4</w:t>
            </w:r>
          </w:p>
        </w:tc>
        <w:tc>
          <w:tcPr>
            <w:tcW w:w="933" w:type="dxa"/>
            <w:tcBorders>
              <w:top w:val="nil"/>
              <w:left w:val="nil"/>
              <w:bottom w:val="nil"/>
              <w:right w:val="nil"/>
            </w:tcBorders>
            <w:shd w:val="clear" w:color="auto" w:fill="auto"/>
            <w:noWrap/>
            <w:vAlign w:val="bottom"/>
            <w:hideMark/>
          </w:tcPr>
          <w:p w14:paraId="00BEBC3A"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44.1</w:t>
            </w:r>
          </w:p>
        </w:tc>
        <w:tc>
          <w:tcPr>
            <w:tcW w:w="457" w:type="dxa"/>
            <w:tcBorders>
              <w:top w:val="nil"/>
              <w:left w:val="nil"/>
              <w:bottom w:val="nil"/>
              <w:right w:val="nil"/>
            </w:tcBorders>
            <w:shd w:val="clear" w:color="auto" w:fill="auto"/>
            <w:noWrap/>
            <w:vAlign w:val="bottom"/>
            <w:hideMark/>
          </w:tcPr>
          <w:p w14:paraId="3047BB90"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803" w:type="dxa"/>
            <w:tcBorders>
              <w:top w:val="nil"/>
              <w:left w:val="nil"/>
              <w:bottom w:val="nil"/>
              <w:right w:val="nil"/>
            </w:tcBorders>
            <w:shd w:val="clear" w:color="auto" w:fill="auto"/>
            <w:noWrap/>
            <w:vAlign w:val="bottom"/>
            <w:hideMark/>
          </w:tcPr>
          <w:p w14:paraId="4AF34985"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41.8</w:t>
            </w:r>
          </w:p>
        </w:tc>
        <w:tc>
          <w:tcPr>
            <w:tcW w:w="803" w:type="dxa"/>
            <w:tcBorders>
              <w:top w:val="nil"/>
              <w:left w:val="nil"/>
              <w:bottom w:val="nil"/>
              <w:right w:val="nil"/>
            </w:tcBorders>
            <w:shd w:val="clear" w:color="auto" w:fill="auto"/>
            <w:noWrap/>
            <w:vAlign w:val="bottom"/>
            <w:hideMark/>
          </w:tcPr>
          <w:p w14:paraId="72586039"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44.4</w:t>
            </w:r>
          </w:p>
        </w:tc>
        <w:tc>
          <w:tcPr>
            <w:tcW w:w="457" w:type="dxa"/>
            <w:tcBorders>
              <w:top w:val="nil"/>
              <w:left w:val="nil"/>
              <w:bottom w:val="nil"/>
              <w:right w:val="nil"/>
            </w:tcBorders>
            <w:shd w:val="clear" w:color="auto" w:fill="auto"/>
            <w:noWrap/>
            <w:vAlign w:val="bottom"/>
            <w:hideMark/>
          </w:tcPr>
          <w:p w14:paraId="43705841"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901" w:type="dxa"/>
            <w:tcBorders>
              <w:top w:val="nil"/>
              <w:left w:val="nil"/>
              <w:bottom w:val="nil"/>
              <w:right w:val="nil"/>
            </w:tcBorders>
            <w:shd w:val="clear" w:color="auto" w:fill="auto"/>
            <w:noWrap/>
            <w:vAlign w:val="bottom"/>
            <w:hideMark/>
          </w:tcPr>
          <w:p w14:paraId="47F67EAB"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44.1</w:t>
            </w:r>
          </w:p>
        </w:tc>
        <w:tc>
          <w:tcPr>
            <w:tcW w:w="900" w:type="dxa"/>
            <w:tcBorders>
              <w:top w:val="nil"/>
              <w:left w:val="nil"/>
              <w:bottom w:val="nil"/>
              <w:right w:val="nil"/>
            </w:tcBorders>
            <w:shd w:val="clear" w:color="auto" w:fill="auto"/>
            <w:noWrap/>
            <w:vAlign w:val="bottom"/>
            <w:hideMark/>
          </w:tcPr>
          <w:p w14:paraId="566643C8"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43.6</w:t>
            </w:r>
          </w:p>
        </w:tc>
        <w:tc>
          <w:tcPr>
            <w:tcW w:w="998" w:type="dxa"/>
            <w:tcBorders>
              <w:top w:val="nil"/>
              <w:left w:val="nil"/>
              <w:bottom w:val="nil"/>
              <w:right w:val="nil"/>
            </w:tcBorders>
            <w:shd w:val="clear" w:color="auto" w:fill="auto"/>
            <w:noWrap/>
            <w:vAlign w:val="bottom"/>
            <w:hideMark/>
          </w:tcPr>
          <w:p w14:paraId="2C432B72"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44.0</w:t>
            </w:r>
          </w:p>
        </w:tc>
      </w:tr>
      <w:tr w:rsidR="006A75F2" w:rsidRPr="006A75F2" w14:paraId="08714E2B" w14:textId="77777777" w:rsidTr="006A75F2">
        <w:trPr>
          <w:trHeight w:val="290"/>
        </w:trPr>
        <w:tc>
          <w:tcPr>
            <w:tcW w:w="1841" w:type="dxa"/>
            <w:tcBorders>
              <w:top w:val="nil"/>
              <w:left w:val="nil"/>
              <w:bottom w:val="nil"/>
              <w:right w:val="nil"/>
            </w:tcBorders>
            <w:shd w:val="clear" w:color="auto" w:fill="auto"/>
            <w:noWrap/>
            <w:vAlign w:val="bottom"/>
            <w:hideMark/>
          </w:tcPr>
          <w:p w14:paraId="501AA5BF" w14:textId="77777777" w:rsidR="006A75F2" w:rsidRPr="006A75F2" w:rsidRDefault="006A75F2" w:rsidP="006A75F2">
            <w:pPr>
              <w:spacing w:after="0" w:line="240" w:lineRule="auto"/>
              <w:ind w:firstLineChars="200" w:firstLine="360"/>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Female</w:t>
            </w:r>
          </w:p>
        </w:tc>
        <w:tc>
          <w:tcPr>
            <w:tcW w:w="933" w:type="dxa"/>
            <w:tcBorders>
              <w:top w:val="nil"/>
              <w:left w:val="nil"/>
              <w:bottom w:val="nil"/>
              <w:right w:val="nil"/>
            </w:tcBorders>
            <w:shd w:val="clear" w:color="auto" w:fill="auto"/>
            <w:noWrap/>
            <w:vAlign w:val="bottom"/>
            <w:hideMark/>
          </w:tcPr>
          <w:p w14:paraId="2955685B"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55.6</w:t>
            </w:r>
          </w:p>
        </w:tc>
        <w:tc>
          <w:tcPr>
            <w:tcW w:w="933" w:type="dxa"/>
            <w:tcBorders>
              <w:top w:val="nil"/>
              <w:left w:val="nil"/>
              <w:bottom w:val="nil"/>
              <w:right w:val="nil"/>
            </w:tcBorders>
            <w:shd w:val="clear" w:color="auto" w:fill="auto"/>
            <w:noWrap/>
            <w:vAlign w:val="bottom"/>
            <w:hideMark/>
          </w:tcPr>
          <w:p w14:paraId="4C9127FA"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55.9</w:t>
            </w:r>
          </w:p>
        </w:tc>
        <w:tc>
          <w:tcPr>
            <w:tcW w:w="457" w:type="dxa"/>
            <w:tcBorders>
              <w:top w:val="nil"/>
              <w:left w:val="nil"/>
              <w:bottom w:val="nil"/>
              <w:right w:val="nil"/>
            </w:tcBorders>
            <w:shd w:val="clear" w:color="auto" w:fill="auto"/>
            <w:noWrap/>
            <w:vAlign w:val="bottom"/>
            <w:hideMark/>
          </w:tcPr>
          <w:p w14:paraId="77B76F25"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803" w:type="dxa"/>
            <w:tcBorders>
              <w:top w:val="nil"/>
              <w:left w:val="nil"/>
              <w:bottom w:val="nil"/>
              <w:right w:val="nil"/>
            </w:tcBorders>
            <w:shd w:val="clear" w:color="auto" w:fill="auto"/>
            <w:noWrap/>
            <w:vAlign w:val="bottom"/>
            <w:hideMark/>
          </w:tcPr>
          <w:p w14:paraId="532FC9AA"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58.2</w:t>
            </w:r>
          </w:p>
        </w:tc>
        <w:tc>
          <w:tcPr>
            <w:tcW w:w="803" w:type="dxa"/>
            <w:tcBorders>
              <w:top w:val="nil"/>
              <w:left w:val="nil"/>
              <w:bottom w:val="nil"/>
              <w:right w:val="nil"/>
            </w:tcBorders>
            <w:shd w:val="clear" w:color="auto" w:fill="auto"/>
            <w:noWrap/>
            <w:vAlign w:val="bottom"/>
            <w:hideMark/>
          </w:tcPr>
          <w:p w14:paraId="6B5855E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55.6</w:t>
            </w:r>
          </w:p>
        </w:tc>
        <w:tc>
          <w:tcPr>
            <w:tcW w:w="457" w:type="dxa"/>
            <w:tcBorders>
              <w:top w:val="nil"/>
              <w:left w:val="nil"/>
              <w:bottom w:val="nil"/>
              <w:right w:val="nil"/>
            </w:tcBorders>
            <w:shd w:val="clear" w:color="auto" w:fill="auto"/>
            <w:noWrap/>
            <w:vAlign w:val="bottom"/>
            <w:hideMark/>
          </w:tcPr>
          <w:p w14:paraId="36E43BE9"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901" w:type="dxa"/>
            <w:tcBorders>
              <w:top w:val="nil"/>
              <w:left w:val="nil"/>
              <w:bottom w:val="nil"/>
              <w:right w:val="nil"/>
            </w:tcBorders>
            <w:shd w:val="clear" w:color="auto" w:fill="auto"/>
            <w:noWrap/>
            <w:vAlign w:val="bottom"/>
            <w:hideMark/>
          </w:tcPr>
          <w:p w14:paraId="6CDB2E1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55.9</w:t>
            </w:r>
          </w:p>
        </w:tc>
        <w:tc>
          <w:tcPr>
            <w:tcW w:w="900" w:type="dxa"/>
            <w:tcBorders>
              <w:top w:val="nil"/>
              <w:left w:val="nil"/>
              <w:bottom w:val="nil"/>
              <w:right w:val="nil"/>
            </w:tcBorders>
            <w:shd w:val="clear" w:color="auto" w:fill="auto"/>
            <w:noWrap/>
            <w:vAlign w:val="bottom"/>
            <w:hideMark/>
          </w:tcPr>
          <w:p w14:paraId="2F83F708"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56.4</w:t>
            </w:r>
          </w:p>
        </w:tc>
        <w:tc>
          <w:tcPr>
            <w:tcW w:w="998" w:type="dxa"/>
            <w:tcBorders>
              <w:top w:val="nil"/>
              <w:left w:val="nil"/>
              <w:bottom w:val="nil"/>
              <w:right w:val="nil"/>
            </w:tcBorders>
            <w:shd w:val="clear" w:color="auto" w:fill="auto"/>
            <w:noWrap/>
            <w:vAlign w:val="bottom"/>
            <w:hideMark/>
          </w:tcPr>
          <w:p w14:paraId="74A8BD41"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56.0</w:t>
            </w:r>
          </w:p>
        </w:tc>
      </w:tr>
      <w:tr w:rsidR="006A75F2" w:rsidRPr="006A75F2" w14:paraId="27192181" w14:textId="77777777" w:rsidTr="006A75F2">
        <w:trPr>
          <w:trHeight w:val="290"/>
        </w:trPr>
        <w:tc>
          <w:tcPr>
            <w:tcW w:w="1841" w:type="dxa"/>
            <w:tcBorders>
              <w:top w:val="nil"/>
              <w:left w:val="nil"/>
              <w:bottom w:val="nil"/>
              <w:right w:val="nil"/>
            </w:tcBorders>
            <w:shd w:val="clear" w:color="auto" w:fill="auto"/>
            <w:noWrap/>
            <w:vAlign w:val="bottom"/>
            <w:hideMark/>
          </w:tcPr>
          <w:p w14:paraId="7DD07C4B" w14:textId="77777777" w:rsidR="006A75F2" w:rsidRPr="006A75F2" w:rsidRDefault="006A75F2" w:rsidP="006A75F2">
            <w:pPr>
              <w:spacing w:after="0" w:line="240" w:lineRule="auto"/>
              <w:ind w:firstLineChars="200" w:firstLine="360"/>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Total</w:t>
            </w:r>
          </w:p>
        </w:tc>
        <w:tc>
          <w:tcPr>
            <w:tcW w:w="933" w:type="dxa"/>
            <w:tcBorders>
              <w:top w:val="nil"/>
              <w:left w:val="nil"/>
              <w:bottom w:val="nil"/>
              <w:right w:val="nil"/>
            </w:tcBorders>
            <w:shd w:val="clear" w:color="auto" w:fill="auto"/>
            <w:noWrap/>
            <w:vAlign w:val="bottom"/>
            <w:hideMark/>
          </w:tcPr>
          <w:p w14:paraId="423D3DAF"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933" w:type="dxa"/>
            <w:tcBorders>
              <w:top w:val="nil"/>
              <w:left w:val="nil"/>
              <w:bottom w:val="nil"/>
              <w:right w:val="nil"/>
            </w:tcBorders>
            <w:shd w:val="clear" w:color="auto" w:fill="auto"/>
            <w:noWrap/>
            <w:vAlign w:val="bottom"/>
            <w:hideMark/>
          </w:tcPr>
          <w:p w14:paraId="427446E7"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457" w:type="dxa"/>
            <w:tcBorders>
              <w:top w:val="nil"/>
              <w:left w:val="nil"/>
              <w:bottom w:val="nil"/>
              <w:right w:val="nil"/>
            </w:tcBorders>
            <w:shd w:val="clear" w:color="auto" w:fill="auto"/>
            <w:noWrap/>
            <w:vAlign w:val="bottom"/>
            <w:hideMark/>
          </w:tcPr>
          <w:p w14:paraId="01D0EE14"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803" w:type="dxa"/>
            <w:tcBorders>
              <w:top w:val="nil"/>
              <w:left w:val="nil"/>
              <w:bottom w:val="nil"/>
              <w:right w:val="nil"/>
            </w:tcBorders>
            <w:shd w:val="clear" w:color="auto" w:fill="auto"/>
            <w:noWrap/>
            <w:vAlign w:val="bottom"/>
            <w:hideMark/>
          </w:tcPr>
          <w:p w14:paraId="474A26CB"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803" w:type="dxa"/>
            <w:tcBorders>
              <w:top w:val="nil"/>
              <w:left w:val="nil"/>
              <w:bottom w:val="nil"/>
              <w:right w:val="nil"/>
            </w:tcBorders>
            <w:shd w:val="clear" w:color="auto" w:fill="auto"/>
            <w:noWrap/>
            <w:vAlign w:val="bottom"/>
            <w:hideMark/>
          </w:tcPr>
          <w:p w14:paraId="02BF1610"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457" w:type="dxa"/>
            <w:tcBorders>
              <w:top w:val="nil"/>
              <w:left w:val="nil"/>
              <w:bottom w:val="nil"/>
              <w:right w:val="nil"/>
            </w:tcBorders>
            <w:shd w:val="clear" w:color="auto" w:fill="auto"/>
            <w:noWrap/>
            <w:vAlign w:val="bottom"/>
            <w:hideMark/>
          </w:tcPr>
          <w:p w14:paraId="77BE25E5"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901" w:type="dxa"/>
            <w:tcBorders>
              <w:top w:val="nil"/>
              <w:left w:val="nil"/>
              <w:bottom w:val="nil"/>
              <w:right w:val="nil"/>
            </w:tcBorders>
            <w:shd w:val="clear" w:color="auto" w:fill="auto"/>
            <w:noWrap/>
            <w:vAlign w:val="bottom"/>
            <w:hideMark/>
          </w:tcPr>
          <w:p w14:paraId="54C0CA5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900" w:type="dxa"/>
            <w:tcBorders>
              <w:top w:val="nil"/>
              <w:left w:val="nil"/>
              <w:bottom w:val="nil"/>
              <w:right w:val="nil"/>
            </w:tcBorders>
            <w:shd w:val="clear" w:color="auto" w:fill="auto"/>
            <w:noWrap/>
            <w:vAlign w:val="bottom"/>
            <w:hideMark/>
          </w:tcPr>
          <w:p w14:paraId="031F37A9"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998" w:type="dxa"/>
            <w:tcBorders>
              <w:top w:val="nil"/>
              <w:left w:val="nil"/>
              <w:bottom w:val="nil"/>
              <w:right w:val="nil"/>
            </w:tcBorders>
            <w:shd w:val="clear" w:color="auto" w:fill="auto"/>
            <w:noWrap/>
            <w:vAlign w:val="bottom"/>
            <w:hideMark/>
          </w:tcPr>
          <w:p w14:paraId="5FA70FE1"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r>
      <w:tr w:rsidR="006A75F2" w:rsidRPr="006A75F2" w14:paraId="20B7123F" w14:textId="77777777" w:rsidTr="006A75F2">
        <w:trPr>
          <w:trHeight w:val="290"/>
        </w:trPr>
        <w:tc>
          <w:tcPr>
            <w:tcW w:w="1841" w:type="dxa"/>
            <w:tcBorders>
              <w:top w:val="single" w:sz="4" w:space="0" w:color="auto"/>
              <w:left w:val="nil"/>
              <w:bottom w:val="nil"/>
              <w:right w:val="nil"/>
            </w:tcBorders>
            <w:shd w:val="clear" w:color="auto" w:fill="auto"/>
            <w:noWrap/>
            <w:vAlign w:val="bottom"/>
            <w:hideMark/>
          </w:tcPr>
          <w:p w14:paraId="0A271886" w14:textId="77777777" w:rsidR="006A75F2" w:rsidRPr="001512AC" w:rsidRDefault="006A75F2" w:rsidP="006A75F2">
            <w:pPr>
              <w:spacing w:after="0" w:line="240" w:lineRule="auto"/>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Age</w:t>
            </w:r>
          </w:p>
        </w:tc>
        <w:tc>
          <w:tcPr>
            <w:tcW w:w="933" w:type="dxa"/>
            <w:tcBorders>
              <w:top w:val="single" w:sz="4" w:space="0" w:color="auto"/>
              <w:left w:val="nil"/>
              <w:bottom w:val="nil"/>
              <w:right w:val="nil"/>
            </w:tcBorders>
            <w:shd w:val="clear" w:color="auto" w:fill="auto"/>
            <w:noWrap/>
            <w:vAlign w:val="bottom"/>
            <w:hideMark/>
          </w:tcPr>
          <w:p w14:paraId="18E48B2C"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933" w:type="dxa"/>
            <w:tcBorders>
              <w:top w:val="single" w:sz="4" w:space="0" w:color="auto"/>
              <w:left w:val="nil"/>
              <w:bottom w:val="nil"/>
              <w:right w:val="nil"/>
            </w:tcBorders>
            <w:shd w:val="clear" w:color="auto" w:fill="auto"/>
            <w:noWrap/>
            <w:vAlign w:val="bottom"/>
            <w:hideMark/>
          </w:tcPr>
          <w:p w14:paraId="12BBDD32"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457" w:type="dxa"/>
            <w:tcBorders>
              <w:top w:val="single" w:sz="4" w:space="0" w:color="auto"/>
              <w:left w:val="nil"/>
              <w:bottom w:val="nil"/>
              <w:right w:val="nil"/>
            </w:tcBorders>
            <w:shd w:val="clear" w:color="auto" w:fill="auto"/>
            <w:noWrap/>
            <w:vAlign w:val="bottom"/>
            <w:hideMark/>
          </w:tcPr>
          <w:p w14:paraId="4C218235"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803" w:type="dxa"/>
            <w:tcBorders>
              <w:top w:val="single" w:sz="4" w:space="0" w:color="auto"/>
              <w:left w:val="nil"/>
              <w:bottom w:val="nil"/>
              <w:right w:val="nil"/>
            </w:tcBorders>
            <w:shd w:val="clear" w:color="auto" w:fill="auto"/>
            <w:noWrap/>
            <w:vAlign w:val="bottom"/>
            <w:hideMark/>
          </w:tcPr>
          <w:p w14:paraId="3C8D0A30"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803" w:type="dxa"/>
            <w:tcBorders>
              <w:top w:val="single" w:sz="4" w:space="0" w:color="auto"/>
              <w:left w:val="nil"/>
              <w:bottom w:val="nil"/>
              <w:right w:val="nil"/>
            </w:tcBorders>
            <w:shd w:val="clear" w:color="auto" w:fill="auto"/>
            <w:noWrap/>
            <w:vAlign w:val="bottom"/>
            <w:hideMark/>
          </w:tcPr>
          <w:p w14:paraId="09CCB29A"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457" w:type="dxa"/>
            <w:tcBorders>
              <w:top w:val="single" w:sz="4" w:space="0" w:color="auto"/>
              <w:left w:val="nil"/>
              <w:bottom w:val="nil"/>
              <w:right w:val="nil"/>
            </w:tcBorders>
            <w:shd w:val="clear" w:color="auto" w:fill="auto"/>
            <w:noWrap/>
            <w:vAlign w:val="bottom"/>
            <w:hideMark/>
          </w:tcPr>
          <w:p w14:paraId="0CEC6549"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901" w:type="dxa"/>
            <w:tcBorders>
              <w:top w:val="single" w:sz="4" w:space="0" w:color="auto"/>
              <w:left w:val="nil"/>
              <w:bottom w:val="nil"/>
              <w:right w:val="nil"/>
            </w:tcBorders>
            <w:shd w:val="clear" w:color="auto" w:fill="auto"/>
            <w:noWrap/>
            <w:vAlign w:val="bottom"/>
            <w:hideMark/>
          </w:tcPr>
          <w:p w14:paraId="63F662DB"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900" w:type="dxa"/>
            <w:tcBorders>
              <w:top w:val="single" w:sz="4" w:space="0" w:color="auto"/>
              <w:left w:val="nil"/>
              <w:bottom w:val="nil"/>
              <w:right w:val="nil"/>
            </w:tcBorders>
            <w:shd w:val="clear" w:color="auto" w:fill="auto"/>
            <w:noWrap/>
            <w:vAlign w:val="bottom"/>
            <w:hideMark/>
          </w:tcPr>
          <w:p w14:paraId="7E3B5461"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998" w:type="dxa"/>
            <w:tcBorders>
              <w:top w:val="single" w:sz="4" w:space="0" w:color="auto"/>
              <w:left w:val="nil"/>
              <w:bottom w:val="nil"/>
              <w:right w:val="nil"/>
            </w:tcBorders>
            <w:shd w:val="clear" w:color="auto" w:fill="auto"/>
            <w:noWrap/>
            <w:vAlign w:val="bottom"/>
            <w:hideMark/>
          </w:tcPr>
          <w:p w14:paraId="452111DD"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r>
      <w:tr w:rsidR="006A75F2" w:rsidRPr="006A75F2" w14:paraId="14EE5CA9" w14:textId="77777777" w:rsidTr="006A75F2">
        <w:trPr>
          <w:trHeight w:val="290"/>
        </w:trPr>
        <w:tc>
          <w:tcPr>
            <w:tcW w:w="1841" w:type="dxa"/>
            <w:tcBorders>
              <w:top w:val="nil"/>
              <w:left w:val="nil"/>
              <w:bottom w:val="nil"/>
              <w:right w:val="nil"/>
            </w:tcBorders>
            <w:shd w:val="clear" w:color="auto" w:fill="auto"/>
            <w:noWrap/>
            <w:vAlign w:val="bottom"/>
            <w:hideMark/>
          </w:tcPr>
          <w:p w14:paraId="2A43AEE3" w14:textId="77777777" w:rsidR="006A75F2" w:rsidRPr="006A75F2" w:rsidRDefault="006A75F2" w:rsidP="006A75F2">
            <w:pPr>
              <w:spacing w:after="0" w:line="240" w:lineRule="auto"/>
              <w:ind w:firstLineChars="200" w:firstLine="360"/>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16-29</w:t>
            </w:r>
          </w:p>
        </w:tc>
        <w:tc>
          <w:tcPr>
            <w:tcW w:w="933" w:type="dxa"/>
            <w:tcBorders>
              <w:top w:val="nil"/>
              <w:left w:val="nil"/>
              <w:bottom w:val="nil"/>
              <w:right w:val="nil"/>
            </w:tcBorders>
            <w:shd w:val="clear" w:color="auto" w:fill="auto"/>
            <w:noWrap/>
            <w:vAlign w:val="bottom"/>
            <w:hideMark/>
          </w:tcPr>
          <w:p w14:paraId="0199168E"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13.1</w:t>
            </w:r>
          </w:p>
        </w:tc>
        <w:tc>
          <w:tcPr>
            <w:tcW w:w="933" w:type="dxa"/>
            <w:tcBorders>
              <w:top w:val="nil"/>
              <w:left w:val="nil"/>
              <w:bottom w:val="nil"/>
              <w:right w:val="nil"/>
            </w:tcBorders>
            <w:shd w:val="clear" w:color="auto" w:fill="auto"/>
            <w:noWrap/>
            <w:vAlign w:val="bottom"/>
            <w:hideMark/>
          </w:tcPr>
          <w:p w14:paraId="69030220"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17.7</w:t>
            </w:r>
          </w:p>
        </w:tc>
        <w:tc>
          <w:tcPr>
            <w:tcW w:w="457" w:type="dxa"/>
            <w:tcBorders>
              <w:top w:val="nil"/>
              <w:left w:val="nil"/>
              <w:bottom w:val="nil"/>
              <w:right w:val="nil"/>
            </w:tcBorders>
            <w:shd w:val="clear" w:color="auto" w:fill="auto"/>
            <w:noWrap/>
            <w:vAlign w:val="bottom"/>
            <w:hideMark/>
          </w:tcPr>
          <w:p w14:paraId="33757CD7"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803" w:type="dxa"/>
            <w:tcBorders>
              <w:top w:val="nil"/>
              <w:left w:val="nil"/>
              <w:bottom w:val="nil"/>
              <w:right w:val="nil"/>
            </w:tcBorders>
            <w:shd w:val="clear" w:color="auto" w:fill="auto"/>
            <w:noWrap/>
            <w:vAlign w:val="bottom"/>
            <w:hideMark/>
          </w:tcPr>
          <w:p w14:paraId="3D4302AC"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16.3</w:t>
            </w:r>
          </w:p>
        </w:tc>
        <w:tc>
          <w:tcPr>
            <w:tcW w:w="803" w:type="dxa"/>
            <w:tcBorders>
              <w:top w:val="nil"/>
              <w:left w:val="nil"/>
              <w:bottom w:val="nil"/>
              <w:right w:val="nil"/>
            </w:tcBorders>
            <w:shd w:val="clear" w:color="auto" w:fill="auto"/>
            <w:noWrap/>
            <w:vAlign w:val="bottom"/>
            <w:hideMark/>
          </w:tcPr>
          <w:p w14:paraId="4ECA4DA9"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17.2</w:t>
            </w:r>
          </w:p>
        </w:tc>
        <w:tc>
          <w:tcPr>
            <w:tcW w:w="457" w:type="dxa"/>
            <w:tcBorders>
              <w:top w:val="nil"/>
              <w:left w:val="nil"/>
              <w:bottom w:val="nil"/>
              <w:right w:val="nil"/>
            </w:tcBorders>
            <w:shd w:val="clear" w:color="auto" w:fill="auto"/>
            <w:noWrap/>
            <w:vAlign w:val="bottom"/>
            <w:hideMark/>
          </w:tcPr>
          <w:p w14:paraId="421229AE"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901" w:type="dxa"/>
            <w:tcBorders>
              <w:top w:val="nil"/>
              <w:left w:val="nil"/>
              <w:bottom w:val="nil"/>
              <w:right w:val="nil"/>
            </w:tcBorders>
            <w:shd w:val="clear" w:color="auto" w:fill="auto"/>
            <w:noWrap/>
            <w:vAlign w:val="bottom"/>
            <w:hideMark/>
          </w:tcPr>
          <w:p w14:paraId="4DD5D785"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8.0</w:t>
            </w:r>
          </w:p>
        </w:tc>
        <w:tc>
          <w:tcPr>
            <w:tcW w:w="900" w:type="dxa"/>
            <w:tcBorders>
              <w:top w:val="nil"/>
              <w:left w:val="nil"/>
              <w:bottom w:val="nil"/>
              <w:right w:val="nil"/>
            </w:tcBorders>
            <w:shd w:val="clear" w:color="auto" w:fill="auto"/>
            <w:noWrap/>
            <w:vAlign w:val="bottom"/>
            <w:hideMark/>
          </w:tcPr>
          <w:p w14:paraId="1FB9E4F5"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15.0</w:t>
            </w:r>
          </w:p>
        </w:tc>
        <w:tc>
          <w:tcPr>
            <w:tcW w:w="998" w:type="dxa"/>
            <w:tcBorders>
              <w:top w:val="nil"/>
              <w:left w:val="nil"/>
              <w:bottom w:val="nil"/>
              <w:right w:val="nil"/>
            </w:tcBorders>
            <w:shd w:val="clear" w:color="auto" w:fill="auto"/>
            <w:noWrap/>
            <w:vAlign w:val="bottom"/>
            <w:hideMark/>
          </w:tcPr>
          <w:p w14:paraId="3991441A"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18.1</w:t>
            </w:r>
          </w:p>
        </w:tc>
      </w:tr>
      <w:tr w:rsidR="006A75F2" w:rsidRPr="006A75F2" w14:paraId="70F533D8" w14:textId="77777777" w:rsidTr="006A75F2">
        <w:trPr>
          <w:trHeight w:val="290"/>
        </w:trPr>
        <w:tc>
          <w:tcPr>
            <w:tcW w:w="1841" w:type="dxa"/>
            <w:tcBorders>
              <w:top w:val="nil"/>
              <w:left w:val="nil"/>
              <w:bottom w:val="nil"/>
              <w:right w:val="nil"/>
            </w:tcBorders>
            <w:shd w:val="clear" w:color="auto" w:fill="auto"/>
            <w:noWrap/>
            <w:vAlign w:val="bottom"/>
            <w:hideMark/>
          </w:tcPr>
          <w:p w14:paraId="17657040" w14:textId="77777777" w:rsidR="006A75F2" w:rsidRPr="006A75F2" w:rsidRDefault="006A75F2" w:rsidP="006A75F2">
            <w:pPr>
              <w:spacing w:after="0" w:line="240" w:lineRule="auto"/>
              <w:ind w:firstLineChars="200" w:firstLine="360"/>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30-49</w:t>
            </w:r>
          </w:p>
        </w:tc>
        <w:tc>
          <w:tcPr>
            <w:tcW w:w="933" w:type="dxa"/>
            <w:tcBorders>
              <w:top w:val="nil"/>
              <w:left w:val="nil"/>
              <w:bottom w:val="nil"/>
              <w:right w:val="nil"/>
            </w:tcBorders>
            <w:shd w:val="clear" w:color="auto" w:fill="auto"/>
            <w:noWrap/>
            <w:vAlign w:val="bottom"/>
            <w:hideMark/>
          </w:tcPr>
          <w:p w14:paraId="29900B3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20.0</w:t>
            </w:r>
          </w:p>
        </w:tc>
        <w:tc>
          <w:tcPr>
            <w:tcW w:w="933" w:type="dxa"/>
            <w:tcBorders>
              <w:top w:val="nil"/>
              <w:left w:val="nil"/>
              <w:bottom w:val="nil"/>
              <w:right w:val="nil"/>
            </w:tcBorders>
            <w:shd w:val="clear" w:color="auto" w:fill="auto"/>
            <w:noWrap/>
            <w:vAlign w:val="bottom"/>
            <w:hideMark/>
          </w:tcPr>
          <w:p w14:paraId="160AE6CB"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29.9</w:t>
            </w:r>
          </w:p>
        </w:tc>
        <w:tc>
          <w:tcPr>
            <w:tcW w:w="457" w:type="dxa"/>
            <w:tcBorders>
              <w:top w:val="nil"/>
              <w:left w:val="nil"/>
              <w:bottom w:val="nil"/>
              <w:right w:val="nil"/>
            </w:tcBorders>
            <w:shd w:val="clear" w:color="auto" w:fill="auto"/>
            <w:noWrap/>
            <w:vAlign w:val="bottom"/>
            <w:hideMark/>
          </w:tcPr>
          <w:p w14:paraId="3B44BADC"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803" w:type="dxa"/>
            <w:tcBorders>
              <w:top w:val="nil"/>
              <w:left w:val="nil"/>
              <w:bottom w:val="nil"/>
              <w:right w:val="nil"/>
            </w:tcBorders>
            <w:shd w:val="clear" w:color="auto" w:fill="auto"/>
            <w:noWrap/>
            <w:vAlign w:val="bottom"/>
            <w:hideMark/>
          </w:tcPr>
          <w:p w14:paraId="56C15DD7"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16.4</w:t>
            </w:r>
          </w:p>
        </w:tc>
        <w:tc>
          <w:tcPr>
            <w:tcW w:w="803" w:type="dxa"/>
            <w:tcBorders>
              <w:top w:val="nil"/>
              <w:left w:val="nil"/>
              <w:bottom w:val="nil"/>
              <w:right w:val="nil"/>
            </w:tcBorders>
            <w:shd w:val="clear" w:color="auto" w:fill="auto"/>
            <w:noWrap/>
            <w:vAlign w:val="bottom"/>
            <w:hideMark/>
          </w:tcPr>
          <w:p w14:paraId="5339EBBA"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31.0</w:t>
            </w:r>
          </w:p>
        </w:tc>
        <w:tc>
          <w:tcPr>
            <w:tcW w:w="457" w:type="dxa"/>
            <w:tcBorders>
              <w:top w:val="nil"/>
              <w:left w:val="nil"/>
              <w:bottom w:val="nil"/>
              <w:right w:val="nil"/>
            </w:tcBorders>
            <w:shd w:val="clear" w:color="auto" w:fill="auto"/>
            <w:noWrap/>
            <w:vAlign w:val="bottom"/>
            <w:hideMark/>
          </w:tcPr>
          <w:p w14:paraId="70152A9D"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901" w:type="dxa"/>
            <w:tcBorders>
              <w:top w:val="nil"/>
              <w:left w:val="nil"/>
              <w:bottom w:val="nil"/>
              <w:right w:val="nil"/>
            </w:tcBorders>
            <w:shd w:val="clear" w:color="auto" w:fill="auto"/>
            <w:noWrap/>
            <w:vAlign w:val="bottom"/>
            <w:hideMark/>
          </w:tcPr>
          <w:p w14:paraId="7710C663"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20.0</w:t>
            </w:r>
          </w:p>
        </w:tc>
        <w:tc>
          <w:tcPr>
            <w:tcW w:w="900" w:type="dxa"/>
            <w:tcBorders>
              <w:top w:val="nil"/>
              <w:left w:val="nil"/>
              <w:bottom w:val="nil"/>
              <w:right w:val="nil"/>
            </w:tcBorders>
            <w:shd w:val="clear" w:color="auto" w:fill="auto"/>
            <w:noWrap/>
            <w:vAlign w:val="bottom"/>
            <w:hideMark/>
          </w:tcPr>
          <w:p w14:paraId="5997BFD2"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22.9</w:t>
            </w:r>
          </w:p>
        </w:tc>
        <w:tc>
          <w:tcPr>
            <w:tcW w:w="998" w:type="dxa"/>
            <w:tcBorders>
              <w:top w:val="nil"/>
              <w:left w:val="nil"/>
              <w:bottom w:val="nil"/>
              <w:right w:val="nil"/>
            </w:tcBorders>
            <w:shd w:val="clear" w:color="auto" w:fill="auto"/>
            <w:noWrap/>
            <w:vAlign w:val="bottom"/>
            <w:hideMark/>
          </w:tcPr>
          <w:p w14:paraId="2DA6BEDF"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30.1</w:t>
            </w:r>
          </w:p>
        </w:tc>
      </w:tr>
      <w:tr w:rsidR="006A75F2" w:rsidRPr="006A75F2" w14:paraId="7D49EC25" w14:textId="77777777" w:rsidTr="006A75F2">
        <w:trPr>
          <w:trHeight w:val="290"/>
        </w:trPr>
        <w:tc>
          <w:tcPr>
            <w:tcW w:w="1841" w:type="dxa"/>
            <w:tcBorders>
              <w:top w:val="nil"/>
              <w:left w:val="nil"/>
              <w:bottom w:val="nil"/>
              <w:right w:val="nil"/>
            </w:tcBorders>
            <w:shd w:val="clear" w:color="auto" w:fill="auto"/>
            <w:noWrap/>
            <w:vAlign w:val="bottom"/>
            <w:hideMark/>
          </w:tcPr>
          <w:p w14:paraId="09D2E693" w14:textId="77777777" w:rsidR="006A75F2" w:rsidRPr="006A75F2" w:rsidRDefault="006A75F2" w:rsidP="006A75F2">
            <w:pPr>
              <w:spacing w:after="0" w:line="240" w:lineRule="auto"/>
              <w:ind w:firstLineChars="200" w:firstLine="360"/>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50-64</w:t>
            </w:r>
          </w:p>
        </w:tc>
        <w:tc>
          <w:tcPr>
            <w:tcW w:w="933" w:type="dxa"/>
            <w:tcBorders>
              <w:top w:val="nil"/>
              <w:left w:val="nil"/>
              <w:bottom w:val="nil"/>
              <w:right w:val="nil"/>
            </w:tcBorders>
            <w:shd w:val="clear" w:color="auto" w:fill="auto"/>
            <w:noWrap/>
            <w:vAlign w:val="bottom"/>
            <w:hideMark/>
          </w:tcPr>
          <w:p w14:paraId="7AE447AD"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25.0</w:t>
            </w:r>
          </w:p>
        </w:tc>
        <w:tc>
          <w:tcPr>
            <w:tcW w:w="933" w:type="dxa"/>
            <w:tcBorders>
              <w:top w:val="nil"/>
              <w:left w:val="nil"/>
              <w:bottom w:val="nil"/>
              <w:right w:val="nil"/>
            </w:tcBorders>
            <w:shd w:val="clear" w:color="auto" w:fill="auto"/>
            <w:noWrap/>
            <w:vAlign w:val="bottom"/>
            <w:hideMark/>
          </w:tcPr>
          <w:p w14:paraId="229EB37B"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28.7</w:t>
            </w:r>
          </w:p>
        </w:tc>
        <w:tc>
          <w:tcPr>
            <w:tcW w:w="457" w:type="dxa"/>
            <w:tcBorders>
              <w:top w:val="nil"/>
              <w:left w:val="nil"/>
              <w:bottom w:val="nil"/>
              <w:right w:val="nil"/>
            </w:tcBorders>
            <w:shd w:val="clear" w:color="auto" w:fill="auto"/>
            <w:noWrap/>
            <w:vAlign w:val="bottom"/>
            <w:hideMark/>
          </w:tcPr>
          <w:p w14:paraId="3D58446F"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803" w:type="dxa"/>
            <w:tcBorders>
              <w:top w:val="nil"/>
              <w:left w:val="nil"/>
              <w:bottom w:val="nil"/>
              <w:right w:val="nil"/>
            </w:tcBorders>
            <w:shd w:val="clear" w:color="auto" w:fill="auto"/>
            <w:noWrap/>
            <w:vAlign w:val="bottom"/>
            <w:hideMark/>
          </w:tcPr>
          <w:p w14:paraId="7E462C7D"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23.8</w:t>
            </w:r>
          </w:p>
        </w:tc>
        <w:tc>
          <w:tcPr>
            <w:tcW w:w="803" w:type="dxa"/>
            <w:tcBorders>
              <w:top w:val="nil"/>
              <w:left w:val="nil"/>
              <w:bottom w:val="nil"/>
              <w:right w:val="nil"/>
            </w:tcBorders>
            <w:shd w:val="clear" w:color="auto" w:fill="auto"/>
            <w:noWrap/>
            <w:vAlign w:val="bottom"/>
            <w:hideMark/>
          </w:tcPr>
          <w:p w14:paraId="6525B344"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28.7</w:t>
            </w:r>
          </w:p>
        </w:tc>
        <w:tc>
          <w:tcPr>
            <w:tcW w:w="457" w:type="dxa"/>
            <w:tcBorders>
              <w:top w:val="nil"/>
              <w:left w:val="nil"/>
              <w:bottom w:val="nil"/>
              <w:right w:val="nil"/>
            </w:tcBorders>
            <w:shd w:val="clear" w:color="auto" w:fill="auto"/>
            <w:noWrap/>
            <w:vAlign w:val="bottom"/>
            <w:hideMark/>
          </w:tcPr>
          <w:p w14:paraId="725B1B48"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901" w:type="dxa"/>
            <w:tcBorders>
              <w:top w:val="nil"/>
              <w:left w:val="nil"/>
              <w:bottom w:val="nil"/>
              <w:right w:val="nil"/>
            </w:tcBorders>
            <w:shd w:val="clear" w:color="auto" w:fill="auto"/>
            <w:noWrap/>
            <w:vAlign w:val="bottom"/>
            <w:hideMark/>
          </w:tcPr>
          <w:p w14:paraId="2C32825B"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21.9</w:t>
            </w:r>
          </w:p>
        </w:tc>
        <w:tc>
          <w:tcPr>
            <w:tcW w:w="900" w:type="dxa"/>
            <w:tcBorders>
              <w:top w:val="nil"/>
              <w:left w:val="nil"/>
              <w:bottom w:val="nil"/>
              <w:right w:val="nil"/>
            </w:tcBorders>
            <w:shd w:val="clear" w:color="auto" w:fill="auto"/>
            <w:noWrap/>
            <w:vAlign w:val="bottom"/>
            <w:hideMark/>
          </w:tcPr>
          <w:p w14:paraId="28BFB7CC"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22.6</w:t>
            </w:r>
          </w:p>
        </w:tc>
        <w:tc>
          <w:tcPr>
            <w:tcW w:w="998" w:type="dxa"/>
            <w:tcBorders>
              <w:top w:val="nil"/>
              <w:left w:val="nil"/>
              <w:bottom w:val="nil"/>
              <w:right w:val="nil"/>
            </w:tcBorders>
            <w:shd w:val="clear" w:color="auto" w:fill="auto"/>
            <w:noWrap/>
            <w:vAlign w:val="bottom"/>
            <w:hideMark/>
          </w:tcPr>
          <w:p w14:paraId="5DFAE5AC"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28.9</w:t>
            </w:r>
          </w:p>
        </w:tc>
      </w:tr>
      <w:tr w:rsidR="006A75F2" w:rsidRPr="006A75F2" w14:paraId="37A447FE" w14:textId="77777777" w:rsidTr="006A75F2">
        <w:trPr>
          <w:trHeight w:val="290"/>
        </w:trPr>
        <w:tc>
          <w:tcPr>
            <w:tcW w:w="1841" w:type="dxa"/>
            <w:tcBorders>
              <w:top w:val="nil"/>
              <w:left w:val="nil"/>
              <w:bottom w:val="nil"/>
              <w:right w:val="nil"/>
            </w:tcBorders>
            <w:shd w:val="clear" w:color="auto" w:fill="auto"/>
            <w:noWrap/>
            <w:vAlign w:val="bottom"/>
            <w:hideMark/>
          </w:tcPr>
          <w:p w14:paraId="17F54087" w14:textId="77777777" w:rsidR="006A75F2" w:rsidRPr="006A75F2" w:rsidRDefault="006A75F2" w:rsidP="006A75F2">
            <w:pPr>
              <w:spacing w:after="0" w:line="240" w:lineRule="auto"/>
              <w:ind w:firstLineChars="200" w:firstLine="360"/>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65 and older</w:t>
            </w:r>
          </w:p>
        </w:tc>
        <w:tc>
          <w:tcPr>
            <w:tcW w:w="933" w:type="dxa"/>
            <w:tcBorders>
              <w:top w:val="nil"/>
              <w:left w:val="nil"/>
              <w:bottom w:val="nil"/>
              <w:right w:val="nil"/>
            </w:tcBorders>
            <w:shd w:val="clear" w:color="auto" w:fill="auto"/>
            <w:noWrap/>
            <w:vAlign w:val="bottom"/>
            <w:hideMark/>
          </w:tcPr>
          <w:p w14:paraId="36B942E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41.9</w:t>
            </w:r>
          </w:p>
        </w:tc>
        <w:tc>
          <w:tcPr>
            <w:tcW w:w="933" w:type="dxa"/>
            <w:tcBorders>
              <w:top w:val="nil"/>
              <w:left w:val="nil"/>
              <w:bottom w:val="nil"/>
              <w:right w:val="nil"/>
            </w:tcBorders>
            <w:shd w:val="clear" w:color="auto" w:fill="auto"/>
            <w:noWrap/>
            <w:vAlign w:val="bottom"/>
            <w:hideMark/>
          </w:tcPr>
          <w:p w14:paraId="7C4852CF"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23.7</w:t>
            </w:r>
          </w:p>
        </w:tc>
        <w:tc>
          <w:tcPr>
            <w:tcW w:w="457" w:type="dxa"/>
            <w:tcBorders>
              <w:top w:val="nil"/>
              <w:left w:val="nil"/>
              <w:bottom w:val="nil"/>
              <w:right w:val="nil"/>
            </w:tcBorders>
            <w:shd w:val="clear" w:color="auto" w:fill="auto"/>
            <w:noWrap/>
            <w:vAlign w:val="bottom"/>
            <w:hideMark/>
          </w:tcPr>
          <w:p w14:paraId="7D9DC68E"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803" w:type="dxa"/>
            <w:tcBorders>
              <w:top w:val="nil"/>
              <w:left w:val="nil"/>
              <w:bottom w:val="nil"/>
              <w:right w:val="nil"/>
            </w:tcBorders>
            <w:shd w:val="clear" w:color="auto" w:fill="auto"/>
            <w:noWrap/>
            <w:vAlign w:val="bottom"/>
            <w:hideMark/>
          </w:tcPr>
          <w:p w14:paraId="28D7436D"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43.5</w:t>
            </w:r>
          </w:p>
        </w:tc>
        <w:tc>
          <w:tcPr>
            <w:tcW w:w="803" w:type="dxa"/>
            <w:tcBorders>
              <w:top w:val="nil"/>
              <w:left w:val="nil"/>
              <w:bottom w:val="nil"/>
              <w:right w:val="nil"/>
            </w:tcBorders>
            <w:shd w:val="clear" w:color="auto" w:fill="auto"/>
            <w:noWrap/>
            <w:vAlign w:val="bottom"/>
            <w:hideMark/>
          </w:tcPr>
          <w:p w14:paraId="65428097"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23.1</w:t>
            </w:r>
          </w:p>
        </w:tc>
        <w:tc>
          <w:tcPr>
            <w:tcW w:w="457" w:type="dxa"/>
            <w:tcBorders>
              <w:top w:val="nil"/>
              <w:left w:val="nil"/>
              <w:bottom w:val="nil"/>
              <w:right w:val="nil"/>
            </w:tcBorders>
            <w:shd w:val="clear" w:color="auto" w:fill="auto"/>
            <w:noWrap/>
            <w:vAlign w:val="bottom"/>
            <w:hideMark/>
          </w:tcPr>
          <w:p w14:paraId="434C1272"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901" w:type="dxa"/>
            <w:tcBorders>
              <w:top w:val="nil"/>
              <w:left w:val="nil"/>
              <w:bottom w:val="nil"/>
              <w:right w:val="nil"/>
            </w:tcBorders>
            <w:shd w:val="clear" w:color="auto" w:fill="auto"/>
            <w:noWrap/>
            <w:vAlign w:val="bottom"/>
            <w:hideMark/>
          </w:tcPr>
          <w:p w14:paraId="586C8757"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50.0</w:t>
            </w:r>
          </w:p>
        </w:tc>
        <w:tc>
          <w:tcPr>
            <w:tcW w:w="900" w:type="dxa"/>
            <w:tcBorders>
              <w:top w:val="nil"/>
              <w:left w:val="nil"/>
              <w:bottom w:val="nil"/>
              <w:right w:val="nil"/>
            </w:tcBorders>
            <w:shd w:val="clear" w:color="auto" w:fill="auto"/>
            <w:noWrap/>
            <w:vAlign w:val="bottom"/>
            <w:hideMark/>
          </w:tcPr>
          <w:p w14:paraId="5690EBF9"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39.5</w:t>
            </w:r>
          </w:p>
        </w:tc>
        <w:tc>
          <w:tcPr>
            <w:tcW w:w="998" w:type="dxa"/>
            <w:tcBorders>
              <w:top w:val="nil"/>
              <w:left w:val="nil"/>
              <w:bottom w:val="nil"/>
              <w:right w:val="nil"/>
            </w:tcBorders>
            <w:shd w:val="clear" w:color="auto" w:fill="auto"/>
            <w:noWrap/>
            <w:vAlign w:val="bottom"/>
            <w:hideMark/>
          </w:tcPr>
          <w:p w14:paraId="10B9815B"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22.9</w:t>
            </w:r>
          </w:p>
        </w:tc>
      </w:tr>
      <w:tr w:rsidR="006A75F2" w:rsidRPr="006A75F2" w14:paraId="3C0E3CEE" w14:textId="77777777" w:rsidTr="006A75F2">
        <w:trPr>
          <w:trHeight w:val="290"/>
        </w:trPr>
        <w:tc>
          <w:tcPr>
            <w:tcW w:w="1841" w:type="dxa"/>
            <w:tcBorders>
              <w:top w:val="nil"/>
              <w:left w:val="nil"/>
              <w:bottom w:val="nil"/>
              <w:right w:val="nil"/>
            </w:tcBorders>
            <w:shd w:val="clear" w:color="auto" w:fill="auto"/>
            <w:noWrap/>
            <w:vAlign w:val="bottom"/>
            <w:hideMark/>
          </w:tcPr>
          <w:p w14:paraId="346A9D23" w14:textId="77777777" w:rsidR="006A75F2" w:rsidRPr="006A75F2" w:rsidRDefault="006A75F2" w:rsidP="006A75F2">
            <w:pPr>
              <w:spacing w:after="0" w:line="240" w:lineRule="auto"/>
              <w:ind w:firstLineChars="200" w:firstLine="360"/>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Total</w:t>
            </w:r>
          </w:p>
        </w:tc>
        <w:tc>
          <w:tcPr>
            <w:tcW w:w="933" w:type="dxa"/>
            <w:tcBorders>
              <w:top w:val="nil"/>
              <w:left w:val="nil"/>
              <w:bottom w:val="nil"/>
              <w:right w:val="nil"/>
            </w:tcBorders>
            <w:shd w:val="clear" w:color="auto" w:fill="auto"/>
            <w:noWrap/>
            <w:vAlign w:val="bottom"/>
            <w:hideMark/>
          </w:tcPr>
          <w:p w14:paraId="791B1497"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933" w:type="dxa"/>
            <w:tcBorders>
              <w:top w:val="nil"/>
              <w:left w:val="nil"/>
              <w:bottom w:val="nil"/>
              <w:right w:val="nil"/>
            </w:tcBorders>
            <w:shd w:val="clear" w:color="auto" w:fill="auto"/>
            <w:noWrap/>
            <w:vAlign w:val="bottom"/>
            <w:hideMark/>
          </w:tcPr>
          <w:p w14:paraId="1EF1CCA2"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457" w:type="dxa"/>
            <w:tcBorders>
              <w:top w:val="nil"/>
              <w:left w:val="nil"/>
              <w:bottom w:val="nil"/>
              <w:right w:val="nil"/>
            </w:tcBorders>
            <w:shd w:val="clear" w:color="auto" w:fill="auto"/>
            <w:noWrap/>
            <w:vAlign w:val="bottom"/>
            <w:hideMark/>
          </w:tcPr>
          <w:p w14:paraId="3D442C5B"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803" w:type="dxa"/>
            <w:tcBorders>
              <w:top w:val="nil"/>
              <w:left w:val="nil"/>
              <w:bottom w:val="nil"/>
              <w:right w:val="nil"/>
            </w:tcBorders>
            <w:shd w:val="clear" w:color="auto" w:fill="auto"/>
            <w:noWrap/>
            <w:vAlign w:val="bottom"/>
            <w:hideMark/>
          </w:tcPr>
          <w:p w14:paraId="7B66802A"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803" w:type="dxa"/>
            <w:tcBorders>
              <w:top w:val="nil"/>
              <w:left w:val="nil"/>
              <w:bottom w:val="nil"/>
              <w:right w:val="nil"/>
            </w:tcBorders>
            <w:shd w:val="clear" w:color="auto" w:fill="auto"/>
            <w:noWrap/>
            <w:vAlign w:val="bottom"/>
            <w:hideMark/>
          </w:tcPr>
          <w:p w14:paraId="264FB4AF"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457" w:type="dxa"/>
            <w:tcBorders>
              <w:top w:val="nil"/>
              <w:left w:val="nil"/>
              <w:bottom w:val="nil"/>
              <w:right w:val="nil"/>
            </w:tcBorders>
            <w:shd w:val="clear" w:color="auto" w:fill="auto"/>
            <w:noWrap/>
            <w:vAlign w:val="bottom"/>
            <w:hideMark/>
          </w:tcPr>
          <w:p w14:paraId="5AD366ED"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901" w:type="dxa"/>
            <w:tcBorders>
              <w:top w:val="nil"/>
              <w:left w:val="nil"/>
              <w:bottom w:val="nil"/>
              <w:right w:val="nil"/>
            </w:tcBorders>
            <w:shd w:val="clear" w:color="auto" w:fill="auto"/>
            <w:noWrap/>
            <w:vAlign w:val="bottom"/>
            <w:hideMark/>
          </w:tcPr>
          <w:p w14:paraId="7B208BA1"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900" w:type="dxa"/>
            <w:tcBorders>
              <w:top w:val="nil"/>
              <w:left w:val="nil"/>
              <w:bottom w:val="nil"/>
              <w:right w:val="nil"/>
            </w:tcBorders>
            <w:shd w:val="clear" w:color="auto" w:fill="auto"/>
            <w:noWrap/>
            <w:vAlign w:val="bottom"/>
            <w:hideMark/>
          </w:tcPr>
          <w:p w14:paraId="2A999128"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998" w:type="dxa"/>
            <w:tcBorders>
              <w:top w:val="nil"/>
              <w:left w:val="nil"/>
              <w:bottom w:val="nil"/>
              <w:right w:val="nil"/>
            </w:tcBorders>
            <w:shd w:val="clear" w:color="auto" w:fill="auto"/>
            <w:noWrap/>
            <w:vAlign w:val="bottom"/>
            <w:hideMark/>
          </w:tcPr>
          <w:p w14:paraId="60627423"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r>
      <w:tr w:rsidR="006A75F2" w:rsidRPr="006A75F2" w14:paraId="5751F454" w14:textId="77777777" w:rsidTr="006A75F2">
        <w:trPr>
          <w:trHeight w:val="290"/>
        </w:trPr>
        <w:tc>
          <w:tcPr>
            <w:tcW w:w="1841" w:type="dxa"/>
            <w:tcBorders>
              <w:top w:val="single" w:sz="4" w:space="0" w:color="auto"/>
              <w:left w:val="nil"/>
              <w:bottom w:val="nil"/>
              <w:right w:val="nil"/>
            </w:tcBorders>
            <w:shd w:val="clear" w:color="auto" w:fill="auto"/>
            <w:noWrap/>
            <w:vAlign w:val="bottom"/>
            <w:hideMark/>
          </w:tcPr>
          <w:p w14:paraId="0944449D" w14:textId="77777777" w:rsidR="006A75F2" w:rsidRPr="001512AC" w:rsidRDefault="006A75F2" w:rsidP="006A75F2">
            <w:pPr>
              <w:spacing w:after="0" w:line="240" w:lineRule="auto"/>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Ethnic background</w:t>
            </w:r>
          </w:p>
        </w:tc>
        <w:tc>
          <w:tcPr>
            <w:tcW w:w="933" w:type="dxa"/>
            <w:tcBorders>
              <w:top w:val="single" w:sz="4" w:space="0" w:color="auto"/>
              <w:left w:val="nil"/>
              <w:bottom w:val="nil"/>
              <w:right w:val="nil"/>
            </w:tcBorders>
            <w:shd w:val="clear" w:color="auto" w:fill="auto"/>
            <w:noWrap/>
            <w:vAlign w:val="bottom"/>
            <w:hideMark/>
          </w:tcPr>
          <w:p w14:paraId="1B08FFD2"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933" w:type="dxa"/>
            <w:tcBorders>
              <w:top w:val="single" w:sz="4" w:space="0" w:color="auto"/>
              <w:left w:val="nil"/>
              <w:bottom w:val="nil"/>
              <w:right w:val="nil"/>
            </w:tcBorders>
            <w:shd w:val="clear" w:color="auto" w:fill="auto"/>
            <w:noWrap/>
            <w:vAlign w:val="bottom"/>
            <w:hideMark/>
          </w:tcPr>
          <w:p w14:paraId="434AEB63"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457" w:type="dxa"/>
            <w:tcBorders>
              <w:top w:val="single" w:sz="4" w:space="0" w:color="auto"/>
              <w:left w:val="nil"/>
              <w:bottom w:val="nil"/>
              <w:right w:val="nil"/>
            </w:tcBorders>
            <w:shd w:val="clear" w:color="auto" w:fill="auto"/>
            <w:noWrap/>
            <w:vAlign w:val="bottom"/>
            <w:hideMark/>
          </w:tcPr>
          <w:p w14:paraId="2C351579"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803" w:type="dxa"/>
            <w:tcBorders>
              <w:top w:val="single" w:sz="4" w:space="0" w:color="auto"/>
              <w:left w:val="nil"/>
              <w:bottom w:val="nil"/>
              <w:right w:val="nil"/>
            </w:tcBorders>
            <w:shd w:val="clear" w:color="auto" w:fill="auto"/>
            <w:noWrap/>
            <w:vAlign w:val="bottom"/>
            <w:hideMark/>
          </w:tcPr>
          <w:p w14:paraId="0B859B00"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803" w:type="dxa"/>
            <w:tcBorders>
              <w:top w:val="single" w:sz="4" w:space="0" w:color="auto"/>
              <w:left w:val="nil"/>
              <w:bottom w:val="nil"/>
              <w:right w:val="nil"/>
            </w:tcBorders>
            <w:shd w:val="clear" w:color="auto" w:fill="auto"/>
            <w:noWrap/>
            <w:vAlign w:val="bottom"/>
            <w:hideMark/>
          </w:tcPr>
          <w:p w14:paraId="1F9812E3"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457" w:type="dxa"/>
            <w:tcBorders>
              <w:top w:val="single" w:sz="4" w:space="0" w:color="auto"/>
              <w:left w:val="nil"/>
              <w:bottom w:val="nil"/>
              <w:right w:val="nil"/>
            </w:tcBorders>
            <w:shd w:val="clear" w:color="auto" w:fill="auto"/>
            <w:noWrap/>
            <w:vAlign w:val="bottom"/>
            <w:hideMark/>
          </w:tcPr>
          <w:p w14:paraId="281957AC"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901" w:type="dxa"/>
            <w:tcBorders>
              <w:top w:val="single" w:sz="4" w:space="0" w:color="auto"/>
              <w:left w:val="nil"/>
              <w:bottom w:val="nil"/>
              <w:right w:val="nil"/>
            </w:tcBorders>
            <w:shd w:val="clear" w:color="auto" w:fill="auto"/>
            <w:noWrap/>
            <w:vAlign w:val="bottom"/>
            <w:hideMark/>
          </w:tcPr>
          <w:p w14:paraId="6F4526B7"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900" w:type="dxa"/>
            <w:tcBorders>
              <w:top w:val="single" w:sz="4" w:space="0" w:color="auto"/>
              <w:left w:val="nil"/>
              <w:bottom w:val="nil"/>
              <w:right w:val="nil"/>
            </w:tcBorders>
            <w:shd w:val="clear" w:color="auto" w:fill="auto"/>
            <w:noWrap/>
            <w:vAlign w:val="bottom"/>
            <w:hideMark/>
          </w:tcPr>
          <w:p w14:paraId="4AEB3463"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998" w:type="dxa"/>
            <w:tcBorders>
              <w:top w:val="single" w:sz="4" w:space="0" w:color="auto"/>
              <w:left w:val="nil"/>
              <w:bottom w:val="nil"/>
              <w:right w:val="nil"/>
            </w:tcBorders>
            <w:shd w:val="clear" w:color="auto" w:fill="auto"/>
            <w:noWrap/>
            <w:vAlign w:val="bottom"/>
            <w:hideMark/>
          </w:tcPr>
          <w:p w14:paraId="3C45A82F"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r>
      <w:tr w:rsidR="006A75F2" w:rsidRPr="006A75F2" w14:paraId="3CE2447D" w14:textId="77777777" w:rsidTr="006A75F2">
        <w:trPr>
          <w:trHeight w:val="290"/>
        </w:trPr>
        <w:tc>
          <w:tcPr>
            <w:tcW w:w="1841" w:type="dxa"/>
            <w:tcBorders>
              <w:top w:val="nil"/>
              <w:left w:val="nil"/>
              <w:bottom w:val="nil"/>
              <w:right w:val="nil"/>
            </w:tcBorders>
            <w:shd w:val="clear" w:color="auto" w:fill="auto"/>
            <w:noWrap/>
            <w:vAlign w:val="bottom"/>
            <w:hideMark/>
          </w:tcPr>
          <w:p w14:paraId="7E1731DF" w14:textId="77777777" w:rsidR="006A75F2" w:rsidRPr="006A75F2" w:rsidRDefault="006A75F2" w:rsidP="006A75F2">
            <w:pPr>
              <w:spacing w:after="0" w:line="240" w:lineRule="auto"/>
              <w:ind w:firstLineChars="200" w:firstLine="360"/>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White</w:t>
            </w:r>
          </w:p>
        </w:tc>
        <w:tc>
          <w:tcPr>
            <w:tcW w:w="933" w:type="dxa"/>
            <w:tcBorders>
              <w:top w:val="nil"/>
              <w:left w:val="nil"/>
              <w:bottom w:val="nil"/>
              <w:right w:val="nil"/>
            </w:tcBorders>
            <w:shd w:val="clear" w:color="auto" w:fill="auto"/>
            <w:noWrap/>
            <w:vAlign w:val="bottom"/>
            <w:hideMark/>
          </w:tcPr>
          <w:p w14:paraId="5AE145C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85.9</w:t>
            </w:r>
          </w:p>
        </w:tc>
        <w:tc>
          <w:tcPr>
            <w:tcW w:w="933" w:type="dxa"/>
            <w:tcBorders>
              <w:top w:val="nil"/>
              <w:left w:val="nil"/>
              <w:bottom w:val="nil"/>
              <w:right w:val="nil"/>
            </w:tcBorders>
            <w:shd w:val="clear" w:color="auto" w:fill="auto"/>
            <w:noWrap/>
            <w:vAlign w:val="bottom"/>
            <w:hideMark/>
          </w:tcPr>
          <w:p w14:paraId="0F3EB03F"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89.4</w:t>
            </w:r>
          </w:p>
        </w:tc>
        <w:tc>
          <w:tcPr>
            <w:tcW w:w="457" w:type="dxa"/>
            <w:tcBorders>
              <w:top w:val="nil"/>
              <w:left w:val="nil"/>
              <w:bottom w:val="nil"/>
              <w:right w:val="nil"/>
            </w:tcBorders>
            <w:shd w:val="clear" w:color="auto" w:fill="auto"/>
            <w:noWrap/>
            <w:vAlign w:val="bottom"/>
            <w:hideMark/>
          </w:tcPr>
          <w:p w14:paraId="72FC2944"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803" w:type="dxa"/>
            <w:tcBorders>
              <w:top w:val="nil"/>
              <w:left w:val="nil"/>
              <w:bottom w:val="nil"/>
              <w:right w:val="nil"/>
            </w:tcBorders>
            <w:shd w:val="clear" w:color="auto" w:fill="auto"/>
            <w:noWrap/>
            <w:vAlign w:val="bottom"/>
            <w:hideMark/>
          </w:tcPr>
          <w:p w14:paraId="4EC80160"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87.9</w:t>
            </w:r>
          </w:p>
        </w:tc>
        <w:tc>
          <w:tcPr>
            <w:tcW w:w="803" w:type="dxa"/>
            <w:tcBorders>
              <w:top w:val="nil"/>
              <w:left w:val="nil"/>
              <w:bottom w:val="nil"/>
              <w:right w:val="nil"/>
            </w:tcBorders>
            <w:shd w:val="clear" w:color="auto" w:fill="auto"/>
            <w:noWrap/>
            <w:vAlign w:val="bottom"/>
            <w:hideMark/>
          </w:tcPr>
          <w:p w14:paraId="69E99A7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89.6</w:t>
            </w:r>
          </w:p>
        </w:tc>
        <w:tc>
          <w:tcPr>
            <w:tcW w:w="457" w:type="dxa"/>
            <w:tcBorders>
              <w:top w:val="nil"/>
              <w:left w:val="nil"/>
              <w:bottom w:val="nil"/>
              <w:right w:val="nil"/>
            </w:tcBorders>
            <w:shd w:val="clear" w:color="auto" w:fill="auto"/>
            <w:noWrap/>
            <w:vAlign w:val="bottom"/>
            <w:hideMark/>
          </w:tcPr>
          <w:p w14:paraId="41D791DC"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901" w:type="dxa"/>
            <w:tcBorders>
              <w:top w:val="nil"/>
              <w:left w:val="nil"/>
              <w:bottom w:val="nil"/>
              <w:right w:val="nil"/>
            </w:tcBorders>
            <w:shd w:val="clear" w:color="auto" w:fill="auto"/>
            <w:noWrap/>
            <w:vAlign w:val="bottom"/>
            <w:hideMark/>
          </w:tcPr>
          <w:p w14:paraId="06037B78"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93.5</w:t>
            </w:r>
          </w:p>
        </w:tc>
        <w:tc>
          <w:tcPr>
            <w:tcW w:w="900" w:type="dxa"/>
            <w:tcBorders>
              <w:top w:val="nil"/>
              <w:left w:val="nil"/>
              <w:bottom w:val="nil"/>
              <w:right w:val="nil"/>
            </w:tcBorders>
            <w:shd w:val="clear" w:color="auto" w:fill="auto"/>
            <w:noWrap/>
            <w:vAlign w:val="bottom"/>
            <w:hideMark/>
          </w:tcPr>
          <w:p w14:paraId="4EA45634"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77.0</w:t>
            </w:r>
          </w:p>
        </w:tc>
        <w:tc>
          <w:tcPr>
            <w:tcW w:w="998" w:type="dxa"/>
            <w:tcBorders>
              <w:top w:val="nil"/>
              <w:left w:val="nil"/>
              <w:bottom w:val="nil"/>
              <w:right w:val="nil"/>
            </w:tcBorders>
            <w:shd w:val="clear" w:color="auto" w:fill="auto"/>
            <w:noWrap/>
            <w:vAlign w:val="bottom"/>
            <w:hideMark/>
          </w:tcPr>
          <w:p w14:paraId="118BD7CB"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81.6</w:t>
            </w:r>
          </w:p>
        </w:tc>
      </w:tr>
      <w:tr w:rsidR="006A75F2" w:rsidRPr="006A75F2" w14:paraId="5A5CFD42" w14:textId="77777777" w:rsidTr="006A75F2">
        <w:trPr>
          <w:trHeight w:val="290"/>
        </w:trPr>
        <w:tc>
          <w:tcPr>
            <w:tcW w:w="1841" w:type="dxa"/>
            <w:tcBorders>
              <w:top w:val="nil"/>
              <w:left w:val="nil"/>
              <w:bottom w:val="nil"/>
              <w:right w:val="nil"/>
            </w:tcBorders>
            <w:shd w:val="clear" w:color="auto" w:fill="auto"/>
            <w:noWrap/>
            <w:vAlign w:val="bottom"/>
            <w:hideMark/>
          </w:tcPr>
          <w:p w14:paraId="4F6A3CA9" w14:textId="77777777" w:rsidR="006A75F2" w:rsidRPr="006A75F2" w:rsidRDefault="006A75F2" w:rsidP="006A75F2">
            <w:pPr>
              <w:spacing w:after="0" w:line="240" w:lineRule="auto"/>
              <w:ind w:firstLineChars="200" w:firstLine="360"/>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Black</w:t>
            </w:r>
          </w:p>
        </w:tc>
        <w:tc>
          <w:tcPr>
            <w:tcW w:w="933" w:type="dxa"/>
            <w:tcBorders>
              <w:top w:val="nil"/>
              <w:left w:val="nil"/>
              <w:bottom w:val="nil"/>
              <w:right w:val="nil"/>
            </w:tcBorders>
            <w:shd w:val="clear" w:color="auto" w:fill="auto"/>
            <w:noWrap/>
            <w:vAlign w:val="bottom"/>
            <w:hideMark/>
          </w:tcPr>
          <w:p w14:paraId="39A603A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5.2</w:t>
            </w:r>
          </w:p>
        </w:tc>
        <w:tc>
          <w:tcPr>
            <w:tcW w:w="933" w:type="dxa"/>
            <w:tcBorders>
              <w:top w:val="nil"/>
              <w:left w:val="nil"/>
              <w:bottom w:val="nil"/>
              <w:right w:val="nil"/>
            </w:tcBorders>
            <w:shd w:val="clear" w:color="auto" w:fill="auto"/>
            <w:noWrap/>
            <w:vAlign w:val="bottom"/>
            <w:hideMark/>
          </w:tcPr>
          <w:p w14:paraId="30E6D27E"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1.6</w:t>
            </w:r>
          </w:p>
        </w:tc>
        <w:tc>
          <w:tcPr>
            <w:tcW w:w="457" w:type="dxa"/>
            <w:tcBorders>
              <w:top w:val="nil"/>
              <w:left w:val="nil"/>
              <w:bottom w:val="nil"/>
              <w:right w:val="nil"/>
            </w:tcBorders>
            <w:shd w:val="clear" w:color="auto" w:fill="auto"/>
            <w:noWrap/>
            <w:vAlign w:val="bottom"/>
            <w:hideMark/>
          </w:tcPr>
          <w:p w14:paraId="222607CA"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803" w:type="dxa"/>
            <w:tcBorders>
              <w:top w:val="nil"/>
              <w:left w:val="nil"/>
              <w:bottom w:val="nil"/>
              <w:right w:val="nil"/>
            </w:tcBorders>
            <w:shd w:val="clear" w:color="auto" w:fill="auto"/>
            <w:noWrap/>
            <w:vAlign w:val="bottom"/>
            <w:hideMark/>
          </w:tcPr>
          <w:p w14:paraId="280585F5"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4.0</w:t>
            </w:r>
          </w:p>
        </w:tc>
        <w:tc>
          <w:tcPr>
            <w:tcW w:w="803" w:type="dxa"/>
            <w:tcBorders>
              <w:top w:val="nil"/>
              <w:left w:val="nil"/>
              <w:bottom w:val="nil"/>
              <w:right w:val="nil"/>
            </w:tcBorders>
            <w:shd w:val="clear" w:color="auto" w:fill="auto"/>
            <w:noWrap/>
            <w:vAlign w:val="bottom"/>
            <w:hideMark/>
          </w:tcPr>
          <w:p w14:paraId="76F0DCF8"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1.4</w:t>
            </w:r>
          </w:p>
        </w:tc>
        <w:tc>
          <w:tcPr>
            <w:tcW w:w="457" w:type="dxa"/>
            <w:tcBorders>
              <w:top w:val="nil"/>
              <w:left w:val="nil"/>
              <w:bottom w:val="nil"/>
              <w:right w:val="nil"/>
            </w:tcBorders>
            <w:shd w:val="clear" w:color="auto" w:fill="auto"/>
            <w:noWrap/>
            <w:vAlign w:val="bottom"/>
            <w:hideMark/>
          </w:tcPr>
          <w:p w14:paraId="115A158D"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901" w:type="dxa"/>
            <w:tcBorders>
              <w:top w:val="nil"/>
              <w:left w:val="nil"/>
              <w:bottom w:val="nil"/>
              <w:right w:val="nil"/>
            </w:tcBorders>
            <w:shd w:val="clear" w:color="auto" w:fill="auto"/>
            <w:noWrap/>
            <w:vAlign w:val="bottom"/>
            <w:hideMark/>
          </w:tcPr>
          <w:p w14:paraId="47F974A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3.1</w:t>
            </w:r>
          </w:p>
        </w:tc>
        <w:tc>
          <w:tcPr>
            <w:tcW w:w="900" w:type="dxa"/>
            <w:tcBorders>
              <w:top w:val="nil"/>
              <w:left w:val="nil"/>
              <w:bottom w:val="nil"/>
              <w:right w:val="nil"/>
            </w:tcBorders>
            <w:shd w:val="clear" w:color="auto" w:fill="auto"/>
            <w:noWrap/>
            <w:vAlign w:val="bottom"/>
            <w:hideMark/>
          </w:tcPr>
          <w:p w14:paraId="47FCE782"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7.2</w:t>
            </w:r>
          </w:p>
        </w:tc>
        <w:tc>
          <w:tcPr>
            <w:tcW w:w="998" w:type="dxa"/>
            <w:tcBorders>
              <w:top w:val="nil"/>
              <w:left w:val="nil"/>
              <w:bottom w:val="nil"/>
              <w:right w:val="nil"/>
            </w:tcBorders>
            <w:shd w:val="clear" w:color="auto" w:fill="auto"/>
            <w:noWrap/>
            <w:vAlign w:val="bottom"/>
            <w:hideMark/>
          </w:tcPr>
          <w:p w14:paraId="4C4A52F2"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3.0</w:t>
            </w:r>
          </w:p>
        </w:tc>
      </w:tr>
      <w:tr w:rsidR="006A75F2" w:rsidRPr="006A75F2" w14:paraId="4FA58E38" w14:textId="77777777" w:rsidTr="006A75F2">
        <w:trPr>
          <w:trHeight w:val="290"/>
        </w:trPr>
        <w:tc>
          <w:tcPr>
            <w:tcW w:w="1841" w:type="dxa"/>
            <w:tcBorders>
              <w:top w:val="nil"/>
              <w:left w:val="nil"/>
              <w:bottom w:val="nil"/>
              <w:right w:val="nil"/>
            </w:tcBorders>
            <w:shd w:val="clear" w:color="auto" w:fill="auto"/>
            <w:noWrap/>
            <w:vAlign w:val="bottom"/>
            <w:hideMark/>
          </w:tcPr>
          <w:p w14:paraId="3C6CA3AB" w14:textId="77777777" w:rsidR="006A75F2" w:rsidRPr="006A75F2" w:rsidRDefault="006A75F2" w:rsidP="006A75F2">
            <w:pPr>
              <w:spacing w:after="0" w:line="240" w:lineRule="auto"/>
              <w:ind w:firstLineChars="200" w:firstLine="360"/>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Asian</w:t>
            </w:r>
          </w:p>
        </w:tc>
        <w:tc>
          <w:tcPr>
            <w:tcW w:w="933" w:type="dxa"/>
            <w:tcBorders>
              <w:top w:val="nil"/>
              <w:left w:val="nil"/>
              <w:bottom w:val="nil"/>
              <w:right w:val="nil"/>
            </w:tcBorders>
            <w:shd w:val="clear" w:color="auto" w:fill="auto"/>
            <w:noWrap/>
            <w:vAlign w:val="bottom"/>
            <w:hideMark/>
          </w:tcPr>
          <w:p w14:paraId="2ECFB708"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6.3</w:t>
            </w:r>
          </w:p>
        </w:tc>
        <w:tc>
          <w:tcPr>
            <w:tcW w:w="933" w:type="dxa"/>
            <w:tcBorders>
              <w:top w:val="nil"/>
              <w:left w:val="nil"/>
              <w:bottom w:val="nil"/>
              <w:right w:val="nil"/>
            </w:tcBorders>
            <w:shd w:val="clear" w:color="auto" w:fill="auto"/>
            <w:noWrap/>
            <w:vAlign w:val="bottom"/>
            <w:hideMark/>
          </w:tcPr>
          <w:p w14:paraId="71AD7490"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7.0</w:t>
            </w:r>
          </w:p>
        </w:tc>
        <w:tc>
          <w:tcPr>
            <w:tcW w:w="457" w:type="dxa"/>
            <w:tcBorders>
              <w:top w:val="nil"/>
              <w:left w:val="nil"/>
              <w:bottom w:val="nil"/>
              <w:right w:val="nil"/>
            </w:tcBorders>
            <w:shd w:val="clear" w:color="auto" w:fill="auto"/>
            <w:noWrap/>
            <w:vAlign w:val="bottom"/>
            <w:hideMark/>
          </w:tcPr>
          <w:p w14:paraId="265D9D2B"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803" w:type="dxa"/>
            <w:tcBorders>
              <w:top w:val="nil"/>
              <w:left w:val="nil"/>
              <w:bottom w:val="nil"/>
              <w:right w:val="nil"/>
            </w:tcBorders>
            <w:shd w:val="clear" w:color="auto" w:fill="auto"/>
            <w:noWrap/>
            <w:vAlign w:val="bottom"/>
            <w:hideMark/>
          </w:tcPr>
          <w:p w14:paraId="706340FA"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5.6</w:t>
            </w:r>
          </w:p>
        </w:tc>
        <w:tc>
          <w:tcPr>
            <w:tcW w:w="803" w:type="dxa"/>
            <w:tcBorders>
              <w:top w:val="nil"/>
              <w:left w:val="nil"/>
              <w:bottom w:val="nil"/>
              <w:right w:val="nil"/>
            </w:tcBorders>
            <w:shd w:val="clear" w:color="auto" w:fill="auto"/>
            <w:noWrap/>
            <w:vAlign w:val="bottom"/>
            <w:hideMark/>
          </w:tcPr>
          <w:p w14:paraId="2AC0A62A"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7.0</w:t>
            </w:r>
          </w:p>
        </w:tc>
        <w:tc>
          <w:tcPr>
            <w:tcW w:w="457" w:type="dxa"/>
            <w:tcBorders>
              <w:top w:val="nil"/>
              <w:left w:val="nil"/>
              <w:bottom w:val="nil"/>
              <w:right w:val="nil"/>
            </w:tcBorders>
            <w:shd w:val="clear" w:color="auto" w:fill="auto"/>
            <w:noWrap/>
            <w:vAlign w:val="bottom"/>
            <w:hideMark/>
          </w:tcPr>
          <w:p w14:paraId="3BB3701A"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901" w:type="dxa"/>
            <w:tcBorders>
              <w:top w:val="nil"/>
              <w:left w:val="nil"/>
              <w:bottom w:val="nil"/>
              <w:right w:val="nil"/>
            </w:tcBorders>
            <w:shd w:val="clear" w:color="auto" w:fill="auto"/>
            <w:noWrap/>
            <w:vAlign w:val="bottom"/>
            <w:hideMark/>
          </w:tcPr>
          <w:p w14:paraId="6DE05CED"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1.9</w:t>
            </w:r>
          </w:p>
        </w:tc>
        <w:tc>
          <w:tcPr>
            <w:tcW w:w="900" w:type="dxa"/>
            <w:tcBorders>
              <w:top w:val="nil"/>
              <w:left w:val="nil"/>
              <w:bottom w:val="nil"/>
              <w:right w:val="nil"/>
            </w:tcBorders>
            <w:shd w:val="clear" w:color="auto" w:fill="auto"/>
            <w:noWrap/>
            <w:vAlign w:val="bottom"/>
            <w:hideMark/>
          </w:tcPr>
          <w:p w14:paraId="5359D4E0"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12.8</w:t>
            </w:r>
          </w:p>
        </w:tc>
        <w:tc>
          <w:tcPr>
            <w:tcW w:w="998" w:type="dxa"/>
            <w:tcBorders>
              <w:top w:val="nil"/>
              <w:left w:val="nil"/>
              <w:bottom w:val="nil"/>
              <w:right w:val="nil"/>
            </w:tcBorders>
            <w:shd w:val="clear" w:color="auto" w:fill="auto"/>
            <w:noWrap/>
            <w:vAlign w:val="bottom"/>
            <w:hideMark/>
          </w:tcPr>
          <w:p w14:paraId="38487B0E"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12.2</w:t>
            </w:r>
          </w:p>
        </w:tc>
      </w:tr>
      <w:tr w:rsidR="006A75F2" w:rsidRPr="006A75F2" w14:paraId="107AB72B" w14:textId="77777777" w:rsidTr="006A75F2">
        <w:trPr>
          <w:trHeight w:val="290"/>
        </w:trPr>
        <w:tc>
          <w:tcPr>
            <w:tcW w:w="1841" w:type="dxa"/>
            <w:tcBorders>
              <w:top w:val="nil"/>
              <w:left w:val="nil"/>
              <w:bottom w:val="nil"/>
              <w:right w:val="nil"/>
            </w:tcBorders>
            <w:shd w:val="clear" w:color="auto" w:fill="auto"/>
            <w:noWrap/>
            <w:vAlign w:val="bottom"/>
            <w:hideMark/>
          </w:tcPr>
          <w:p w14:paraId="1D4DD4C9" w14:textId="699696CC" w:rsidR="006A75F2" w:rsidRPr="006A75F2" w:rsidRDefault="006A75F2" w:rsidP="006A75F2">
            <w:pPr>
              <w:spacing w:after="0" w:line="240" w:lineRule="auto"/>
              <w:ind w:firstLineChars="200" w:firstLine="360"/>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xml:space="preserve">Mixed </w:t>
            </w:r>
            <w:r>
              <w:rPr>
                <w:rFonts w:ascii="Times New Roman" w:eastAsia="Times New Roman" w:hAnsi="Times New Roman" w:cs="Times New Roman"/>
                <w:sz w:val="18"/>
                <w:szCs w:val="18"/>
                <w:lang w:val="en-GB" w:eastAsia="en-GB"/>
              </w:rPr>
              <w:t>and</w:t>
            </w:r>
            <w:r w:rsidRPr="006A75F2">
              <w:rPr>
                <w:rFonts w:ascii="Times New Roman" w:eastAsia="Times New Roman" w:hAnsi="Times New Roman" w:cs="Times New Roman"/>
                <w:sz w:val="18"/>
                <w:szCs w:val="18"/>
                <w:lang w:val="en-GB" w:eastAsia="en-GB"/>
              </w:rPr>
              <w:t xml:space="preserve"> other</w:t>
            </w:r>
          </w:p>
        </w:tc>
        <w:tc>
          <w:tcPr>
            <w:tcW w:w="933" w:type="dxa"/>
            <w:tcBorders>
              <w:top w:val="nil"/>
              <w:left w:val="nil"/>
              <w:bottom w:val="nil"/>
              <w:right w:val="nil"/>
            </w:tcBorders>
            <w:shd w:val="clear" w:color="auto" w:fill="auto"/>
            <w:noWrap/>
            <w:vAlign w:val="bottom"/>
            <w:hideMark/>
          </w:tcPr>
          <w:p w14:paraId="4DE8DFB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2.6</w:t>
            </w:r>
          </w:p>
        </w:tc>
        <w:tc>
          <w:tcPr>
            <w:tcW w:w="933" w:type="dxa"/>
            <w:tcBorders>
              <w:top w:val="nil"/>
              <w:left w:val="nil"/>
              <w:bottom w:val="nil"/>
              <w:right w:val="nil"/>
            </w:tcBorders>
            <w:shd w:val="clear" w:color="auto" w:fill="auto"/>
            <w:noWrap/>
            <w:vAlign w:val="bottom"/>
            <w:hideMark/>
          </w:tcPr>
          <w:p w14:paraId="79DB27E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2.0</w:t>
            </w:r>
          </w:p>
        </w:tc>
        <w:tc>
          <w:tcPr>
            <w:tcW w:w="457" w:type="dxa"/>
            <w:tcBorders>
              <w:top w:val="nil"/>
              <w:left w:val="nil"/>
              <w:bottom w:val="nil"/>
              <w:right w:val="nil"/>
            </w:tcBorders>
            <w:shd w:val="clear" w:color="auto" w:fill="auto"/>
            <w:noWrap/>
            <w:vAlign w:val="bottom"/>
            <w:hideMark/>
          </w:tcPr>
          <w:p w14:paraId="67969A23"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803" w:type="dxa"/>
            <w:tcBorders>
              <w:top w:val="nil"/>
              <w:left w:val="nil"/>
              <w:bottom w:val="nil"/>
              <w:right w:val="nil"/>
            </w:tcBorders>
            <w:shd w:val="clear" w:color="auto" w:fill="auto"/>
            <w:noWrap/>
            <w:vAlign w:val="bottom"/>
            <w:hideMark/>
          </w:tcPr>
          <w:p w14:paraId="17A42D0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2.4</w:t>
            </w:r>
          </w:p>
        </w:tc>
        <w:tc>
          <w:tcPr>
            <w:tcW w:w="803" w:type="dxa"/>
            <w:tcBorders>
              <w:top w:val="nil"/>
              <w:left w:val="nil"/>
              <w:bottom w:val="nil"/>
              <w:right w:val="nil"/>
            </w:tcBorders>
            <w:shd w:val="clear" w:color="auto" w:fill="auto"/>
            <w:noWrap/>
            <w:vAlign w:val="bottom"/>
            <w:hideMark/>
          </w:tcPr>
          <w:p w14:paraId="105FFFC5"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2.0</w:t>
            </w:r>
          </w:p>
        </w:tc>
        <w:tc>
          <w:tcPr>
            <w:tcW w:w="457" w:type="dxa"/>
            <w:tcBorders>
              <w:top w:val="nil"/>
              <w:left w:val="nil"/>
              <w:bottom w:val="nil"/>
              <w:right w:val="nil"/>
            </w:tcBorders>
            <w:shd w:val="clear" w:color="auto" w:fill="auto"/>
            <w:noWrap/>
            <w:vAlign w:val="bottom"/>
            <w:hideMark/>
          </w:tcPr>
          <w:p w14:paraId="4DE3F212"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901" w:type="dxa"/>
            <w:tcBorders>
              <w:top w:val="nil"/>
              <w:left w:val="nil"/>
              <w:bottom w:val="nil"/>
              <w:right w:val="nil"/>
            </w:tcBorders>
            <w:shd w:val="clear" w:color="auto" w:fill="auto"/>
            <w:noWrap/>
            <w:vAlign w:val="bottom"/>
            <w:hideMark/>
          </w:tcPr>
          <w:p w14:paraId="3CCA7DA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1.5</w:t>
            </w:r>
          </w:p>
        </w:tc>
        <w:tc>
          <w:tcPr>
            <w:tcW w:w="900" w:type="dxa"/>
            <w:tcBorders>
              <w:top w:val="nil"/>
              <w:left w:val="nil"/>
              <w:bottom w:val="nil"/>
              <w:right w:val="nil"/>
            </w:tcBorders>
            <w:shd w:val="clear" w:color="auto" w:fill="auto"/>
            <w:noWrap/>
            <w:vAlign w:val="bottom"/>
            <w:hideMark/>
          </w:tcPr>
          <w:p w14:paraId="3F430C5E"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3.1</w:t>
            </w:r>
          </w:p>
        </w:tc>
        <w:tc>
          <w:tcPr>
            <w:tcW w:w="998" w:type="dxa"/>
            <w:tcBorders>
              <w:top w:val="nil"/>
              <w:left w:val="nil"/>
              <w:bottom w:val="nil"/>
              <w:right w:val="nil"/>
            </w:tcBorders>
            <w:shd w:val="clear" w:color="auto" w:fill="auto"/>
            <w:noWrap/>
            <w:vAlign w:val="bottom"/>
            <w:hideMark/>
          </w:tcPr>
          <w:p w14:paraId="0A3E3B6F"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3.2</w:t>
            </w:r>
          </w:p>
        </w:tc>
      </w:tr>
      <w:tr w:rsidR="006A75F2" w:rsidRPr="006A75F2" w14:paraId="3ED2C621" w14:textId="77777777" w:rsidTr="006A75F2">
        <w:trPr>
          <w:trHeight w:val="290"/>
        </w:trPr>
        <w:tc>
          <w:tcPr>
            <w:tcW w:w="1841" w:type="dxa"/>
            <w:tcBorders>
              <w:top w:val="nil"/>
              <w:left w:val="nil"/>
              <w:bottom w:val="nil"/>
              <w:right w:val="nil"/>
            </w:tcBorders>
            <w:shd w:val="clear" w:color="auto" w:fill="auto"/>
            <w:noWrap/>
            <w:vAlign w:val="bottom"/>
            <w:hideMark/>
          </w:tcPr>
          <w:p w14:paraId="4ED195AE" w14:textId="77777777" w:rsidR="006A75F2" w:rsidRPr="006A75F2" w:rsidRDefault="006A75F2" w:rsidP="006A75F2">
            <w:pPr>
              <w:spacing w:after="0" w:line="240" w:lineRule="auto"/>
              <w:ind w:firstLineChars="200" w:firstLine="360"/>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Total</w:t>
            </w:r>
          </w:p>
        </w:tc>
        <w:tc>
          <w:tcPr>
            <w:tcW w:w="933" w:type="dxa"/>
            <w:tcBorders>
              <w:top w:val="nil"/>
              <w:left w:val="nil"/>
              <w:bottom w:val="nil"/>
              <w:right w:val="nil"/>
            </w:tcBorders>
            <w:shd w:val="clear" w:color="auto" w:fill="auto"/>
            <w:noWrap/>
            <w:vAlign w:val="bottom"/>
            <w:hideMark/>
          </w:tcPr>
          <w:p w14:paraId="596822BB"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933" w:type="dxa"/>
            <w:tcBorders>
              <w:top w:val="nil"/>
              <w:left w:val="nil"/>
              <w:bottom w:val="nil"/>
              <w:right w:val="nil"/>
            </w:tcBorders>
            <w:shd w:val="clear" w:color="auto" w:fill="auto"/>
            <w:noWrap/>
            <w:vAlign w:val="bottom"/>
            <w:hideMark/>
          </w:tcPr>
          <w:p w14:paraId="0B0936B4"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457" w:type="dxa"/>
            <w:tcBorders>
              <w:top w:val="nil"/>
              <w:left w:val="nil"/>
              <w:bottom w:val="nil"/>
              <w:right w:val="nil"/>
            </w:tcBorders>
            <w:shd w:val="clear" w:color="auto" w:fill="auto"/>
            <w:noWrap/>
            <w:vAlign w:val="bottom"/>
            <w:hideMark/>
          </w:tcPr>
          <w:p w14:paraId="7B8457E7"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803" w:type="dxa"/>
            <w:tcBorders>
              <w:top w:val="nil"/>
              <w:left w:val="nil"/>
              <w:bottom w:val="nil"/>
              <w:right w:val="nil"/>
            </w:tcBorders>
            <w:shd w:val="clear" w:color="auto" w:fill="auto"/>
            <w:noWrap/>
            <w:vAlign w:val="bottom"/>
            <w:hideMark/>
          </w:tcPr>
          <w:p w14:paraId="1F2D21D2"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803" w:type="dxa"/>
            <w:tcBorders>
              <w:top w:val="nil"/>
              <w:left w:val="nil"/>
              <w:bottom w:val="nil"/>
              <w:right w:val="nil"/>
            </w:tcBorders>
            <w:shd w:val="clear" w:color="auto" w:fill="auto"/>
            <w:noWrap/>
            <w:vAlign w:val="bottom"/>
            <w:hideMark/>
          </w:tcPr>
          <w:p w14:paraId="21773428"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457" w:type="dxa"/>
            <w:tcBorders>
              <w:top w:val="nil"/>
              <w:left w:val="nil"/>
              <w:bottom w:val="nil"/>
              <w:right w:val="nil"/>
            </w:tcBorders>
            <w:shd w:val="clear" w:color="auto" w:fill="auto"/>
            <w:noWrap/>
            <w:vAlign w:val="bottom"/>
            <w:hideMark/>
          </w:tcPr>
          <w:p w14:paraId="7518A537"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p>
        </w:tc>
        <w:tc>
          <w:tcPr>
            <w:tcW w:w="901" w:type="dxa"/>
            <w:tcBorders>
              <w:top w:val="nil"/>
              <w:left w:val="nil"/>
              <w:bottom w:val="nil"/>
              <w:right w:val="nil"/>
            </w:tcBorders>
            <w:shd w:val="clear" w:color="auto" w:fill="auto"/>
            <w:noWrap/>
            <w:vAlign w:val="bottom"/>
            <w:hideMark/>
          </w:tcPr>
          <w:p w14:paraId="4D872225"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900" w:type="dxa"/>
            <w:tcBorders>
              <w:top w:val="nil"/>
              <w:left w:val="nil"/>
              <w:bottom w:val="nil"/>
              <w:right w:val="nil"/>
            </w:tcBorders>
            <w:shd w:val="clear" w:color="auto" w:fill="auto"/>
            <w:noWrap/>
            <w:vAlign w:val="bottom"/>
            <w:hideMark/>
          </w:tcPr>
          <w:p w14:paraId="5435C653"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c>
          <w:tcPr>
            <w:tcW w:w="998" w:type="dxa"/>
            <w:tcBorders>
              <w:top w:val="nil"/>
              <w:left w:val="nil"/>
              <w:bottom w:val="nil"/>
              <w:right w:val="nil"/>
            </w:tcBorders>
            <w:shd w:val="clear" w:color="auto" w:fill="auto"/>
            <w:noWrap/>
            <w:vAlign w:val="bottom"/>
            <w:hideMark/>
          </w:tcPr>
          <w:p w14:paraId="2E0632AC"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100.0</w:t>
            </w:r>
          </w:p>
        </w:tc>
      </w:tr>
      <w:tr w:rsidR="006A75F2" w:rsidRPr="006A75F2" w14:paraId="6E7186DC" w14:textId="77777777" w:rsidTr="006A75F2">
        <w:trPr>
          <w:trHeight w:val="290"/>
        </w:trPr>
        <w:tc>
          <w:tcPr>
            <w:tcW w:w="1841" w:type="dxa"/>
            <w:tcBorders>
              <w:top w:val="single" w:sz="4" w:space="0" w:color="auto"/>
              <w:left w:val="nil"/>
              <w:bottom w:val="single" w:sz="4" w:space="0" w:color="auto"/>
              <w:right w:val="nil"/>
            </w:tcBorders>
            <w:shd w:val="clear" w:color="auto" w:fill="auto"/>
            <w:noWrap/>
            <w:vAlign w:val="bottom"/>
            <w:hideMark/>
          </w:tcPr>
          <w:p w14:paraId="3707AB11" w14:textId="77777777" w:rsidR="006A75F2" w:rsidRPr="001512AC" w:rsidRDefault="006A75F2" w:rsidP="006A75F2">
            <w:pPr>
              <w:spacing w:after="0" w:line="240" w:lineRule="auto"/>
              <w:rPr>
                <w:rFonts w:ascii="Times New Roman" w:eastAsia="Times New Roman" w:hAnsi="Times New Roman" w:cs="Times New Roman"/>
                <w:b/>
                <w:bCs/>
                <w:sz w:val="18"/>
                <w:szCs w:val="18"/>
                <w:lang w:val="en-GB" w:eastAsia="en-GB"/>
              </w:rPr>
            </w:pPr>
            <w:r w:rsidRPr="001512AC">
              <w:rPr>
                <w:rFonts w:ascii="Times New Roman" w:eastAsia="Times New Roman" w:hAnsi="Times New Roman" w:cs="Times New Roman"/>
                <w:b/>
                <w:bCs/>
                <w:sz w:val="18"/>
                <w:szCs w:val="18"/>
                <w:lang w:val="en-GB" w:eastAsia="en-GB"/>
              </w:rPr>
              <w:t>n</w:t>
            </w:r>
          </w:p>
        </w:tc>
        <w:tc>
          <w:tcPr>
            <w:tcW w:w="933" w:type="dxa"/>
            <w:tcBorders>
              <w:top w:val="single" w:sz="4" w:space="0" w:color="auto"/>
              <w:left w:val="nil"/>
              <w:bottom w:val="single" w:sz="4" w:space="0" w:color="auto"/>
              <w:right w:val="nil"/>
            </w:tcBorders>
            <w:shd w:val="clear" w:color="auto" w:fill="auto"/>
            <w:noWrap/>
            <w:vAlign w:val="bottom"/>
            <w:hideMark/>
          </w:tcPr>
          <w:p w14:paraId="3C3A852A"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2,298</w:t>
            </w:r>
          </w:p>
        </w:tc>
        <w:tc>
          <w:tcPr>
            <w:tcW w:w="933" w:type="dxa"/>
            <w:tcBorders>
              <w:top w:val="single" w:sz="4" w:space="0" w:color="auto"/>
              <w:left w:val="nil"/>
              <w:bottom w:val="single" w:sz="4" w:space="0" w:color="auto"/>
              <w:right w:val="nil"/>
            </w:tcBorders>
            <w:shd w:val="clear" w:color="auto" w:fill="auto"/>
            <w:noWrap/>
            <w:vAlign w:val="bottom"/>
            <w:hideMark/>
          </w:tcPr>
          <w:p w14:paraId="2C137BDE"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2,838</w:t>
            </w:r>
          </w:p>
        </w:tc>
        <w:tc>
          <w:tcPr>
            <w:tcW w:w="457" w:type="dxa"/>
            <w:tcBorders>
              <w:top w:val="single" w:sz="4" w:space="0" w:color="auto"/>
              <w:left w:val="nil"/>
              <w:bottom w:val="single" w:sz="4" w:space="0" w:color="auto"/>
              <w:right w:val="nil"/>
            </w:tcBorders>
            <w:shd w:val="clear" w:color="auto" w:fill="auto"/>
            <w:noWrap/>
            <w:vAlign w:val="bottom"/>
            <w:hideMark/>
          </w:tcPr>
          <w:p w14:paraId="0283C4CD"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803" w:type="dxa"/>
            <w:tcBorders>
              <w:top w:val="single" w:sz="4" w:space="0" w:color="auto"/>
              <w:left w:val="nil"/>
              <w:bottom w:val="single" w:sz="4" w:space="0" w:color="auto"/>
              <w:right w:val="nil"/>
            </w:tcBorders>
            <w:shd w:val="clear" w:color="auto" w:fill="auto"/>
            <w:noWrap/>
            <w:vAlign w:val="bottom"/>
            <w:hideMark/>
          </w:tcPr>
          <w:p w14:paraId="14219516"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531</w:t>
            </w:r>
          </w:p>
        </w:tc>
        <w:tc>
          <w:tcPr>
            <w:tcW w:w="803" w:type="dxa"/>
            <w:tcBorders>
              <w:top w:val="single" w:sz="4" w:space="0" w:color="auto"/>
              <w:left w:val="nil"/>
              <w:bottom w:val="single" w:sz="4" w:space="0" w:color="auto"/>
              <w:right w:val="nil"/>
            </w:tcBorders>
            <w:shd w:val="clear" w:color="auto" w:fill="auto"/>
            <w:noWrap/>
            <w:vAlign w:val="bottom"/>
            <w:hideMark/>
          </w:tcPr>
          <w:p w14:paraId="676131B4"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2,442</w:t>
            </w:r>
          </w:p>
        </w:tc>
        <w:tc>
          <w:tcPr>
            <w:tcW w:w="457" w:type="dxa"/>
            <w:tcBorders>
              <w:top w:val="single" w:sz="4" w:space="0" w:color="auto"/>
              <w:left w:val="nil"/>
              <w:bottom w:val="single" w:sz="4" w:space="0" w:color="auto"/>
              <w:right w:val="nil"/>
            </w:tcBorders>
            <w:shd w:val="clear" w:color="auto" w:fill="auto"/>
            <w:noWrap/>
            <w:vAlign w:val="bottom"/>
            <w:hideMark/>
          </w:tcPr>
          <w:p w14:paraId="16BCA687"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 </w:t>
            </w:r>
          </w:p>
        </w:tc>
        <w:tc>
          <w:tcPr>
            <w:tcW w:w="901" w:type="dxa"/>
            <w:tcBorders>
              <w:top w:val="single" w:sz="4" w:space="0" w:color="auto"/>
              <w:left w:val="nil"/>
              <w:bottom w:val="single" w:sz="4" w:space="0" w:color="auto"/>
              <w:right w:val="nil"/>
            </w:tcBorders>
            <w:shd w:val="clear" w:color="auto" w:fill="auto"/>
            <w:noWrap/>
            <w:vAlign w:val="bottom"/>
            <w:hideMark/>
          </w:tcPr>
          <w:p w14:paraId="5E4D3E3E"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524</w:t>
            </w:r>
          </w:p>
        </w:tc>
        <w:tc>
          <w:tcPr>
            <w:tcW w:w="900" w:type="dxa"/>
            <w:tcBorders>
              <w:top w:val="single" w:sz="4" w:space="0" w:color="auto"/>
              <w:left w:val="nil"/>
              <w:bottom w:val="single" w:sz="4" w:space="0" w:color="auto"/>
              <w:right w:val="nil"/>
            </w:tcBorders>
            <w:shd w:val="clear" w:color="auto" w:fill="auto"/>
            <w:noWrap/>
            <w:vAlign w:val="bottom"/>
            <w:hideMark/>
          </w:tcPr>
          <w:p w14:paraId="5459A903" w14:textId="77777777" w:rsidR="006A75F2" w:rsidRPr="006A75F2" w:rsidRDefault="006A75F2" w:rsidP="006A75F2">
            <w:pPr>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3,033</w:t>
            </w:r>
          </w:p>
        </w:tc>
        <w:tc>
          <w:tcPr>
            <w:tcW w:w="998" w:type="dxa"/>
            <w:tcBorders>
              <w:top w:val="single" w:sz="4" w:space="0" w:color="auto"/>
              <w:left w:val="nil"/>
              <w:bottom w:val="single" w:sz="4" w:space="0" w:color="auto"/>
              <w:right w:val="nil"/>
            </w:tcBorders>
            <w:shd w:val="clear" w:color="auto" w:fill="auto"/>
            <w:noWrap/>
            <w:vAlign w:val="bottom"/>
            <w:hideMark/>
          </w:tcPr>
          <w:p w14:paraId="0EB5C5CA" w14:textId="77777777" w:rsidR="006A75F2" w:rsidRPr="006A75F2" w:rsidRDefault="006A75F2" w:rsidP="001512AC">
            <w:pPr>
              <w:keepNext/>
              <w:spacing w:after="0" w:line="240" w:lineRule="auto"/>
              <w:ind w:firstLineChars="100" w:firstLine="180"/>
              <w:jc w:val="right"/>
              <w:rPr>
                <w:rFonts w:ascii="Times New Roman" w:eastAsia="Times New Roman" w:hAnsi="Times New Roman" w:cs="Times New Roman"/>
                <w:sz w:val="18"/>
                <w:szCs w:val="18"/>
                <w:lang w:val="en-GB" w:eastAsia="en-GB"/>
              </w:rPr>
            </w:pPr>
            <w:r w:rsidRPr="006A75F2">
              <w:rPr>
                <w:rFonts w:ascii="Times New Roman" w:eastAsia="Times New Roman" w:hAnsi="Times New Roman" w:cs="Times New Roman"/>
                <w:sz w:val="18"/>
                <w:szCs w:val="18"/>
                <w:lang w:val="en-GB" w:eastAsia="en-GB"/>
              </w:rPr>
              <w:t>16,654</w:t>
            </w:r>
          </w:p>
        </w:tc>
      </w:tr>
    </w:tbl>
    <w:p w14:paraId="5A7FBB49" w14:textId="0741ADE0" w:rsidR="004B6EFB" w:rsidRDefault="00BC2EDB">
      <w:pPr>
        <w:spacing w:line="252" w:lineRule="auto"/>
        <w:rPr>
          <w:rFonts w:asciiTheme="majorHAnsi" w:eastAsiaTheme="majorEastAsia" w:hAnsiTheme="majorHAnsi" w:cstheme="majorBidi"/>
          <w:b/>
          <w:bCs/>
          <w:spacing w:val="4"/>
          <w:sz w:val="28"/>
          <w:szCs w:val="28"/>
          <w:lang w:val="en-GB"/>
        </w:rPr>
      </w:pPr>
      <w:r w:rsidRPr="001512AC">
        <w:rPr>
          <w:sz w:val="18"/>
          <w:szCs w:val="16"/>
          <w:lang w:val="en-GB"/>
        </w:rPr>
        <w:t>Note – Unweighted estimates.</w:t>
      </w:r>
      <w:r w:rsidR="004B6EFB">
        <w:rPr>
          <w:lang w:val="en-GB"/>
        </w:rPr>
        <w:br w:type="page"/>
      </w:r>
    </w:p>
    <w:p w14:paraId="1A468598" w14:textId="1FCC3D4C" w:rsidR="00322E7E" w:rsidRDefault="00322E7E" w:rsidP="00322E7E">
      <w:pPr>
        <w:pStyle w:val="Heading1"/>
        <w:rPr>
          <w:lang w:val="en-GB"/>
        </w:rPr>
      </w:pPr>
      <w:bookmarkStart w:id="12" w:name="_Toc183429653"/>
      <w:r>
        <w:rPr>
          <w:lang w:val="en-GB"/>
        </w:rPr>
        <w:lastRenderedPageBreak/>
        <w:t xml:space="preserve">Online Appendix </w:t>
      </w:r>
      <w:r w:rsidR="00563A0E">
        <w:rPr>
          <w:lang w:val="en-GB"/>
        </w:rPr>
        <w:t>G</w:t>
      </w:r>
      <w:r>
        <w:rPr>
          <w:lang w:val="en-GB"/>
        </w:rPr>
        <w:t>. COVID-19 effect on response rates and sample composition</w:t>
      </w:r>
      <w:bookmarkEnd w:id="12"/>
    </w:p>
    <w:p w14:paraId="1B069BCA" w14:textId="56E57552" w:rsidR="00597751" w:rsidRDefault="00322E7E" w:rsidP="0028175F">
      <w:pPr>
        <w:rPr>
          <w:lang w:val="en-GB"/>
        </w:rPr>
      </w:pPr>
      <w:r>
        <w:rPr>
          <w:lang w:val="en-GB"/>
        </w:rPr>
        <w:t xml:space="preserve">The fieldwork of each UKHLS wave extends over two years. The sample is randomly distributed into 24 monthly samples, issued to the field on the first week of each month. The fieldwork for each of these monthly samples lasts up to six months. </w:t>
      </w:r>
      <w:r w:rsidR="00597751">
        <w:rPr>
          <w:lang w:val="en-GB"/>
        </w:rPr>
        <w:t>The higher incentive experiment was embedded in the April to September monthly samples of the first year of wave 12</w:t>
      </w:r>
      <w:r w:rsidR="006E78A1">
        <w:rPr>
          <w:lang w:val="en-GB"/>
        </w:rPr>
        <w:t>, whose fieldwork period extended from April 2020 to January 2021.</w:t>
      </w:r>
    </w:p>
    <w:p w14:paraId="5FDDDD4A" w14:textId="330B9E82" w:rsidR="00723304" w:rsidRPr="00EA4755" w:rsidRDefault="00597751" w:rsidP="006E78A1">
      <w:pPr>
        <w:rPr>
          <w:lang w:val="en-GB"/>
        </w:rPr>
      </w:pPr>
      <w:r>
        <w:rPr>
          <w:lang w:val="en-GB"/>
        </w:rPr>
        <w:t>In March 2020,</w:t>
      </w:r>
      <w:r w:rsidR="00322E7E">
        <w:rPr>
          <w:lang w:val="en-GB"/>
        </w:rPr>
        <w:t xml:space="preserve"> after the outbreak of the COVID-19 pandemic in the United Kingdom</w:t>
      </w:r>
      <w:r>
        <w:rPr>
          <w:lang w:val="en-GB"/>
        </w:rPr>
        <w:t>,</w:t>
      </w:r>
      <w:r w:rsidR="00322E7E">
        <w:rPr>
          <w:lang w:val="en-GB"/>
        </w:rPr>
        <w:t xml:space="preserve"> </w:t>
      </w:r>
      <w:r w:rsidR="006777EA">
        <w:rPr>
          <w:lang w:val="en-GB"/>
        </w:rPr>
        <w:t xml:space="preserve">all </w:t>
      </w:r>
      <w:r w:rsidR="00322E7E">
        <w:rPr>
          <w:lang w:val="en-GB"/>
        </w:rPr>
        <w:t>face-to-face fieldwork</w:t>
      </w:r>
      <w:r>
        <w:rPr>
          <w:lang w:val="en-GB"/>
        </w:rPr>
        <w:t xml:space="preserve"> was suspended</w:t>
      </w:r>
      <w:r w:rsidR="00322E7E">
        <w:rPr>
          <w:lang w:val="en-GB"/>
        </w:rPr>
        <w:t>.</w:t>
      </w:r>
      <w:r w:rsidR="00056955">
        <w:rPr>
          <w:lang w:val="en-GB"/>
        </w:rPr>
        <w:t xml:space="preserve"> </w:t>
      </w:r>
      <w:r w:rsidR="006E78A1">
        <w:rPr>
          <w:i/>
          <w:iCs/>
          <w:lang w:val="en-GB"/>
        </w:rPr>
        <w:t>Understanding Society</w:t>
      </w:r>
      <w:r w:rsidR="006E78A1">
        <w:rPr>
          <w:lang w:val="en-GB"/>
        </w:rPr>
        <w:t xml:space="preserve"> moved to a</w:t>
      </w:r>
      <w:r w:rsidR="00056955">
        <w:rPr>
          <w:lang w:val="en-GB"/>
        </w:rPr>
        <w:t xml:space="preserve"> sequential mixed-mode design</w:t>
      </w:r>
      <w:r w:rsidR="00934320">
        <w:rPr>
          <w:lang w:val="en-GB"/>
        </w:rPr>
        <w:t xml:space="preserve"> that combines web-first and a telephone follow-up for the web non-respondents </w:t>
      </w:r>
      <w:r w:rsidR="00934320">
        <w:rPr>
          <w:lang w:val="en-GB"/>
        </w:rPr>
        <w:fldChar w:fldCharType="begin"/>
      </w:r>
      <w:r w:rsidR="00934320">
        <w:rPr>
          <w:lang w:val="en-GB"/>
        </w:rPr>
        <w:instrText xml:space="preserve"> ADDIN ZOTERO_ITEM CSL_CITATION {"citationID":"c1NAt0hQ","properties":{"formattedCitation":"(Burton et al. 2020)","plainCitation":"(Burton et al. 2020)","noteIndex":0},"citationItems":[{"id":2351,"uris":["http://zotero.org/users/7701824/items/I7EA9KJZ"],"itemData":{"id":2351,"type":"article-journal","abstract":"Understanding Society is a household panel survey with continuous fieldwork (monthly samples) using a mixed mode design. Prior to March 2020, around half of all interviews were carried out face-to-face, amounting to around 1,150 interviews per month. This article outlines how the survey rapidly transitioned to a protocol without face-to-face interviews and presents some initial indicators of the impact of the change on field outcomes.","container-title":"Survey Research Methods","DOI":"10.18148/SRM/2020.V14I2.7746","issue":"2","language":"en","note":"dimensions: 235-239 Pages\npublisher: Survey Research Methods","page":"235-239 Pages","source":"DOI.org (Datacite)","title":"How Understanding Society: The UK Household Longitudinal Study adapted to the COVID-19 pandemic","title-short":"How Understanding Society","volume":"14","author":[{"family":"Burton","given":"Jonathan"},{"family":"Lynn","given":"Peter"},{"family":"Benzeval","given":"Michaela"}],"issued":{"date-parts":[["2020",6,2]]}}}],"schema":"https://github.com/citation-style-language/schema/raw/master/csl-citation.json"} </w:instrText>
      </w:r>
      <w:r w:rsidR="00934320">
        <w:rPr>
          <w:lang w:val="en-GB"/>
        </w:rPr>
        <w:fldChar w:fldCharType="separate"/>
      </w:r>
      <w:r w:rsidR="00934320" w:rsidRPr="00934320">
        <w:rPr>
          <w:rFonts w:ascii="Times New Roman" w:hAnsi="Times New Roman" w:cs="Times New Roman"/>
        </w:rPr>
        <w:t>(Burton et al. 2020)</w:t>
      </w:r>
      <w:r w:rsidR="00934320">
        <w:rPr>
          <w:lang w:val="en-GB"/>
        </w:rPr>
        <w:fldChar w:fldCharType="end"/>
      </w:r>
      <w:r w:rsidR="00723304">
        <w:rPr>
          <w:lang w:val="en-GB"/>
        </w:rPr>
        <w:t>. The higher incentive experiment fieldwork occurred during the COVID-19 pandemic and after the Understanding Society mode shift, so we cannot rule out that these events affected how panel members reacted to the change in the value of the unconditional and conditional incentives.</w:t>
      </w:r>
      <w:r w:rsidR="000047FB">
        <w:rPr>
          <w:lang w:val="en-GB"/>
        </w:rPr>
        <w:t xml:space="preserve"> </w:t>
      </w:r>
      <w:r w:rsidR="00EA4755" w:rsidRPr="00EA4755">
        <w:rPr>
          <w:lang w:val="en-GB"/>
        </w:rPr>
        <w:t xml:space="preserve">For example, the fact that a significant proportion of the population had more time available during </w:t>
      </w:r>
      <w:r w:rsidR="00EA4755">
        <w:rPr>
          <w:lang w:val="en-GB"/>
        </w:rPr>
        <w:t>the lockdown</w:t>
      </w:r>
      <w:r w:rsidR="00EA4755" w:rsidRPr="00EA4755">
        <w:rPr>
          <w:lang w:val="en-GB"/>
        </w:rPr>
        <w:t xml:space="preserve"> might have made the possibility of completing the survey and obtaining the incentive more salient.</w:t>
      </w:r>
    </w:p>
    <w:p w14:paraId="32587FF5" w14:textId="77777777" w:rsidR="00EA4755" w:rsidRDefault="00723304" w:rsidP="006E78A1">
      <w:pPr>
        <w:rPr>
          <w:lang w:val="en-GB"/>
        </w:rPr>
      </w:pPr>
      <w:r>
        <w:rPr>
          <w:lang w:val="en-GB"/>
        </w:rPr>
        <w:t>This appendix presents some evidence to understand the possible impact of COVID-19 on response rates and sample composition</w:t>
      </w:r>
      <w:r w:rsidR="000047FB">
        <w:rPr>
          <w:lang w:val="en-GB"/>
        </w:rPr>
        <w:t xml:space="preserve"> of </w:t>
      </w:r>
      <w:r w:rsidR="000047FB">
        <w:rPr>
          <w:i/>
          <w:iCs/>
          <w:lang w:val="en-GB"/>
        </w:rPr>
        <w:t>Understanding Society</w:t>
      </w:r>
      <w:r w:rsidR="000047FB">
        <w:rPr>
          <w:lang w:val="en-GB"/>
        </w:rPr>
        <w:t xml:space="preserve"> wave 12.</w:t>
      </w:r>
      <w:r w:rsidR="00EA4755">
        <w:rPr>
          <w:lang w:val="en-GB"/>
        </w:rPr>
        <w:t xml:space="preserve"> </w:t>
      </w:r>
      <w:r w:rsidR="000047FB">
        <w:rPr>
          <w:lang w:val="en-GB"/>
        </w:rPr>
        <w:t xml:space="preserve">This information allows us to assess the possible impact of the pandemic on the experiment results. </w:t>
      </w:r>
      <w:r w:rsidR="00EA4755">
        <w:rPr>
          <w:lang w:val="en-GB"/>
        </w:rPr>
        <w:t>In summary, the analysis suggests that we cannot rule out that the effect of the higher incentives was due to the change in their value.</w:t>
      </w:r>
    </w:p>
    <w:p w14:paraId="053F7590" w14:textId="285574C4" w:rsidR="00EA4755" w:rsidRDefault="00EA4755" w:rsidP="006E78A1">
      <w:pPr>
        <w:rPr>
          <w:lang w:val="en-GB"/>
        </w:rPr>
      </w:pPr>
      <w:r>
        <w:rPr>
          <w:lang w:val="en-GB"/>
        </w:rPr>
        <w:lastRenderedPageBreak/>
        <w:t xml:space="preserve">The analysis compares the evolution of response rates </w:t>
      </w:r>
      <w:r w:rsidR="00F94A2F">
        <w:rPr>
          <w:lang w:val="en-GB"/>
        </w:rPr>
        <w:t xml:space="preserve">and sample composition </w:t>
      </w:r>
      <w:r>
        <w:rPr>
          <w:lang w:val="en-GB"/>
        </w:rPr>
        <w:t xml:space="preserve">of the 12 monthly samples </w:t>
      </w:r>
      <w:r w:rsidR="00F94A2F">
        <w:rPr>
          <w:lang w:val="en-GB"/>
        </w:rPr>
        <w:t xml:space="preserve">from the year 1 sample of </w:t>
      </w:r>
      <w:r w:rsidR="00F94A2F" w:rsidRPr="001512AC">
        <w:rPr>
          <w:i/>
          <w:iCs/>
          <w:lang w:val="en-GB"/>
        </w:rPr>
        <w:t>Understanding Society</w:t>
      </w:r>
      <w:r w:rsidR="00F94A2F">
        <w:rPr>
          <w:lang w:val="en-GB"/>
        </w:rPr>
        <w:t xml:space="preserve">. This analysis aims to assess whether the control group of the monthly samples where the higher incentive experiment was embedded was </w:t>
      </w:r>
      <w:proofErr w:type="gramStart"/>
      <w:r w:rsidR="00F94A2F">
        <w:rPr>
          <w:lang w:val="en-GB"/>
        </w:rPr>
        <w:t>similar to</w:t>
      </w:r>
      <w:proofErr w:type="gramEnd"/>
      <w:r w:rsidR="00F94A2F">
        <w:rPr>
          <w:lang w:val="en-GB"/>
        </w:rPr>
        <w:t xml:space="preserve"> the pre-pandemic samples with regard to response rates and sample composition.</w:t>
      </w:r>
    </w:p>
    <w:p w14:paraId="73144849" w14:textId="4401749A" w:rsidR="00AD490F" w:rsidRPr="001512AC" w:rsidRDefault="00427129" w:rsidP="00427129">
      <w:pPr>
        <w:rPr>
          <w:lang w:val="en-GB"/>
        </w:rPr>
      </w:pPr>
      <w:r w:rsidRPr="00427129">
        <w:rPr>
          <w:noProof/>
        </w:rPr>
        <w:drawing>
          <wp:anchor distT="0" distB="0" distL="114300" distR="114300" simplePos="0" relativeHeight="251662336" behindDoc="0" locked="0" layoutInCell="1" allowOverlap="1" wp14:anchorId="08693DEA" wp14:editId="30DFD482">
            <wp:simplePos x="0" y="0"/>
            <wp:positionH relativeFrom="column">
              <wp:posOffset>-85725</wp:posOffset>
            </wp:positionH>
            <wp:positionV relativeFrom="paragraph">
              <wp:posOffset>2001520</wp:posOffset>
            </wp:positionV>
            <wp:extent cx="5786120" cy="3857625"/>
            <wp:effectExtent l="0" t="0" r="5080" b="9525"/>
            <wp:wrapTopAndBottom/>
            <wp:docPr id="1050694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6120" cy="3857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4A2F">
        <w:rPr>
          <w:lang w:val="en-GB"/>
        </w:rPr>
        <w:t xml:space="preserve">Some methodological notes about the analysis. The numerator of the response rates was restricted to those completing the adult interview of </w:t>
      </w:r>
      <w:r w:rsidR="00F94A2F" w:rsidRPr="001512AC">
        <w:rPr>
          <w:i/>
          <w:iCs/>
          <w:lang w:val="en-GB"/>
        </w:rPr>
        <w:t>Understanding Society</w:t>
      </w:r>
      <w:r w:rsidR="00F94A2F">
        <w:rPr>
          <w:lang w:val="en-GB"/>
        </w:rPr>
        <w:t xml:space="preserve">, excluding proxies. The denominator of the formula was the eligible panel members for an adult interview from the previous wave of responding households. </w:t>
      </w:r>
      <w:r w:rsidR="007C5142">
        <w:rPr>
          <w:lang w:val="en-GB"/>
        </w:rPr>
        <w:t xml:space="preserve">We restricted the analysis to panel members from previous wave responding households to </w:t>
      </w:r>
      <w:r w:rsidR="00717ACF">
        <w:rPr>
          <w:lang w:val="en-GB"/>
        </w:rPr>
        <w:t xml:space="preserve">examine a population </w:t>
      </w:r>
      <w:proofErr w:type="gramStart"/>
      <w:r w:rsidR="00717ACF">
        <w:rPr>
          <w:lang w:val="en-GB"/>
        </w:rPr>
        <w:t>similar to</w:t>
      </w:r>
      <w:proofErr w:type="gramEnd"/>
      <w:r w:rsidR="00717ACF">
        <w:rPr>
          <w:lang w:val="en-GB"/>
        </w:rPr>
        <w:t xml:space="preserve"> the one covered in the experiment.</w:t>
      </w:r>
    </w:p>
    <w:p w14:paraId="22007DA6" w14:textId="76EBB96E" w:rsidR="00AD490F" w:rsidRDefault="00AD490F" w:rsidP="001512AC">
      <w:pPr>
        <w:pStyle w:val="Caption"/>
        <w:rPr>
          <w:lang w:val="en-GB"/>
        </w:rPr>
      </w:pPr>
      <w:bookmarkStart w:id="13" w:name="_Ref175155397"/>
      <w:r>
        <w:t>Figure A</w:t>
      </w:r>
      <w:fldSimple w:instr=" SEQ Figure_A \* ARABIC ">
        <w:r w:rsidR="00963918">
          <w:rPr>
            <w:noProof/>
          </w:rPr>
          <w:t>1</w:t>
        </w:r>
      </w:fldSimple>
      <w:bookmarkEnd w:id="13"/>
      <w:r>
        <w:t xml:space="preserve">. Average response rate for the </w:t>
      </w:r>
      <w:r w:rsidR="0067361B">
        <w:t>monthly</w:t>
      </w:r>
      <w:r>
        <w:t xml:space="preserve"> samples of Understanding Society (year 1) for waves 10 to 12.</w:t>
      </w:r>
    </w:p>
    <w:p w14:paraId="686EA769" w14:textId="65B25A05" w:rsidR="00717ACF" w:rsidRDefault="00427129" w:rsidP="006E78A1">
      <w:pPr>
        <w:rPr>
          <w:lang w:val="en-GB"/>
        </w:rPr>
      </w:pPr>
      <w:r>
        <w:rPr>
          <w:noProof/>
        </w:rPr>
        <w:lastRenderedPageBreak/>
        <mc:AlternateContent>
          <mc:Choice Requires="wps">
            <w:drawing>
              <wp:anchor distT="0" distB="0" distL="114300" distR="114300" simplePos="0" relativeHeight="251661312" behindDoc="0" locked="0" layoutInCell="1" allowOverlap="1" wp14:anchorId="5320D0AD" wp14:editId="216B71BA">
                <wp:simplePos x="0" y="0"/>
                <wp:positionH relativeFrom="column">
                  <wp:posOffset>79375</wp:posOffset>
                </wp:positionH>
                <wp:positionV relativeFrom="paragraph">
                  <wp:posOffset>5711825</wp:posOffset>
                </wp:positionV>
                <wp:extent cx="5943600" cy="635"/>
                <wp:effectExtent l="0" t="0" r="0" b="0"/>
                <wp:wrapSquare wrapText="bothSides"/>
                <wp:docPr id="718348065" name="Text Box 1"/>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403D6E0E" w14:textId="7748A6CF" w:rsidR="00AD490F" w:rsidRPr="00A10C28" w:rsidRDefault="00AD490F" w:rsidP="001512AC">
                            <w:pPr>
                              <w:pStyle w:val="Caption"/>
                              <w:rPr>
                                <w:noProof/>
                              </w:rPr>
                            </w:pPr>
                            <w:bookmarkStart w:id="14" w:name="_Ref175155724"/>
                            <w:r>
                              <w:t>Figure A</w:t>
                            </w:r>
                            <w:fldSimple w:instr=" SEQ Figure_A \* ARABIC ">
                              <w:r w:rsidR="00963918">
                                <w:rPr>
                                  <w:noProof/>
                                </w:rPr>
                                <w:t>2</w:t>
                              </w:r>
                            </w:fldSimple>
                            <w:bookmarkEnd w:id="14"/>
                            <w:r>
                              <w:t>. Average response propensity by monthly sample and wave.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320D0AD" id="_x0000_t202" coordsize="21600,21600" o:spt="202" path="m,l,21600r21600,l21600,xe">
                <v:stroke joinstyle="miter"/>
                <v:path gradientshapeok="t" o:connecttype="rect"/>
              </v:shapetype>
              <v:shape id="Text Box 1" o:spid="_x0000_s1026" type="#_x0000_t202" style="position:absolute;left:0;text-align:left;margin-left:6.25pt;margin-top:449.75pt;width:468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" stroked="f">
                <v:textbox style="mso-fit-shape-to-text:t" inset="0,0,0,0">
                  <w:txbxContent>
                    <w:p w14:paraId="403D6E0E" w14:textId="7748A6CF" w:rsidR="00AD490F" w:rsidRPr="00A10C28" w:rsidRDefault="00AD490F" w:rsidP="001512AC">
                      <w:pPr>
                        <w:pStyle w:val="Caption"/>
                        <w:rPr>
                          <w:noProof/>
                        </w:rPr>
                      </w:pPr>
                      <w:bookmarkStart w:id="15" w:name="_Ref175155724"/>
                      <w:r>
                        <w:t>Figure A</w:t>
                      </w:r>
                      <w:fldSimple w:instr=" SEQ Figure_A \* ARABIC ">
                        <w:r w:rsidR="00963918">
                          <w:rPr>
                            <w:noProof/>
                          </w:rPr>
                          <w:t>2</w:t>
                        </w:r>
                      </w:fldSimple>
                      <w:bookmarkEnd w:id="15"/>
                      <w:r>
                        <w:t>. Average response propensity by monthly sample and wave.</w:t>
                      </w:r>
                    </w:p>
                  </w:txbxContent>
                </v:textbox>
                <w10:wrap type="square"/>
              </v:shape>
            </w:pict>
          </mc:Fallback>
        </mc:AlternateContent>
      </w:r>
      <w:r w:rsidR="00AD490F">
        <w:rPr>
          <w:lang w:val="en-GB"/>
        </w:rPr>
        <w:fldChar w:fldCharType="begin"/>
      </w:r>
      <w:r w:rsidR="00AD490F">
        <w:rPr>
          <w:lang w:val="en-GB"/>
        </w:rPr>
        <w:instrText xml:space="preserve"> REF _Ref175155397 \h </w:instrText>
      </w:r>
      <w:r w:rsidR="00AD490F">
        <w:rPr>
          <w:lang w:val="en-GB"/>
        </w:rPr>
      </w:r>
      <w:r w:rsidR="00AD490F">
        <w:rPr>
          <w:lang w:val="en-GB"/>
        </w:rPr>
        <w:fldChar w:fldCharType="separate"/>
      </w:r>
      <w:r w:rsidR="00AD490F">
        <w:t>Figure A</w:t>
      </w:r>
      <w:r w:rsidR="00AD490F">
        <w:rPr>
          <w:noProof/>
        </w:rPr>
        <w:t>1</w:t>
      </w:r>
      <w:r w:rsidR="00AD490F">
        <w:rPr>
          <w:lang w:val="en-GB"/>
        </w:rPr>
        <w:fldChar w:fldCharType="end"/>
      </w:r>
      <w:r w:rsidR="00AD490F">
        <w:rPr>
          <w:lang w:val="en-GB"/>
        </w:rPr>
        <w:t xml:space="preserve"> presents the average response rate for the monthly samples of Understanding Society (year 1 of fieldwork) for waves 10 to 12. The plot shows that the response rates of the control group of the experiment were slightly lower compared to the previous and posterior samples, although these differences were not significant. </w:t>
      </w:r>
      <w:r w:rsidR="00AD490F">
        <w:rPr>
          <w:lang w:val="en-GB"/>
        </w:rPr>
        <w:fldChar w:fldCharType="begin"/>
      </w:r>
      <w:r w:rsidR="00AD490F">
        <w:rPr>
          <w:lang w:val="en-GB"/>
        </w:rPr>
        <w:instrText xml:space="preserve"> REF _Ref175155724 \h </w:instrText>
      </w:r>
      <w:r w:rsidR="00AD490F">
        <w:rPr>
          <w:lang w:val="en-GB"/>
        </w:rPr>
      </w:r>
      <w:r w:rsidR="00AD490F">
        <w:rPr>
          <w:lang w:val="en-GB"/>
        </w:rPr>
        <w:fldChar w:fldCharType="separate"/>
      </w:r>
      <w:r w:rsidR="00AD490F">
        <w:t>Figure A</w:t>
      </w:r>
      <w:r w:rsidR="00AD490F">
        <w:rPr>
          <w:noProof/>
        </w:rPr>
        <w:t>2</w:t>
      </w:r>
      <w:r w:rsidR="00AD490F">
        <w:rPr>
          <w:lang w:val="en-GB"/>
        </w:rPr>
        <w:fldChar w:fldCharType="end"/>
      </w:r>
      <w:r w:rsidR="00AD490F">
        <w:rPr>
          <w:lang w:val="en-GB"/>
        </w:rPr>
        <w:t xml:space="preserve"> offers a somehow different perspective of the data by comparing the same monthly sample across waves. </w:t>
      </w:r>
    </w:p>
    <w:p w14:paraId="5C6A5D36" w14:textId="6D8B53A6" w:rsidR="00AD490F" w:rsidRDefault="00427129" w:rsidP="006E78A1">
      <w:pPr>
        <w:rPr>
          <w:lang w:val="en-GB"/>
        </w:rPr>
      </w:pPr>
      <w:r w:rsidRPr="00427129">
        <w:rPr>
          <w:noProof/>
          <w:lang w:val="en-GB"/>
        </w:rPr>
        <w:drawing>
          <wp:inline distT="0" distB="0" distL="0" distR="0" wp14:anchorId="562F0DDA" wp14:editId="377A822B">
            <wp:extent cx="5786438" cy="3857625"/>
            <wp:effectExtent l="0" t="0" r="5080" b="0"/>
            <wp:docPr id="13311796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8643" cy="3859095"/>
                    </a:xfrm>
                    <a:prstGeom prst="rect">
                      <a:avLst/>
                    </a:prstGeom>
                    <a:noFill/>
                    <a:ln>
                      <a:noFill/>
                    </a:ln>
                  </pic:spPr>
                </pic:pic>
              </a:graphicData>
            </a:graphic>
          </wp:inline>
        </w:drawing>
      </w:r>
    </w:p>
    <w:p w14:paraId="06E56998" w14:textId="6F112E92" w:rsidR="00AD490F" w:rsidRDefault="00AD490F" w:rsidP="006E78A1">
      <w:pPr>
        <w:rPr>
          <w:lang w:val="en-GB"/>
        </w:rPr>
      </w:pPr>
      <w:r>
        <w:rPr>
          <w:lang w:val="en-GB"/>
        </w:rPr>
        <w:t xml:space="preserve">Finally, we </w:t>
      </w:r>
      <w:r w:rsidR="0076382D">
        <w:rPr>
          <w:lang w:val="en-GB"/>
        </w:rPr>
        <w:t xml:space="preserve">compared the </w:t>
      </w:r>
      <w:r w:rsidR="00963918">
        <w:rPr>
          <w:lang w:val="en-GB"/>
        </w:rPr>
        <w:t xml:space="preserve">sample profiles of the </w:t>
      </w:r>
      <w:r w:rsidR="0076382D">
        <w:rPr>
          <w:lang w:val="en-GB"/>
        </w:rPr>
        <w:t>monthly sampl</w:t>
      </w:r>
      <w:r w:rsidR="00963918">
        <w:rPr>
          <w:lang w:val="en-GB"/>
        </w:rPr>
        <w:t>es</w:t>
      </w:r>
      <w:r w:rsidR="0076382D">
        <w:rPr>
          <w:lang w:val="en-GB"/>
        </w:rPr>
        <w:t xml:space="preserve"> </w:t>
      </w:r>
      <w:r w:rsidR="00963918">
        <w:rPr>
          <w:lang w:val="en-GB"/>
        </w:rPr>
        <w:t>using</w:t>
      </w:r>
      <w:r w:rsidR="0076382D">
        <w:rPr>
          <w:lang w:val="en-GB"/>
        </w:rPr>
        <w:t xml:space="preserve"> sex, age,</w:t>
      </w:r>
      <w:r>
        <w:rPr>
          <w:lang w:val="en-GB"/>
        </w:rPr>
        <w:t xml:space="preserve"> and ethnicity. </w:t>
      </w:r>
      <w:r w:rsidR="00963918">
        <w:rPr>
          <w:lang w:val="en-GB"/>
        </w:rPr>
        <w:t>Figures A3 to A5</w:t>
      </w:r>
      <w:r>
        <w:rPr>
          <w:lang w:val="en-GB"/>
        </w:rPr>
        <w:t xml:space="preserve"> </w:t>
      </w:r>
      <w:r w:rsidR="0076382D">
        <w:rPr>
          <w:lang w:val="en-GB"/>
        </w:rPr>
        <w:t>show</w:t>
      </w:r>
      <w:r w:rsidR="00963918">
        <w:rPr>
          <w:lang w:val="en-GB"/>
        </w:rPr>
        <w:t xml:space="preserve"> no significant differences between the experiment's control group and the previous and posterior monthly samples. Thus, these data suggest a slight to null overall effect of the pandemic on response rates, and although the experiment design does not allow us </w:t>
      </w:r>
      <w:r w:rsidR="0076382D">
        <w:rPr>
          <w:lang w:val="en-GB"/>
        </w:rPr>
        <w:t>to completely rule out an interaction between the higher incentive and the pandemic, this seems unlikely.</w:t>
      </w:r>
    </w:p>
    <w:p w14:paraId="45A243A8" w14:textId="013488B6" w:rsidR="00427129" w:rsidRDefault="00427129" w:rsidP="006E78A1">
      <w:pPr>
        <w:rPr>
          <w:lang w:val="en-GB"/>
        </w:rPr>
        <w:sectPr w:rsidR="00427129" w:rsidSect="00427129">
          <w:pgSz w:w="12240" w:h="15840"/>
          <w:pgMar w:top="1440" w:right="1440" w:bottom="1440" w:left="1440" w:header="720" w:footer="720" w:gutter="0"/>
          <w:cols w:space="720"/>
          <w:docGrid w:linePitch="360"/>
        </w:sectPr>
      </w:pPr>
    </w:p>
    <w:p w14:paraId="678A3C64" w14:textId="7BA1CE61" w:rsidR="00934320" w:rsidRPr="006E78A1" w:rsidRDefault="00427129" w:rsidP="001512AC">
      <w:pPr>
        <w:keepNext/>
        <w:spacing w:after="0"/>
        <w:rPr>
          <w:lang w:val="en-GB"/>
        </w:rPr>
      </w:pPr>
      <w:r w:rsidRPr="00427129">
        <w:rPr>
          <w:noProof/>
          <w:lang w:val="en-GB"/>
        </w:rPr>
        <w:lastRenderedPageBreak/>
        <w:drawing>
          <wp:anchor distT="0" distB="0" distL="114300" distR="114300" simplePos="0" relativeHeight="251664384" behindDoc="0" locked="0" layoutInCell="1" allowOverlap="1" wp14:anchorId="002AE72B" wp14:editId="0AD299C2">
            <wp:simplePos x="0" y="0"/>
            <wp:positionH relativeFrom="column">
              <wp:posOffset>4143375</wp:posOffset>
            </wp:positionH>
            <wp:positionV relativeFrom="paragraph">
              <wp:posOffset>0</wp:posOffset>
            </wp:positionV>
            <wp:extent cx="4591050" cy="3060700"/>
            <wp:effectExtent l="0" t="0" r="0" b="6350"/>
            <wp:wrapSquare wrapText="bothSides"/>
            <wp:docPr id="19791620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91050" cy="306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7129">
        <w:rPr>
          <w:noProof/>
          <w:lang w:val="en-GB"/>
        </w:rPr>
        <w:drawing>
          <wp:anchor distT="0" distB="0" distL="114300" distR="114300" simplePos="0" relativeHeight="251663360" behindDoc="0" locked="0" layoutInCell="1" allowOverlap="1" wp14:anchorId="1D73A7A5" wp14:editId="43EBADEB">
            <wp:simplePos x="0" y="0"/>
            <wp:positionH relativeFrom="column">
              <wp:posOffset>-334010</wp:posOffset>
            </wp:positionH>
            <wp:positionV relativeFrom="paragraph">
              <wp:posOffset>0</wp:posOffset>
            </wp:positionV>
            <wp:extent cx="4562475" cy="3041650"/>
            <wp:effectExtent l="0" t="0" r="9525" b="6350"/>
            <wp:wrapSquare wrapText="bothSides"/>
            <wp:docPr id="11667584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62475" cy="304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ADCE28" w14:textId="02771C40" w:rsidR="00427129" w:rsidRDefault="00427129" w:rsidP="00427129">
      <w:pPr>
        <w:pStyle w:val="Caption"/>
      </w:pPr>
      <w:r>
        <w:t>Figure A</w:t>
      </w:r>
      <w:fldSimple w:instr=" SEQ Figure_A \* ARABIC ">
        <w:r w:rsidR="00963918">
          <w:rPr>
            <w:noProof/>
          </w:rPr>
          <w:t>3</w:t>
        </w:r>
      </w:fldSimple>
      <w:r>
        <w:t xml:space="preserve">. Proportion of respondents by sex </w:t>
      </w:r>
      <w:r w:rsidR="002003A7">
        <w:t xml:space="preserve">and monthly sample </w:t>
      </w:r>
      <w:r>
        <w:t>monthly sample</w:t>
      </w:r>
    </w:p>
    <w:p w14:paraId="46853A1F" w14:textId="0BBD968A" w:rsidR="002003A7" w:rsidRDefault="002003A7">
      <w:pPr>
        <w:spacing w:line="252" w:lineRule="auto"/>
      </w:pPr>
      <w:r>
        <w:br w:type="page"/>
      </w:r>
    </w:p>
    <w:p w14:paraId="0344DDBD" w14:textId="72866AFB" w:rsidR="00427129" w:rsidRDefault="002003A7" w:rsidP="00427129">
      <w:r w:rsidRPr="002003A7">
        <w:rPr>
          <w:noProof/>
        </w:rPr>
        <w:lastRenderedPageBreak/>
        <w:drawing>
          <wp:anchor distT="0" distB="0" distL="114300" distR="114300" simplePos="0" relativeHeight="251670528" behindDoc="0" locked="0" layoutInCell="1" allowOverlap="1" wp14:anchorId="2EB4A571" wp14:editId="24306F4D">
            <wp:simplePos x="0" y="0"/>
            <wp:positionH relativeFrom="column">
              <wp:posOffset>3990975</wp:posOffset>
            </wp:positionH>
            <wp:positionV relativeFrom="paragraph">
              <wp:posOffset>2819400</wp:posOffset>
            </wp:positionV>
            <wp:extent cx="4357370" cy="2903855"/>
            <wp:effectExtent l="0" t="0" r="5080" b="0"/>
            <wp:wrapSquare wrapText="bothSides"/>
            <wp:docPr id="6346824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57370" cy="2903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03A7">
        <w:rPr>
          <w:noProof/>
        </w:rPr>
        <w:drawing>
          <wp:anchor distT="0" distB="0" distL="114300" distR="114300" simplePos="0" relativeHeight="251669504" behindDoc="0" locked="0" layoutInCell="1" allowOverlap="1" wp14:anchorId="1048C8B5" wp14:editId="11637931">
            <wp:simplePos x="0" y="0"/>
            <wp:positionH relativeFrom="column">
              <wp:posOffset>-238125</wp:posOffset>
            </wp:positionH>
            <wp:positionV relativeFrom="paragraph">
              <wp:posOffset>2819400</wp:posOffset>
            </wp:positionV>
            <wp:extent cx="4305300" cy="2870200"/>
            <wp:effectExtent l="0" t="0" r="0" b="6350"/>
            <wp:wrapSquare wrapText="bothSides"/>
            <wp:docPr id="8539384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5300" cy="287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03A7">
        <w:rPr>
          <w:noProof/>
        </w:rPr>
        <w:drawing>
          <wp:anchor distT="0" distB="0" distL="114300" distR="114300" simplePos="0" relativeHeight="251666432" behindDoc="0" locked="0" layoutInCell="1" allowOverlap="1" wp14:anchorId="6E50D323" wp14:editId="13A77A28">
            <wp:simplePos x="0" y="0"/>
            <wp:positionH relativeFrom="column">
              <wp:posOffset>3990975</wp:posOffset>
            </wp:positionH>
            <wp:positionV relativeFrom="paragraph">
              <wp:posOffset>0</wp:posOffset>
            </wp:positionV>
            <wp:extent cx="4357370" cy="2905125"/>
            <wp:effectExtent l="0" t="0" r="5080" b="9525"/>
            <wp:wrapSquare wrapText="bothSides"/>
            <wp:docPr id="3286489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57370" cy="290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03A7">
        <w:rPr>
          <w:noProof/>
        </w:rPr>
        <w:drawing>
          <wp:anchor distT="0" distB="0" distL="114300" distR="114300" simplePos="0" relativeHeight="251665408" behindDoc="0" locked="0" layoutInCell="1" allowOverlap="1" wp14:anchorId="214A719B" wp14:editId="1B876EC5">
            <wp:simplePos x="0" y="0"/>
            <wp:positionH relativeFrom="column">
              <wp:posOffset>-266700</wp:posOffset>
            </wp:positionH>
            <wp:positionV relativeFrom="paragraph">
              <wp:posOffset>0</wp:posOffset>
            </wp:positionV>
            <wp:extent cx="4333875" cy="2889250"/>
            <wp:effectExtent l="0" t="0" r="9525" b="6350"/>
            <wp:wrapSquare wrapText="bothSides"/>
            <wp:docPr id="5448581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33875" cy="2889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2576" behindDoc="0" locked="0" layoutInCell="1" allowOverlap="1" wp14:anchorId="6C0AFD7D" wp14:editId="26651F6E">
                <wp:simplePos x="0" y="0"/>
                <wp:positionH relativeFrom="column">
                  <wp:posOffset>-142875</wp:posOffset>
                </wp:positionH>
                <wp:positionV relativeFrom="paragraph">
                  <wp:posOffset>5575935</wp:posOffset>
                </wp:positionV>
                <wp:extent cx="4552950" cy="635"/>
                <wp:effectExtent l="0" t="0" r="0" b="0"/>
                <wp:wrapSquare wrapText="bothSides"/>
                <wp:docPr id="302328393" name="Text Box 1"/>
                <wp:cNvGraphicFramePr/>
                <a:graphic xmlns:a="http://schemas.openxmlformats.org/drawingml/2006/main">
                  <a:graphicData uri="http://schemas.microsoft.com/office/word/2010/wordprocessingShape">
                    <wps:wsp>
                      <wps:cNvSpPr txBox="1"/>
                      <wps:spPr>
                        <a:xfrm>
                          <a:off x="0" y="0"/>
                          <a:ext cx="4552950" cy="635"/>
                        </a:xfrm>
                        <a:prstGeom prst="rect">
                          <a:avLst/>
                        </a:prstGeom>
                        <a:solidFill>
                          <a:prstClr val="white"/>
                        </a:solidFill>
                        <a:ln>
                          <a:noFill/>
                        </a:ln>
                      </wps:spPr>
                      <wps:txbx>
                        <w:txbxContent>
                          <w:p w14:paraId="0D278BE5" w14:textId="6F3D9BFF" w:rsidR="002003A7" w:rsidRDefault="002003A7" w:rsidP="002003A7">
                            <w:pPr>
                              <w:pStyle w:val="Caption"/>
                            </w:pPr>
                            <w:r>
                              <w:t>Figure A</w:t>
                            </w:r>
                            <w:fldSimple w:instr=" SEQ Figure_A \* ARABIC ">
                              <w:r w:rsidR="00963918">
                                <w:rPr>
                                  <w:noProof/>
                                </w:rPr>
                                <w:t>4</w:t>
                              </w:r>
                            </w:fldSimple>
                            <w:r>
                              <w:t>. Proportion of respondents by age and monthly sample monthly sample</w:t>
                            </w:r>
                          </w:p>
                          <w:p w14:paraId="623437ED" w14:textId="412E9400" w:rsidR="002003A7" w:rsidRPr="00E63D87" w:rsidRDefault="002003A7" w:rsidP="001512AC">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0AFD7D" id="_x0000_s1027" type="#_x0000_t202" style="position:absolute;left:0;text-align:left;margin-left:-11.25pt;margin-top:439.05pt;width:358.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" stroked="f">
                <v:textbox style="mso-fit-shape-to-text:t" inset="0,0,0,0">
                  <w:txbxContent>
                    <w:p w14:paraId="0D278BE5" w14:textId="6F3D9BFF" w:rsidR="002003A7" w:rsidRDefault="002003A7" w:rsidP="002003A7">
                      <w:pPr>
                        <w:pStyle w:val="Caption"/>
                      </w:pPr>
                      <w:r>
                        <w:t>Figure A</w:t>
                      </w:r>
                      <w:fldSimple w:instr=" SEQ Figure_A \* ARABIC ">
                        <w:r w:rsidR="00963918">
                          <w:rPr>
                            <w:noProof/>
                          </w:rPr>
                          <w:t>4</w:t>
                        </w:r>
                      </w:fldSimple>
                      <w:r>
                        <w:t>. Proportion of respondents by age and monthly sample monthly sample</w:t>
                      </w:r>
                    </w:p>
                    <w:p w14:paraId="623437ED" w14:textId="412E9400" w:rsidR="002003A7" w:rsidRPr="00E63D87" w:rsidRDefault="002003A7" w:rsidP="001512AC">
                      <w:pPr>
                        <w:pStyle w:val="Caption"/>
                        <w:rPr>
                          <w:noProof/>
                        </w:rPr>
                      </w:pPr>
                    </w:p>
                  </w:txbxContent>
                </v:textbox>
                <w10:wrap type="square"/>
              </v:shape>
            </w:pict>
          </mc:Fallback>
        </mc:AlternateContent>
      </w:r>
      <w:r w:rsidRPr="002003A7">
        <w:rPr>
          <w:noProof/>
        </w:rPr>
        <w:drawing>
          <wp:anchor distT="0" distB="0" distL="114300" distR="114300" simplePos="0" relativeHeight="251667456" behindDoc="0" locked="0" layoutInCell="1" allowOverlap="1" wp14:anchorId="291E2EF5" wp14:editId="21697DA5">
            <wp:simplePos x="0" y="0"/>
            <wp:positionH relativeFrom="column">
              <wp:posOffset>-390525</wp:posOffset>
            </wp:positionH>
            <wp:positionV relativeFrom="paragraph">
              <wp:posOffset>2819400</wp:posOffset>
            </wp:positionV>
            <wp:extent cx="4552950" cy="3035300"/>
            <wp:effectExtent l="0" t="0" r="0" b="0"/>
            <wp:wrapSquare wrapText="bothSides"/>
            <wp:docPr id="3501785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52950" cy="303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35C330" w14:textId="2A44F2C3" w:rsidR="002003A7" w:rsidRDefault="00963918" w:rsidP="00427129">
      <w:r w:rsidRPr="00963918">
        <w:rPr>
          <w:noProof/>
        </w:rPr>
        <w:lastRenderedPageBreak/>
        <w:drawing>
          <wp:anchor distT="0" distB="0" distL="114300" distR="114300" simplePos="0" relativeHeight="251676672" behindDoc="0" locked="0" layoutInCell="1" allowOverlap="1" wp14:anchorId="7A07EE25" wp14:editId="5BE9C165">
            <wp:simplePos x="0" y="0"/>
            <wp:positionH relativeFrom="column">
              <wp:posOffset>4080510</wp:posOffset>
            </wp:positionH>
            <wp:positionV relativeFrom="paragraph">
              <wp:posOffset>2608580</wp:posOffset>
            </wp:positionV>
            <wp:extent cx="4248150" cy="2832100"/>
            <wp:effectExtent l="0" t="0" r="0" b="6350"/>
            <wp:wrapSquare wrapText="bothSides"/>
            <wp:docPr id="50401197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48150" cy="283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3918">
        <w:rPr>
          <w:noProof/>
        </w:rPr>
        <w:drawing>
          <wp:anchor distT="0" distB="0" distL="114300" distR="114300" simplePos="0" relativeHeight="251675648" behindDoc="0" locked="0" layoutInCell="1" allowOverlap="1" wp14:anchorId="0B5D6841" wp14:editId="69DCFF12">
            <wp:simplePos x="0" y="0"/>
            <wp:positionH relativeFrom="column">
              <wp:posOffset>-114300</wp:posOffset>
            </wp:positionH>
            <wp:positionV relativeFrom="paragraph">
              <wp:posOffset>2600325</wp:posOffset>
            </wp:positionV>
            <wp:extent cx="4261485" cy="2840355"/>
            <wp:effectExtent l="0" t="0" r="5715" b="0"/>
            <wp:wrapSquare wrapText="bothSides"/>
            <wp:docPr id="5854515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61485" cy="2840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3918">
        <w:rPr>
          <w:noProof/>
        </w:rPr>
        <w:drawing>
          <wp:anchor distT="0" distB="0" distL="114300" distR="114300" simplePos="0" relativeHeight="251674624" behindDoc="0" locked="0" layoutInCell="1" allowOverlap="1" wp14:anchorId="54E79CE3" wp14:editId="1390EA1B">
            <wp:simplePos x="0" y="0"/>
            <wp:positionH relativeFrom="column">
              <wp:posOffset>4076700</wp:posOffset>
            </wp:positionH>
            <wp:positionV relativeFrom="paragraph">
              <wp:posOffset>0</wp:posOffset>
            </wp:positionV>
            <wp:extent cx="4248150" cy="2832100"/>
            <wp:effectExtent l="0" t="0" r="0" b="6350"/>
            <wp:wrapSquare wrapText="bothSides"/>
            <wp:docPr id="3794807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48150" cy="283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3918">
        <w:rPr>
          <w:noProof/>
        </w:rPr>
        <w:drawing>
          <wp:anchor distT="0" distB="0" distL="114300" distR="114300" simplePos="0" relativeHeight="251673600" behindDoc="0" locked="0" layoutInCell="1" allowOverlap="1" wp14:anchorId="35E2C043" wp14:editId="45AEB90D">
            <wp:simplePos x="0" y="0"/>
            <wp:positionH relativeFrom="column">
              <wp:posOffset>-66675</wp:posOffset>
            </wp:positionH>
            <wp:positionV relativeFrom="paragraph">
              <wp:posOffset>0</wp:posOffset>
            </wp:positionV>
            <wp:extent cx="4213860" cy="2809875"/>
            <wp:effectExtent l="0" t="0" r="0" b="9525"/>
            <wp:wrapSquare wrapText="bothSides"/>
            <wp:docPr id="4684073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13860" cy="2809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8720" behindDoc="0" locked="0" layoutInCell="1" allowOverlap="1" wp14:anchorId="4FC7A99A" wp14:editId="670CAB61">
                <wp:simplePos x="0" y="0"/>
                <wp:positionH relativeFrom="column">
                  <wp:posOffset>37465</wp:posOffset>
                </wp:positionH>
                <wp:positionV relativeFrom="paragraph">
                  <wp:posOffset>5575935</wp:posOffset>
                </wp:positionV>
                <wp:extent cx="4457065" cy="635"/>
                <wp:effectExtent l="0" t="0" r="0" b="0"/>
                <wp:wrapSquare wrapText="bothSides"/>
                <wp:docPr id="1338535887" name="Text Box 1"/>
                <wp:cNvGraphicFramePr/>
                <a:graphic xmlns:a="http://schemas.openxmlformats.org/drawingml/2006/main">
                  <a:graphicData uri="http://schemas.microsoft.com/office/word/2010/wordprocessingShape">
                    <wps:wsp>
                      <wps:cNvSpPr txBox="1"/>
                      <wps:spPr>
                        <a:xfrm>
                          <a:off x="0" y="0"/>
                          <a:ext cx="4457065" cy="635"/>
                        </a:xfrm>
                        <a:prstGeom prst="rect">
                          <a:avLst/>
                        </a:prstGeom>
                        <a:solidFill>
                          <a:prstClr val="white"/>
                        </a:solidFill>
                        <a:ln>
                          <a:noFill/>
                        </a:ln>
                      </wps:spPr>
                      <wps:txbx>
                        <w:txbxContent>
                          <w:p w14:paraId="2118420A" w14:textId="4D73DAC2" w:rsidR="00963918" w:rsidRPr="001C619F" w:rsidRDefault="00963918" w:rsidP="001512AC">
                            <w:pPr>
                              <w:pStyle w:val="Caption"/>
                              <w:rPr>
                                <w:noProof/>
                              </w:rPr>
                            </w:pPr>
                            <w:r>
                              <w:t>Figure A</w:t>
                            </w:r>
                            <w:fldSimple w:instr=" SEQ Figure_A \* ARABIC ">
                              <w:r>
                                <w:rPr>
                                  <w:noProof/>
                                </w:rPr>
                                <w:t>5</w:t>
                              </w:r>
                            </w:fldSimple>
                            <w:r>
                              <w:t>. Proportion of respondents by age and monthly sample monthly sample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FC7A99A" id="_x0000_s1028" type="#_x0000_t202" style="position:absolute;left:0;text-align:left;margin-left:2.95pt;margin-top:439.05pt;width:350.95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" stroked="f">
                <v:textbox style="mso-fit-shape-to-text:t" inset="0,0,0,0">
                  <w:txbxContent>
                    <w:p w14:paraId="2118420A" w14:textId="4D73DAC2" w:rsidR="00963918" w:rsidRPr="001C619F" w:rsidRDefault="00963918" w:rsidP="001512AC">
                      <w:pPr>
                        <w:pStyle w:val="Caption"/>
                        <w:rPr>
                          <w:noProof/>
                        </w:rPr>
                      </w:pPr>
                      <w:r>
                        <w:t>Figure A</w:t>
                      </w:r>
                      <w:fldSimple w:instr=" SEQ Figure_A \* ARABIC ">
                        <w:r>
                          <w:rPr>
                            <w:noProof/>
                          </w:rPr>
                          <w:t>5</w:t>
                        </w:r>
                      </w:fldSimple>
                      <w:r>
                        <w:t>. Proportion of respondents by age and monthly sample monthly sample</w:t>
                      </w:r>
                    </w:p>
                  </w:txbxContent>
                </v:textbox>
                <w10:wrap type="square"/>
              </v:shape>
            </w:pict>
          </mc:Fallback>
        </mc:AlternateContent>
      </w:r>
    </w:p>
    <w:p w14:paraId="7D0A7073" w14:textId="58A75487" w:rsidR="002003A7" w:rsidRPr="001512AC" w:rsidRDefault="002003A7" w:rsidP="00427129">
      <w:pPr>
        <w:sectPr w:rsidR="002003A7" w:rsidRPr="001512AC" w:rsidSect="001512AC">
          <w:pgSz w:w="15840" w:h="12240" w:orient="landscape" w:code="1"/>
          <w:pgMar w:top="1440" w:right="1440" w:bottom="1440" w:left="1440" w:header="720" w:footer="720" w:gutter="0"/>
          <w:cols w:space="720"/>
          <w:docGrid w:linePitch="360"/>
        </w:sectPr>
      </w:pPr>
    </w:p>
    <w:p w14:paraId="73613235" w14:textId="22AC490D" w:rsidR="001A1576" w:rsidRDefault="001A1576" w:rsidP="001A1576">
      <w:pPr>
        <w:pStyle w:val="Heading1"/>
        <w:rPr>
          <w:lang w:val="en-GB"/>
        </w:rPr>
      </w:pPr>
      <w:bookmarkStart w:id="16" w:name="_Toc183429654"/>
      <w:r>
        <w:rPr>
          <w:lang w:val="en-GB"/>
        </w:rPr>
        <w:lastRenderedPageBreak/>
        <w:t>References</w:t>
      </w:r>
      <w:bookmarkEnd w:id="16"/>
    </w:p>
    <w:p w14:paraId="2E885A48" w14:textId="77777777" w:rsidR="00503471" w:rsidRPr="00503471" w:rsidRDefault="00B17DCC" w:rsidP="00503471">
      <w:pPr>
        <w:pStyle w:val="Bibliography"/>
        <w:rPr>
          <w:rFonts w:ascii="Times New Roman" w:hAnsi="Times New Roman" w:cs="Times New Roman"/>
        </w:rPr>
      </w:pPr>
      <w:r>
        <w:fldChar w:fldCharType="begin"/>
      </w:r>
      <w:r>
        <w:instrText xml:space="preserve"> ADDIN ZOTERO_BIBL {"uncited":[],"omitted":[],"custom":[]} CSL_BIBLIOGRAPHY </w:instrText>
      </w:r>
      <w:r>
        <w:fldChar w:fldCharType="separate"/>
      </w:r>
      <w:r w:rsidR="00503471" w:rsidRPr="00503471">
        <w:rPr>
          <w:rFonts w:ascii="Times New Roman" w:hAnsi="Times New Roman" w:cs="Times New Roman"/>
        </w:rPr>
        <w:t xml:space="preserve">AAPOR (2023), </w:t>
      </w:r>
      <w:r w:rsidR="00503471" w:rsidRPr="00503471">
        <w:rPr>
          <w:rFonts w:ascii="Times New Roman" w:hAnsi="Times New Roman" w:cs="Times New Roman"/>
          <w:i/>
          <w:iCs/>
        </w:rPr>
        <w:t>Standard Definitions. Final Dispositions of Case Codes and Outcome Rates for Surveys</w:t>
      </w:r>
      <w:r w:rsidR="00503471" w:rsidRPr="00503471">
        <w:rPr>
          <w:rFonts w:ascii="Times New Roman" w:hAnsi="Times New Roman" w:cs="Times New Roman"/>
        </w:rPr>
        <w:t>, Alexandria (VA): American Association for Public Opinion Research, p. 90.</w:t>
      </w:r>
    </w:p>
    <w:p w14:paraId="3FFC5638" w14:textId="77777777" w:rsidR="00503471" w:rsidRPr="00503471" w:rsidRDefault="00503471" w:rsidP="00503471">
      <w:pPr>
        <w:pStyle w:val="Bibliography"/>
        <w:rPr>
          <w:rFonts w:ascii="Times New Roman" w:hAnsi="Times New Roman" w:cs="Times New Roman"/>
        </w:rPr>
      </w:pPr>
      <w:r w:rsidRPr="00503471">
        <w:rPr>
          <w:rFonts w:ascii="Times New Roman" w:hAnsi="Times New Roman" w:cs="Times New Roman"/>
        </w:rPr>
        <w:t xml:space="preserve">Berthoud, R., Fumagalli, L., Lynn, P., and Platt, L. (2009), “Design of the Understanding Society Ethnic Minority Boost Sample,” </w:t>
      </w:r>
      <w:r w:rsidRPr="00503471">
        <w:rPr>
          <w:rFonts w:ascii="Times New Roman" w:hAnsi="Times New Roman" w:cs="Times New Roman"/>
          <w:i/>
          <w:iCs/>
        </w:rPr>
        <w:t>Understanding Society Working Papers</w:t>
      </w:r>
      <w:r w:rsidRPr="00503471">
        <w:rPr>
          <w:rFonts w:ascii="Times New Roman" w:hAnsi="Times New Roman" w:cs="Times New Roman"/>
        </w:rPr>
        <w:t>.</w:t>
      </w:r>
    </w:p>
    <w:p w14:paraId="4E8488EC" w14:textId="77777777" w:rsidR="00503471" w:rsidRPr="00503471" w:rsidRDefault="00503471" w:rsidP="00503471">
      <w:pPr>
        <w:pStyle w:val="Bibliography"/>
        <w:rPr>
          <w:rFonts w:ascii="Times New Roman" w:hAnsi="Times New Roman" w:cs="Times New Roman"/>
        </w:rPr>
      </w:pPr>
      <w:r w:rsidRPr="00503471">
        <w:rPr>
          <w:rFonts w:ascii="Times New Roman" w:hAnsi="Times New Roman" w:cs="Times New Roman"/>
        </w:rPr>
        <w:t xml:space="preserve">Burton, J., Lynn, P., and Benzeval, M. (2020), “How Understanding Society: The UK Household Longitudinal Study adapted to the COVID-19 pandemic,” </w:t>
      </w:r>
      <w:r w:rsidRPr="00503471">
        <w:rPr>
          <w:rFonts w:ascii="Times New Roman" w:hAnsi="Times New Roman" w:cs="Times New Roman"/>
          <w:i/>
          <w:iCs/>
        </w:rPr>
        <w:t>Survey Research Methods</w:t>
      </w:r>
      <w:r w:rsidRPr="00503471">
        <w:rPr>
          <w:rFonts w:ascii="Times New Roman" w:hAnsi="Times New Roman" w:cs="Times New Roman"/>
        </w:rPr>
        <w:t>, Survey Research Methods, 14, 235-239 Pages. https://doi.org/10.18148/SRM/2020.V14I2.7746.</w:t>
      </w:r>
    </w:p>
    <w:p w14:paraId="4D8592C3" w14:textId="77777777" w:rsidR="00503471" w:rsidRPr="00503471" w:rsidRDefault="00503471" w:rsidP="00503471">
      <w:pPr>
        <w:pStyle w:val="Bibliography"/>
        <w:rPr>
          <w:rFonts w:ascii="Times New Roman" w:hAnsi="Times New Roman" w:cs="Times New Roman"/>
        </w:rPr>
      </w:pPr>
      <w:r w:rsidRPr="00503471">
        <w:rPr>
          <w:rFonts w:ascii="Times New Roman" w:hAnsi="Times New Roman" w:cs="Times New Roman"/>
        </w:rPr>
        <w:t xml:space="preserve">Carpenter, H. (2021), </w:t>
      </w:r>
      <w:r w:rsidRPr="00503471">
        <w:rPr>
          <w:rFonts w:ascii="Times New Roman" w:hAnsi="Times New Roman" w:cs="Times New Roman"/>
          <w:i/>
          <w:iCs/>
        </w:rPr>
        <w:t>UK Household Longitudinal Study. Wave 11 technical report.</w:t>
      </w:r>
      <w:r w:rsidRPr="00503471">
        <w:rPr>
          <w:rFonts w:ascii="Times New Roman" w:hAnsi="Times New Roman" w:cs="Times New Roman"/>
        </w:rPr>
        <w:t>, Technical report, London: Kantar Public, p. 44.</w:t>
      </w:r>
    </w:p>
    <w:p w14:paraId="185C1231" w14:textId="77777777" w:rsidR="00503471" w:rsidRPr="00503471" w:rsidRDefault="00503471" w:rsidP="00503471">
      <w:pPr>
        <w:pStyle w:val="Bibliography"/>
        <w:rPr>
          <w:rFonts w:ascii="Times New Roman" w:hAnsi="Times New Roman" w:cs="Times New Roman"/>
        </w:rPr>
      </w:pPr>
      <w:r w:rsidRPr="00503471">
        <w:rPr>
          <w:rFonts w:ascii="Times New Roman" w:hAnsi="Times New Roman" w:cs="Times New Roman"/>
        </w:rPr>
        <w:t xml:space="preserve">Lynn, P. (2009), “Sample Design for Understanding Society,” </w:t>
      </w:r>
      <w:r w:rsidRPr="00503471">
        <w:rPr>
          <w:rFonts w:ascii="Times New Roman" w:hAnsi="Times New Roman" w:cs="Times New Roman"/>
          <w:i/>
          <w:iCs/>
        </w:rPr>
        <w:t>Understanding Society Working Papers</w:t>
      </w:r>
      <w:r w:rsidRPr="00503471">
        <w:rPr>
          <w:rFonts w:ascii="Times New Roman" w:hAnsi="Times New Roman" w:cs="Times New Roman"/>
        </w:rPr>
        <w:t>.</w:t>
      </w:r>
    </w:p>
    <w:p w14:paraId="1F32A2FE" w14:textId="77777777" w:rsidR="00503471" w:rsidRPr="00503471" w:rsidRDefault="00503471" w:rsidP="00503471">
      <w:pPr>
        <w:pStyle w:val="Bibliography"/>
        <w:rPr>
          <w:rFonts w:ascii="Times New Roman" w:hAnsi="Times New Roman" w:cs="Times New Roman"/>
        </w:rPr>
      </w:pPr>
      <w:r w:rsidRPr="00503471">
        <w:rPr>
          <w:rFonts w:ascii="Times New Roman" w:hAnsi="Times New Roman" w:cs="Times New Roman"/>
        </w:rPr>
        <w:t xml:space="preserve">Marcia Freed, T., Brice, J., Buck, N., and Prentice-Lane, E. (eds.) (2018), </w:t>
      </w:r>
      <w:r w:rsidRPr="00503471">
        <w:rPr>
          <w:rFonts w:ascii="Times New Roman" w:hAnsi="Times New Roman" w:cs="Times New Roman"/>
          <w:i/>
          <w:iCs/>
        </w:rPr>
        <w:t>British Household Panel Survey User Manual Volume A: Introduction, Technical Report and Appendices.</w:t>
      </w:r>
      <w:r w:rsidRPr="00503471">
        <w:rPr>
          <w:rFonts w:ascii="Times New Roman" w:hAnsi="Times New Roman" w:cs="Times New Roman"/>
        </w:rPr>
        <w:t>, Colchester: University of Essex.</w:t>
      </w:r>
    </w:p>
    <w:p w14:paraId="53E48286" w14:textId="7CFFDECE" w:rsidR="00B17DCC" w:rsidRPr="001512AC" w:rsidRDefault="00B17DCC" w:rsidP="001512AC">
      <w:r>
        <w:rPr>
          <w:rFonts w:ascii="Times New Roman" w:hAnsi="Times New Roman" w:cs="Times New Roman"/>
        </w:rPr>
        <w:fldChar w:fldCharType="end"/>
      </w:r>
    </w:p>
    <w:p w14:paraId="73E8649E" w14:textId="77777777" w:rsidR="007158C9" w:rsidRPr="001A1576" w:rsidRDefault="007158C9" w:rsidP="007158C9"/>
    <w:p w14:paraId="69541A77" w14:textId="77777777" w:rsidR="007158C9" w:rsidRPr="007158C9" w:rsidRDefault="007158C9" w:rsidP="007158C9">
      <w:pPr>
        <w:rPr>
          <w:lang w:val="en-GB"/>
        </w:rPr>
      </w:pPr>
    </w:p>
    <w:sectPr w:rsidR="007158C9" w:rsidRPr="007158C9" w:rsidSect="004271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47FCE" w14:textId="77777777" w:rsidR="003521AE" w:rsidRDefault="003521AE" w:rsidP="005B7612">
      <w:pPr>
        <w:spacing w:after="0" w:line="240" w:lineRule="auto"/>
      </w:pPr>
      <w:r>
        <w:separator/>
      </w:r>
    </w:p>
  </w:endnote>
  <w:endnote w:type="continuationSeparator" w:id="0">
    <w:p w14:paraId="651DE08C" w14:textId="77777777" w:rsidR="003521AE" w:rsidRDefault="003521AE" w:rsidP="005B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5185884"/>
      <w:docPartObj>
        <w:docPartGallery w:val="Page Numbers (Bottom of Page)"/>
        <w:docPartUnique/>
      </w:docPartObj>
    </w:sdtPr>
    <w:sdtEndPr>
      <w:rPr>
        <w:noProof/>
      </w:rPr>
    </w:sdtEndPr>
    <w:sdtContent>
      <w:p w14:paraId="2EA43360" w14:textId="3A9105DA" w:rsidR="000B7BAA" w:rsidRDefault="000B7B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CD6B17" w14:textId="77777777" w:rsidR="00A606CA" w:rsidRDefault="00A60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04DA9" w14:textId="77777777" w:rsidR="0082759D" w:rsidRDefault="00827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A489E" w14:textId="77777777" w:rsidR="0082759D" w:rsidRPr="001512AC" w:rsidRDefault="0082759D">
    <w:pPr>
      <w:pStyle w:val="Footer"/>
      <w:jc w:val="center"/>
      <w:rPr>
        <w:caps/>
        <w:noProof/>
      </w:rPr>
    </w:pPr>
    <w:r w:rsidRPr="001512AC">
      <w:rPr>
        <w:caps/>
      </w:rPr>
      <w:fldChar w:fldCharType="begin"/>
    </w:r>
    <w:r w:rsidRPr="001512AC">
      <w:rPr>
        <w:caps/>
      </w:rPr>
      <w:instrText xml:space="preserve"> PAGE   \* MERGEFORMAT </w:instrText>
    </w:r>
    <w:r w:rsidRPr="001512AC">
      <w:rPr>
        <w:caps/>
      </w:rPr>
      <w:fldChar w:fldCharType="separate"/>
    </w:r>
    <w:r w:rsidRPr="001512AC">
      <w:rPr>
        <w:caps/>
        <w:noProof/>
      </w:rPr>
      <w:t>2</w:t>
    </w:r>
    <w:r w:rsidRPr="001512AC">
      <w:rPr>
        <w:caps/>
        <w:noProof/>
      </w:rPr>
      <w:fldChar w:fldCharType="end"/>
    </w:r>
  </w:p>
  <w:p w14:paraId="7B7B1AD3" w14:textId="77777777" w:rsidR="0082759D" w:rsidRDefault="008275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0D0E2" w14:textId="77777777" w:rsidR="0082759D" w:rsidRDefault="00827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56046" w14:textId="77777777" w:rsidR="003521AE" w:rsidRDefault="003521AE" w:rsidP="005B7612">
      <w:pPr>
        <w:spacing w:after="0" w:line="240" w:lineRule="auto"/>
      </w:pPr>
      <w:r>
        <w:separator/>
      </w:r>
    </w:p>
  </w:footnote>
  <w:footnote w:type="continuationSeparator" w:id="0">
    <w:p w14:paraId="3D171E91" w14:textId="77777777" w:rsidR="003521AE" w:rsidRDefault="003521AE" w:rsidP="005B7612">
      <w:pPr>
        <w:spacing w:after="0" w:line="240" w:lineRule="auto"/>
      </w:pPr>
      <w:r>
        <w:continuationSeparator/>
      </w:r>
    </w:p>
  </w:footnote>
  <w:footnote w:id="1">
    <w:p w14:paraId="02F54996" w14:textId="68DB4CFF" w:rsidR="00A606CA" w:rsidRPr="00CE308D" w:rsidRDefault="00A606CA" w:rsidP="00A606CA">
      <w:pPr>
        <w:pStyle w:val="FootnoteText"/>
        <w:rPr>
          <w:lang w:val="en-GB"/>
        </w:rPr>
      </w:pPr>
      <w:r w:rsidRPr="0094731D">
        <w:rPr>
          <w:rStyle w:val="FootnoteReference"/>
        </w:rPr>
        <w:footnoteRef/>
      </w:r>
      <w:r>
        <w:t xml:space="preserve"> The fieldwork of each wave of </w:t>
      </w:r>
      <w:r w:rsidRPr="00CE308D">
        <w:rPr>
          <w:i/>
          <w:iCs/>
        </w:rPr>
        <w:t xml:space="preserve">Understanding Society </w:t>
      </w:r>
      <w:r>
        <w:t xml:space="preserve">expands over two years and a half. The different samples that form </w:t>
      </w:r>
      <w:r>
        <w:rPr>
          <w:i/>
          <w:iCs/>
        </w:rPr>
        <w:t>Understanding Society</w:t>
      </w:r>
      <w:r>
        <w:t xml:space="preserve"> are split into 24 random monthly samples. Each month, a new monthly sample is issued, and the fieldwork lasts 19 weeks </w:t>
      </w:r>
      <w:r w:rsidR="00503471">
        <w:fldChar w:fldCharType="begin"/>
      </w:r>
      <w:r w:rsidR="00503471">
        <w:instrText xml:space="preserve"> ADDIN ZOTERO_ITEM CSL_CITATION {"citationID":"zENFsrjH","properties":{"formattedCitation":"(Carpenter 2021)","plainCitation":"(Carpenter 2021)","noteIndex":1},"citationItems":[{"id":4613,"uris":["http://zotero.org/users/7701824/items/Q92W7R3Y"],"itemData":{"id":4613,"type":"report","event-place":"London","genre":"Technical report","number":"JN 40303970","page":"44","publisher":"Kantar Public","publisher-place":"London","title":"UK Household Longitudinal Study. Wave 11 technical report.","URL":"https://www.understandingsociety.ac.uk/sites/default/files/downloads/documentation/mainstage/technical-reports/wave-11-technical-report.pdf","author":[{"family":"Carpenter","given":"Hannah"}],"accessed":{"date-parts":[["2023",9,12]]},"issued":{"date-parts":[["2021"]]}}}],"schema":"https://github.com/citation-style-language/schema/raw/master/csl-citation.json"} </w:instrText>
      </w:r>
      <w:r w:rsidR="00503471">
        <w:fldChar w:fldCharType="separate"/>
      </w:r>
      <w:r w:rsidR="00503471" w:rsidRPr="00503471">
        <w:rPr>
          <w:rFonts w:ascii="Times New Roman" w:hAnsi="Times New Roman" w:cs="Times New Roman"/>
        </w:rPr>
        <w:t>(Carpenter 2021)</w:t>
      </w:r>
      <w:r w:rsidR="00503471">
        <w:fldChar w:fldCharType="end"/>
      </w:r>
      <w:r>
        <w:t>.</w:t>
      </w:r>
    </w:p>
  </w:footnote>
  <w:footnote w:id="2">
    <w:p w14:paraId="1714BC30" w14:textId="77777777" w:rsidR="00A606CA" w:rsidRPr="008F1372" w:rsidRDefault="00A606CA" w:rsidP="00A606CA">
      <w:pPr>
        <w:pStyle w:val="FootnoteText"/>
        <w:rPr>
          <w:lang w:val="en-GB"/>
        </w:rPr>
      </w:pPr>
      <w:r w:rsidRPr="0094731D">
        <w:rPr>
          <w:rStyle w:val="FootnoteReference"/>
        </w:rPr>
        <w:footnoteRef/>
      </w:r>
      <w:r>
        <w:t xml:space="preserve"> For the ethnic minority and immigration boost samples, </w:t>
      </w:r>
      <m:oMath>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1</m:t>
            </m:r>
          </m:sub>
        </m:sSub>
      </m:oMath>
      <w:r>
        <w:rPr>
          <w:lang w:val="en-GB"/>
        </w:rPr>
        <w:t xml:space="preserve"> is restricted to the eligible sample members in the sampled households, who are persons with an ethnic minority background and, in the case of the IEMB, people born outside the United Kingdom.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2AF15" w14:textId="77777777" w:rsidR="0082759D" w:rsidRDefault="00827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7B0D0" w14:textId="77777777" w:rsidR="0082759D" w:rsidRDefault="00827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89CB0" w14:textId="77777777" w:rsidR="0082759D" w:rsidRDefault="00827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6540F"/>
    <w:multiLevelType w:val="hybridMultilevel"/>
    <w:tmpl w:val="05D8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70DCA"/>
    <w:multiLevelType w:val="hybridMultilevel"/>
    <w:tmpl w:val="46BE3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A016C"/>
    <w:multiLevelType w:val="hybridMultilevel"/>
    <w:tmpl w:val="54F8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C1805"/>
    <w:multiLevelType w:val="hybridMultilevel"/>
    <w:tmpl w:val="3E3E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A0B8F"/>
    <w:multiLevelType w:val="hybridMultilevel"/>
    <w:tmpl w:val="5A668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C26F9"/>
    <w:multiLevelType w:val="hybridMultilevel"/>
    <w:tmpl w:val="4DD2C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247F2"/>
    <w:multiLevelType w:val="hybridMultilevel"/>
    <w:tmpl w:val="C17AD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C47E5"/>
    <w:multiLevelType w:val="hybridMultilevel"/>
    <w:tmpl w:val="BBF4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56E7F"/>
    <w:multiLevelType w:val="hybridMultilevel"/>
    <w:tmpl w:val="922A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45CF5"/>
    <w:multiLevelType w:val="hybridMultilevel"/>
    <w:tmpl w:val="CCBA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D0E91"/>
    <w:multiLevelType w:val="hybridMultilevel"/>
    <w:tmpl w:val="911A2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60147"/>
    <w:multiLevelType w:val="hybridMultilevel"/>
    <w:tmpl w:val="7D2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21A6F"/>
    <w:multiLevelType w:val="hybridMultilevel"/>
    <w:tmpl w:val="AC78E676"/>
    <w:lvl w:ilvl="0" w:tplc="C9042E0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547526"/>
    <w:multiLevelType w:val="hybridMultilevel"/>
    <w:tmpl w:val="A320AC22"/>
    <w:lvl w:ilvl="0" w:tplc="8B0814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A63ECE"/>
    <w:multiLevelType w:val="hybridMultilevel"/>
    <w:tmpl w:val="B08A37C4"/>
    <w:lvl w:ilvl="0" w:tplc="6CB25CA4">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573B99"/>
    <w:multiLevelType w:val="hybridMultilevel"/>
    <w:tmpl w:val="4008CF62"/>
    <w:lvl w:ilvl="0" w:tplc="6CB25CA4">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03935"/>
    <w:multiLevelType w:val="hybridMultilevel"/>
    <w:tmpl w:val="B930F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807B0B"/>
    <w:multiLevelType w:val="hybridMultilevel"/>
    <w:tmpl w:val="2F94C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5728CE"/>
    <w:multiLevelType w:val="hybridMultilevel"/>
    <w:tmpl w:val="7AEE8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8A06B8"/>
    <w:multiLevelType w:val="hybridMultilevel"/>
    <w:tmpl w:val="FD5E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30BDA"/>
    <w:multiLevelType w:val="hybridMultilevel"/>
    <w:tmpl w:val="F6C0D3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316928"/>
    <w:multiLevelType w:val="hybridMultilevel"/>
    <w:tmpl w:val="DAD6D65E"/>
    <w:lvl w:ilvl="0" w:tplc="71A2AC7E">
      <w:start w:val="1"/>
      <w:numFmt w:val="bullet"/>
      <w:lvlText w:val=""/>
      <w:lvlJc w:val="left"/>
      <w:pPr>
        <w:ind w:left="720" w:hanging="360"/>
      </w:pPr>
      <w:rPr>
        <w:rFonts w:ascii="Symbol" w:hAnsi="Symbol" w:hint="default"/>
      </w:rPr>
    </w:lvl>
    <w:lvl w:ilvl="1" w:tplc="CCA68F42">
      <w:start w:val="1"/>
      <w:numFmt w:val="bullet"/>
      <w:lvlText w:val="o"/>
      <w:lvlJc w:val="left"/>
      <w:pPr>
        <w:ind w:left="1440" w:hanging="360"/>
      </w:pPr>
      <w:rPr>
        <w:rFonts w:ascii="Courier New" w:hAnsi="Courier New" w:hint="default"/>
      </w:rPr>
    </w:lvl>
    <w:lvl w:ilvl="2" w:tplc="4D9A8C76">
      <w:start w:val="1"/>
      <w:numFmt w:val="bullet"/>
      <w:lvlText w:val=""/>
      <w:lvlJc w:val="left"/>
      <w:pPr>
        <w:ind w:left="2160" w:hanging="360"/>
      </w:pPr>
      <w:rPr>
        <w:rFonts w:ascii="Wingdings" w:hAnsi="Wingdings" w:hint="default"/>
      </w:rPr>
    </w:lvl>
    <w:lvl w:ilvl="3" w:tplc="017C7398">
      <w:start w:val="1"/>
      <w:numFmt w:val="bullet"/>
      <w:lvlText w:val=""/>
      <w:lvlJc w:val="left"/>
      <w:pPr>
        <w:ind w:left="2880" w:hanging="360"/>
      </w:pPr>
      <w:rPr>
        <w:rFonts w:ascii="Symbol" w:hAnsi="Symbol" w:hint="default"/>
      </w:rPr>
    </w:lvl>
    <w:lvl w:ilvl="4" w:tplc="25DA6418">
      <w:start w:val="1"/>
      <w:numFmt w:val="bullet"/>
      <w:lvlText w:val="o"/>
      <w:lvlJc w:val="left"/>
      <w:pPr>
        <w:ind w:left="3600" w:hanging="360"/>
      </w:pPr>
      <w:rPr>
        <w:rFonts w:ascii="Courier New" w:hAnsi="Courier New" w:hint="default"/>
      </w:rPr>
    </w:lvl>
    <w:lvl w:ilvl="5" w:tplc="8710ED24">
      <w:start w:val="1"/>
      <w:numFmt w:val="bullet"/>
      <w:lvlText w:val=""/>
      <w:lvlJc w:val="left"/>
      <w:pPr>
        <w:ind w:left="4320" w:hanging="360"/>
      </w:pPr>
      <w:rPr>
        <w:rFonts w:ascii="Wingdings" w:hAnsi="Wingdings" w:hint="default"/>
      </w:rPr>
    </w:lvl>
    <w:lvl w:ilvl="6" w:tplc="16ECBB9E">
      <w:start w:val="1"/>
      <w:numFmt w:val="bullet"/>
      <w:lvlText w:val=""/>
      <w:lvlJc w:val="left"/>
      <w:pPr>
        <w:ind w:left="5040" w:hanging="360"/>
      </w:pPr>
      <w:rPr>
        <w:rFonts w:ascii="Symbol" w:hAnsi="Symbol" w:hint="default"/>
      </w:rPr>
    </w:lvl>
    <w:lvl w:ilvl="7" w:tplc="24763DB6">
      <w:start w:val="1"/>
      <w:numFmt w:val="bullet"/>
      <w:lvlText w:val="o"/>
      <w:lvlJc w:val="left"/>
      <w:pPr>
        <w:ind w:left="5760" w:hanging="360"/>
      </w:pPr>
      <w:rPr>
        <w:rFonts w:ascii="Courier New" w:hAnsi="Courier New" w:hint="default"/>
      </w:rPr>
    </w:lvl>
    <w:lvl w:ilvl="8" w:tplc="F3D00D50">
      <w:start w:val="1"/>
      <w:numFmt w:val="bullet"/>
      <w:lvlText w:val=""/>
      <w:lvlJc w:val="left"/>
      <w:pPr>
        <w:ind w:left="6480" w:hanging="360"/>
      </w:pPr>
      <w:rPr>
        <w:rFonts w:ascii="Wingdings" w:hAnsi="Wingdings" w:hint="default"/>
      </w:rPr>
    </w:lvl>
  </w:abstractNum>
  <w:abstractNum w:abstractNumId="22" w15:restartNumberingAfterBreak="0">
    <w:nsid w:val="3DBB7359"/>
    <w:multiLevelType w:val="hybridMultilevel"/>
    <w:tmpl w:val="FB36DF6A"/>
    <w:lvl w:ilvl="0" w:tplc="FFFFFFF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CB3BD8"/>
    <w:multiLevelType w:val="hybridMultilevel"/>
    <w:tmpl w:val="29A6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2B1F4A"/>
    <w:multiLevelType w:val="hybridMultilevel"/>
    <w:tmpl w:val="88828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57748A"/>
    <w:multiLevelType w:val="hybridMultilevel"/>
    <w:tmpl w:val="250A62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3F3417"/>
    <w:multiLevelType w:val="hybridMultilevel"/>
    <w:tmpl w:val="59C8CB56"/>
    <w:lvl w:ilvl="0" w:tplc="54687AB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891DC4"/>
    <w:multiLevelType w:val="hybridMultilevel"/>
    <w:tmpl w:val="6D6E9F82"/>
    <w:lvl w:ilvl="0" w:tplc="6CB25CA4">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5F23C7"/>
    <w:multiLevelType w:val="hybridMultilevel"/>
    <w:tmpl w:val="77F21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60225F"/>
    <w:multiLevelType w:val="hybridMultilevel"/>
    <w:tmpl w:val="AFB0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F3516E"/>
    <w:multiLevelType w:val="hybridMultilevel"/>
    <w:tmpl w:val="23CA6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B74C45"/>
    <w:multiLevelType w:val="hybridMultilevel"/>
    <w:tmpl w:val="65D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DE1C29"/>
    <w:multiLevelType w:val="hybridMultilevel"/>
    <w:tmpl w:val="207450F8"/>
    <w:lvl w:ilvl="0" w:tplc="ED8A8F54">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3" w15:restartNumberingAfterBreak="0">
    <w:nsid w:val="586C71F1"/>
    <w:multiLevelType w:val="hybridMultilevel"/>
    <w:tmpl w:val="056C4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8150CF"/>
    <w:multiLevelType w:val="hybridMultilevel"/>
    <w:tmpl w:val="D870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8E41BE"/>
    <w:multiLevelType w:val="hybridMultilevel"/>
    <w:tmpl w:val="ED22C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A451B2"/>
    <w:multiLevelType w:val="hybridMultilevel"/>
    <w:tmpl w:val="ED22C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D84D26"/>
    <w:multiLevelType w:val="hybridMultilevel"/>
    <w:tmpl w:val="70B0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F1371B"/>
    <w:multiLevelType w:val="hybridMultilevel"/>
    <w:tmpl w:val="B11A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554249"/>
    <w:multiLevelType w:val="hybridMultilevel"/>
    <w:tmpl w:val="B930F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D075F5"/>
    <w:multiLevelType w:val="hybridMultilevel"/>
    <w:tmpl w:val="A0683698"/>
    <w:lvl w:ilvl="0" w:tplc="BEAE93DA">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D503CA"/>
    <w:multiLevelType w:val="hybridMultilevel"/>
    <w:tmpl w:val="B930F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456642"/>
    <w:multiLevelType w:val="hybridMultilevel"/>
    <w:tmpl w:val="DB861C9A"/>
    <w:lvl w:ilvl="0" w:tplc="8B245706">
      <w:start w:val="1"/>
      <w:numFmt w:val="bullet"/>
      <w:lvlText w:val="-"/>
      <w:lvlJc w:val="left"/>
      <w:pPr>
        <w:ind w:left="420" w:hanging="360"/>
      </w:pPr>
      <w:rPr>
        <w:rFonts w:ascii="Times New Roman" w:eastAsiaTheme="minorEastAsia"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3" w15:restartNumberingAfterBreak="0">
    <w:nsid w:val="73F665CB"/>
    <w:multiLevelType w:val="hybridMultilevel"/>
    <w:tmpl w:val="E8D015D4"/>
    <w:lvl w:ilvl="0" w:tplc="9C5017D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2E3279"/>
    <w:multiLevelType w:val="hybridMultilevel"/>
    <w:tmpl w:val="0DD4CA1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5" w15:restartNumberingAfterBreak="0">
    <w:nsid w:val="7A073C57"/>
    <w:multiLevelType w:val="hybridMultilevel"/>
    <w:tmpl w:val="6D34DFF2"/>
    <w:lvl w:ilvl="0" w:tplc="E7E4B2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8F6041"/>
    <w:multiLevelType w:val="hybridMultilevel"/>
    <w:tmpl w:val="B318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1E7020"/>
    <w:multiLevelType w:val="hybridMultilevel"/>
    <w:tmpl w:val="519E9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870297"/>
    <w:multiLevelType w:val="hybridMultilevel"/>
    <w:tmpl w:val="CB3439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C455E"/>
    <w:multiLevelType w:val="hybridMultilevel"/>
    <w:tmpl w:val="3702B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48356B"/>
    <w:multiLevelType w:val="hybridMultilevel"/>
    <w:tmpl w:val="519E9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A94C09"/>
    <w:multiLevelType w:val="hybridMultilevel"/>
    <w:tmpl w:val="96363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FCB5088"/>
    <w:multiLevelType w:val="hybridMultilevel"/>
    <w:tmpl w:val="B930F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714865">
    <w:abstractNumId w:val="21"/>
  </w:num>
  <w:num w:numId="2" w16cid:durableId="2096390432">
    <w:abstractNumId w:val="20"/>
  </w:num>
  <w:num w:numId="3" w16cid:durableId="2014650839">
    <w:abstractNumId w:val="40"/>
  </w:num>
  <w:num w:numId="4" w16cid:durableId="2056614626">
    <w:abstractNumId w:val="27"/>
  </w:num>
  <w:num w:numId="5" w16cid:durableId="1724597925">
    <w:abstractNumId w:val="10"/>
  </w:num>
  <w:num w:numId="6" w16cid:durableId="1982608837">
    <w:abstractNumId w:val="44"/>
  </w:num>
  <w:num w:numId="7" w16cid:durableId="98453478">
    <w:abstractNumId w:val="46"/>
  </w:num>
  <w:num w:numId="8" w16cid:durableId="1195584431">
    <w:abstractNumId w:val="25"/>
  </w:num>
  <w:num w:numId="9" w16cid:durableId="1698651494">
    <w:abstractNumId w:val="48"/>
  </w:num>
  <w:num w:numId="10" w16cid:durableId="1975481578">
    <w:abstractNumId w:val="14"/>
  </w:num>
  <w:num w:numId="11" w16cid:durableId="1605645621">
    <w:abstractNumId w:val="15"/>
  </w:num>
  <w:num w:numId="12" w16cid:durableId="415397614">
    <w:abstractNumId w:val="35"/>
  </w:num>
  <w:num w:numId="13" w16cid:durableId="165175711">
    <w:abstractNumId w:val="47"/>
  </w:num>
  <w:num w:numId="14" w16cid:durableId="246773255">
    <w:abstractNumId w:val="24"/>
  </w:num>
  <w:num w:numId="15" w16cid:durableId="1744326751">
    <w:abstractNumId w:val="7"/>
  </w:num>
  <w:num w:numId="16" w16cid:durableId="1508522722">
    <w:abstractNumId w:val="41"/>
  </w:num>
  <w:num w:numId="17" w16cid:durableId="1579511989">
    <w:abstractNumId w:val="51"/>
  </w:num>
  <w:num w:numId="18" w16cid:durableId="1223443186">
    <w:abstractNumId w:val="17"/>
  </w:num>
  <w:num w:numId="19" w16cid:durableId="1982883624">
    <w:abstractNumId w:val="16"/>
  </w:num>
  <w:num w:numId="20" w16cid:durableId="825828506">
    <w:abstractNumId w:val="39"/>
  </w:num>
  <w:num w:numId="21" w16cid:durableId="214198890">
    <w:abstractNumId w:val="1"/>
  </w:num>
  <w:num w:numId="22" w16cid:durableId="1930117777">
    <w:abstractNumId w:val="52"/>
  </w:num>
  <w:num w:numId="23" w16cid:durableId="1487627399">
    <w:abstractNumId w:val="30"/>
  </w:num>
  <w:num w:numId="24" w16cid:durableId="2087923010">
    <w:abstractNumId w:val="36"/>
  </w:num>
  <w:num w:numId="25" w16cid:durableId="2033529352">
    <w:abstractNumId w:val="50"/>
  </w:num>
  <w:num w:numId="26" w16cid:durableId="729814170">
    <w:abstractNumId w:val="43"/>
  </w:num>
  <w:num w:numId="27" w16cid:durableId="1455440365">
    <w:abstractNumId w:val="11"/>
  </w:num>
  <w:num w:numId="28" w16cid:durableId="1991707174">
    <w:abstractNumId w:val="31"/>
  </w:num>
  <w:num w:numId="29" w16cid:durableId="1197038113">
    <w:abstractNumId w:val="49"/>
  </w:num>
  <w:num w:numId="30" w16cid:durableId="386149005">
    <w:abstractNumId w:val="8"/>
  </w:num>
  <w:num w:numId="31" w16cid:durableId="1257864443">
    <w:abstractNumId w:val="3"/>
  </w:num>
  <w:num w:numId="32" w16cid:durableId="647131289">
    <w:abstractNumId w:val="18"/>
  </w:num>
  <w:num w:numId="33" w16cid:durableId="1868905833">
    <w:abstractNumId w:val="0"/>
  </w:num>
  <w:num w:numId="34" w16cid:durableId="562526781">
    <w:abstractNumId w:val="29"/>
  </w:num>
  <w:num w:numId="35" w16cid:durableId="690571947">
    <w:abstractNumId w:val="38"/>
  </w:num>
  <w:num w:numId="36" w16cid:durableId="115146940">
    <w:abstractNumId w:val="45"/>
  </w:num>
  <w:num w:numId="37" w16cid:durableId="1055272863">
    <w:abstractNumId w:val="19"/>
  </w:num>
  <w:num w:numId="38" w16cid:durableId="555556840">
    <w:abstractNumId w:val="28"/>
  </w:num>
  <w:num w:numId="39" w16cid:durableId="1844124226">
    <w:abstractNumId w:val="6"/>
  </w:num>
  <w:num w:numId="40" w16cid:durableId="1118530932">
    <w:abstractNumId w:val="33"/>
  </w:num>
  <w:num w:numId="41" w16cid:durableId="1724059334">
    <w:abstractNumId w:val="37"/>
  </w:num>
  <w:num w:numId="42" w16cid:durableId="1373532785">
    <w:abstractNumId w:val="5"/>
  </w:num>
  <w:num w:numId="43" w16cid:durableId="416899913">
    <w:abstractNumId w:val="42"/>
  </w:num>
  <w:num w:numId="44" w16cid:durableId="596518976">
    <w:abstractNumId w:val="34"/>
  </w:num>
  <w:num w:numId="45" w16cid:durableId="1143817654">
    <w:abstractNumId w:val="9"/>
  </w:num>
  <w:num w:numId="46" w16cid:durableId="1903129177">
    <w:abstractNumId w:val="4"/>
  </w:num>
  <w:num w:numId="47" w16cid:durableId="23487469">
    <w:abstractNumId w:val="23"/>
  </w:num>
  <w:num w:numId="48" w16cid:durableId="108285173">
    <w:abstractNumId w:val="2"/>
  </w:num>
  <w:num w:numId="49" w16cid:durableId="1874878718">
    <w:abstractNumId w:val="26"/>
  </w:num>
  <w:num w:numId="50" w16cid:durableId="2042583532">
    <w:abstractNumId w:val="22"/>
  </w:num>
  <w:num w:numId="51" w16cid:durableId="731346878">
    <w:abstractNumId w:val="32"/>
  </w:num>
  <w:num w:numId="52" w16cid:durableId="1354838877">
    <w:abstractNumId w:val="13"/>
  </w:num>
  <w:num w:numId="53" w16cid:durableId="679895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KwMDExNDcytLQ0M7FQ0lEKTi0uzszPAymwNKwFAEek/7ktAAAA"/>
  </w:docVars>
  <w:rsids>
    <w:rsidRoot w:val="3EE5E8C5"/>
    <w:rsid w:val="0000012D"/>
    <w:rsid w:val="00000B82"/>
    <w:rsid w:val="000010A4"/>
    <w:rsid w:val="0000191C"/>
    <w:rsid w:val="00001AB9"/>
    <w:rsid w:val="00002370"/>
    <w:rsid w:val="000026AE"/>
    <w:rsid w:val="00003166"/>
    <w:rsid w:val="00003293"/>
    <w:rsid w:val="00003790"/>
    <w:rsid w:val="00003C48"/>
    <w:rsid w:val="000047FB"/>
    <w:rsid w:val="00004A8F"/>
    <w:rsid w:val="0000508B"/>
    <w:rsid w:val="000050CF"/>
    <w:rsid w:val="00005A70"/>
    <w:rsid w:val="00005CDC"/>
    <w:rsid w:val="00006463"/>
    <w:rsid w:val="00007011"/>
    <w:rsid w:val="00007017"/>
    <w:rsid w:val="0000789E"/>
    <w:rsid w:val="00007EFF"/>
    <w:rsid w:val="0001050C"/>
    <w:rsid w:val="000118D9"/>
    <w:rsid w:val="00011988"/>
    <w:rsid w:val="00011FAC"/>
    <w:rsid w:val="00012831"/>
    <w:rsid w:val="00012880"/>
    <w:rsid w:val="000140FF"/>
    <w:rsid w:val="000144EC"/>
    <w:rsid w:val="00015584"/>
    <w:rsid w:val="00017EAB"/>
    <w:rsid w:val="00017F1F"/>
    <w:rsid w:val="000200B9"/>
    <w:rsid w:val="0002052B"/>
    <w:rsid w:val="00020F2E"/>
    <w:rsid w:val="000210E7"/>
    <w:rsid w:val="00021545"/>
    <w:rsid w:val="0002167F"/>
    <w:rsid w:val="00021F1C"/>
    <w:rsid w:val="000223D4"/>
    <w:rsid w:val="0002287C"/>
    <w:rsid w:val="00022B37"/>
    <w:rsid w:val="00022FE8"/>
    <w:rsid w:val="00023F08"/>
    <w:rsid w:val="00024649"/>
    <w:rsid w:val="00024AAB"/>
    <w:rsid w:val="00024D8A"/>
    <w:rsid w:val="00024DB1"/>
    <w:rsid w:val="00026A25"/>
    <w:rsid w:val="00026A7E"/>
    <w:rsid w:val="00026A80"/>
    <w:rsid w:val="00026B88"/>
    <w:rsid w:val="00027255"/>
    <w:rsid w:val="00027617"/>
    <w:rsid w:val="00027A19"/>
    <w:rsid w:val="00027AAE"/>
    <w:rsid w:val="00027F98"/>
    <w:rsid w:val="00030553"/>
    <w:rsid w:val="00031312"/>
    <w:rsid w:val="0003202C"/>
    <w:rsid w:val="0003238E"/>
    <w:rsid w:val="00032577"/>
    <w:rsid w:val="00033E0F"/>
    <w:rsid w:val="00033EDD"/>
    <w:rsid w:val="00034085"/>
    <w:rsid w:val="00034DB4"/>
    <w:rsid w:val="00034DBC"/>
    <w:rsid w:val="00034EB5"/>
    <w:rsid w:val="00034FD5"/>
    <w:rsid w:val="000352FD"/>
    <w:rsid w:val="000355C2"/>
    <w:rsid w:val="000356E6"/>
    <w:rsid w:val="00035B5D"/>
    <w:rsid w:val="00036324"/>
    <w:rsid w:val="00037241"/>
    <w:rsid w:val="000372E3"/>
    <w:rsid w:val="00040FE8"/>
    <w:rsid w:val="0004139A"/>
    <w:rsid w:val="0004146B"/>
    <w:rsid w:val="00042C66"/>
    <w:rsid w:val="000430C0"/>
    <w:rsid w:val="00043448"/>
    <w:rsid w:val="00043AE6"/>
    <w:rsid w:val="00043B05"/>
    <w:rsid w:val="00043C95"/>
    <w:rsid w:val="000440B3"/>
    <w:rsid w:val="00044300"/>
    <w:rsid w:val="00044EB6"/>
    <w:rsid w:val="0004593C"/>
    <w:rsid w:val="00045C6C"/>
    <w:rsid w:val="00046032"/>
    <w:rsid w:val="00046078"/>
    <w:rsid w:val="0004619B"/>
    <w:rsid w:val="0004622E"/>
    <w:rsid w:val="00046A38"/>
    <w:rsid w:val="00046DE9"/>
    <w:rsid w:val="00046F86"/>
    <w:rsid w:val="0004736A"/>
    <w:rsid w:val="00047816"/>
    <w:rsid w:val="000479CA"/>
    <w:rsid w:val="00047EB6"/>
    <w:rsid w:val="00051022"/>
    <w:rsid w:val="00051BD5"/>
    <w:rsid w:val="000520B4"/>
    <w:rsid w:val="000522DF"/>
    <w:rsid w:val="00052BEF"/>
    <w:rsid w:val="00053016"/>
    <w:rsid w:val="000534D5"/>
    <w:rsid w:val="00053682"/>
    <w:rsid w:val="0005384D"/>
    <w:rsid w:val="000546B5"/>
    <w:rsid w:val="00055474"/>
    <w:rsid w:val="000555DF"/>
    <w:rsid w:val="00056955"/>
    <w:rsid w:val="00057226"/>
    <w:rsid w:val="00057AD7"/>
    <w:rsid w:val="000607EB"/>
    <w:rsid w:val="00060857"/>
    <w:rsid w:val="000608DB"/>
    <w:rsid w:val="00060FDD"/>
    <w:rsid w:val="000611FC"/>
    <w:rsid w:val="0006130E"/>
    <w:rsid w:val="00061AAC"/>
    <w:rsid w:val="00062B31"/>
    <w:rsid w:val="00062B63"/>
    <w:rsid w:val="00063656"/>
    <w:rsid w:val="00063EB8"/>
    <w:rsid w:val="00065013"/>
    <w:rsid w:val="0006505F"/>
    <w:rsid w:val="0006509C"/>
    <w:rsid w:val="000650DE"/>
    <w:rsid w:val="00065210"/>
    <w:rsid w:val="000659DA"/>
    <w:rsid w:val="0006645B"/>
    <w:rsid w:val="00066C1A"/>
    <w:rsid w:val="00067177"/>
    <w:rsid w:val="00067603"/>
    <w:rsid w:val="00067A04"/>
    <w:rsid w:val="0007074D"/>
    <w:rsid w:val="00070C12"/>
    <w:rsid w:val="00071041"/>
    <w:rsid w:val="000710B8"/>
    <w:rsid w:val="00071139"/>
    <w:rsid w:val="0007118E"/>
    <w:rsid w:val="000716E4"/>
    <w:rsid w:val="00071E80"/>
    <w:rsid w:val="0007240E"/>
    <w:rsid w:val="000727C1"/>
    <w:rsid w:val="00072E6E"/>
    <w:rsid w:val="0007374A"/>
    <w:rsid w:val="000738A0"/>
    <w:rsid w:val="00073AFA"/>
    <w:rsid w:val="00074664"/>
    <w:rsid w:val="00074A67"/>
    <w:rsid w:val="000750B8"/>
    <w:rsid w:val="00075521"/>
    <w:rsid w:val="00075F3E"/>
    <w:rsid w:val="00075FDE"/>
    <w:rsid w:val="00076C79"/>
    <w:rsid w:val="00076D1B"/>
    <w:rsid w:val="000774EC"/>
    <w:rsid w:val="000776C1"/>
    <w:rsid w:val="00080267"/>
    <w:rsid w:val="00080681"/>
    <w:rsid w:val="000808DE"/>
    <w:rsid w:val="000809E9"/>
    <w:rsid w:val="00081525"/>
    <w:rsid w:val="0008182B"/>
    <w:rsid w:val="00082135"/>
    <w:rsid w:val="00082582"/>
    <w:rsid w:val="00082B89"/>
    <w:rsid w:val="00082F4D"/>
    <w:rsid w:val="00082FAA"/>
    <w:rsid w:val="00082FEE"/>
    <w:rsid w:val="0008456F"/>
    <w:rsid w:val="00084A85"/>
    <w:rsid w:val="00084C97"/>
    <w:rsid w:val="00084CCC"/>
    <w:rsid w:val="000853CE"/>
    <w:rsid w:val="0008551E"/>
    <w:rsid w:val="00085528"/>
    <w:rsid w:val="0008564E"/>
    <w:rsid w:val="00085D7E"/>
    <w:rsid w:val="00085E3A"/>
    <w:rsid w:val="00086473"/>
    <w:rsid w:val="000865AE"/>
    <w:rsid w:val="000869EB"/>
    <w:rsid w:val="00090882"/>
    <w:rsid w:val="00090C60"/>
    <w:rsid w:val="0009111E"/>
    <w:rsid w:val="00091239"/>
    <w:rsid w:val="00092029"/>
    <w:rsid w:val="0009345E"/>
    <w:rsid w:val="00094DA0"/>
    <w:rsid w:val="000953E6"/>
    <w:rsid w:val="000954D2"/>
    <w:rsid w:val="00095618"/>
    <w:rsid w:val="0009590F"/>
    <w:rsid w:val="0009652E"/>
    <w:rsid w:val="000969FC"/>
    <w:rsid w:val="00096E4B"/>
    <w:rsid w:val="00097547"/>
    <w:rsid w:val="0009794B"/>
    <w:rsid w:val="00097FCA"/>
    <w:rsid w:val="000A0F94"/>
    <w:rsid w:val="000A1723"/>
    <w:rsid w:val="000A23AF"/>
    <w:rsid w:val="000A282A"/>
    <w:rsid w:val="000A3305"/>
    <w:rsid w:val="000A43CB"/>
    <w:rsid w:val="000A45CC"/>
    <w:rsid w:val="000A578B"/>
    <w:rsid w:val="000A5C73"/>
    <w:rsid w:val="000A6146"/>
    <w:rsid w:val="000A654F"/>
    <w:rsid w:val="000B01A6"/>
    <w:rsid w:val="000B029A"/>
    <w:rsid w:val="000B038A"/>
    <w:rsid w:val="000B1B02"/>
    <w:rsid w:val="000B23F3"/>
    <w:rsid w:val="000B3271"/>
    <w:rsid w:val="000B43E8"/>
    <w:rsid w:val="000B4866"/>
    <w:rsid w:val="000B5577"/>
    <w:rsid w:val="000B600D"/>
    <w:rsid w:val="000B6AE0"/>
    <w:rsid w:val="000B7BAA"/>
    <w:rsid w:val="000C012C"/>
    <w:rsid w:val="000C0551"/>
    <w:rsid w:val="000C0B99"/>
    <w:rsid w:val="000C1E7E"/>
    <w:rsid w:val="000C1EFC"/>
    <w:rsid w:val="000C2C58"/>
    <w:rsid w:val="000C2E2B"/>
    <w:rsid w:val="000C43CB"/>
    <w:rsid w:val="000C5660"/>
    <w:rsid w:val="000C59F6"/>
    <w:rsid w:val="000C6602"/>
    <w:rsid w:val="000C6F65"/>
    <w:rsid w:val="000C7B6F"/>
    <w:rsid w:val="000C7F8A"/>
    <w:rsid w:val="000D0234"/>
    <w:rsid w:val="000D04BF"/>
    <w:rsid w:val="000D0506"/>
    <w:rsid w:val="000D09FA"/>
    <w:rsid w:val="000D0CC0"/>
    <w:rsid w:val="000D2089"/>
    <w:rsid w:val="000D21B2"/>
    <w:rsid w:val="000D34DD"/>
    <w:rsid w:val="000D465A"/>
    <w:rsid w:val="000D4E84"/>
    <w:rsid w:val="000D560C"/>
    <w:rsid w:val="000D67AC"/>
    <w:rsid w:val="000D744C"/>
    <w:rsid w:val="000D7574"/>
    <w:rsid w:val="000E132B"/>
    <w:rsid w:val="000E1CB1"/>
    <w:rsid w:val="000E2004"/>
    <w:rsid w:val="000E25F3"/>
    <w:rsid w:val="000E3006"/>
    <w:rsid w:val="000E3449"/>
    <w:rsid w:val="000E3F75"/>
    <w:rsid w:val="000E45C5"/>
    <w:rsid w:val="000E4675"/>
    <w:rsid w:val="000E5EB9"/>
    <w:rsid w:val="000E749D"/>
    <w:rsid w:val="000E7505"/>
    <w:rsid w:val="000E7DD1"/>
    <w:rsid w:val="000F0296"/>
    <w:rsid w:val="000F2495"/>
    <w:rsid w:val="000F2FA3"/>
    <w:rsid w:val="000F45CF"/>
    <w:rsid w:val="000F4BCF"/>
    <w:rsid w:val="000F5180"/>
    <w:rsid w:val="000F521F"/>
    <w:rsid w:val="000F5750"/>
    <w:rsid w:val="000F5C2D"/>
    <w:rsid w:val="000F778D"/>
    <w:rsid w:val="000F799E"/>
    <w:rsid w:val="000F7A37"/>
    <w:rsid w:val="000F7D74"/>
    <w:rsid w:val="0010167C"/>
    <w:rsid w:val="00103DE3"/>
    <w:rsid w:val="0010449F"/>
    <w:rsid w:val="00104557"/>
    <w:rsid w:val="00104564"/>
    <w:rsid w:val="00104850"/>
    <w:rsid w:val="00104F8E"/>
    <w:rsid w:val="00105323"/>
    <w:rsid w:val="00105527"/>
    <w:rsid w:val="0010562C"/>
    <w:rsid w:val="001059E6"/>
    <w:rsid w:val="00106336"/>
    <w:rsid w:val="00106532"/>
    <w:rsid w:val="00106F93"/>
    <w:rsid w:val="001073A9"/>
    <w:rsid w:val="00110FAB"/>
    <w:rsid w:val="00112031"/>
    <w:rsid w:val="0011276D"/>
    <w:rsid w:val="00112EF8"/>
    <w:rsid w:val="00113459"/>
    <w:rsid w:val="001135EE"/>
    <w:rsid w:val="00113A36"/>
    <w:rsid w:val="00113C32"/>
    <w:rsid w:val="00113DB7"/>
    <w:rsid w:val="00113FBA"/>
    <w:rsid w:val="00114350"/>
    <w:rsid w:val="0011450E"/>
    <w:rsid w:val="00114899"/>
    <w:rsid w:val="001149F3"/>
    <w:rsid w:val="00114B9C"/>
    <w:rsid w:val="00115D30"/>
    <w:rsid w:val="001161E9"/>
    <w:rsid w:val="00116A60"/>
    <w:rsid w:val="00116B44"/>
    <w:rsid w:val="001178A8"/>
    <w:rsid w:val="00121174"/>
    <w:rsid w:val="001217AC"/>
    <w:rsid w:val="00121D15"/>
    <w:rsid w:val="00122056"/>
    <w:rsid w:val="00122535"/>
    <w:rsid w:val="001234AD"/>
    <w:rsid w:val="00123968"/>
    <w:rsid w:val="00123EED"/>
    <w:rsid w:val="001241C5"/>
    <w:rsid w:val="00124CB0"/>
    <w:rsid w:val="00125625"/>
    <w:rsid w:val="0013000C"/>
    <w:rsid w:val="00130A20"/>
    <w:rsid w:val="00130C1A"/>
    <w:rsid w:val="00131F76"/>
    <w:rsid w:val="001325AE"/>
    <w:rsid w:val="00132B02"/>
    <w:rsid w:val="0013377F"/>
    <w:rsid w:val="0013404F"/>
    <w:rsid w:val="00134293"/>
    <w:rsid w:val="001345CE"/>
    <w:rsid w:val="00135347"/>
    <w:rsid w:val="00135EFE"/>
    <w:rsid w:val="00136663"/>
    <w:rsid w:val="001374EC"/>
    <w:rsid w:val="001378A4"/>
    <w:rsid w:val="00140C3F"/>
    <w:rsid w:val="00140D28"/>
    <w:rsid w:val="00141455"/>
    <w:rsid w:val="001414E0"/>
    <w:rsid w:val="00141E8A"/>
    <w:rsid w:val="001421CC"/>
    <w:rsid w:val="00143684"/>
    <w:rsid w:val="00143A41"/>
    <w:rsid w:val="00143A99"/>
    <w:rsid w:val="00143D29"/>
    <w:rsid w:val="001447EA"/>
    <w:rsid w:val="00144894"/>
    <w:rsid w:val="00144F4B"/>
    <w:rsid w:val="001454B2"/>
    <w:rsid w:val="001458F3"/>
    <w:rsid w:val="00145E90"/>
    <w:rsid w:val="00145F4F"/>
    <w:rsid w:val="00146648"/>
    <w:rsid w:val="001469CB"/>
    <w:rsid w:val="00146FD5"/>
    <w:rsid w:val="00147078"/>
    <w:rsid w:val="0014718E"/>
    <w:rsid w:val="00147594"/>
    <w:rsid w:val="0014792E"/>
    <w:rsid w:val="00150515"/>
    <w:rsid w:val="001512AC"/>
    <w:rsid w:val="001518CD"/>
    <w:rsid w:val="00152A13"/>
    <w:rsid w:val="00152C76"/>
    <w:rsid w:val="0015455C"/>
    <w:rsid w:val="001546A8"/>
    <w:rsid w:val="00154B2E"/>
    <w:rsid w:val="00154F9B"/>
    <w:rsid w:val="001551D4"/>
    <w:rsid w:val="0015566B"/>
    <w:rsid w:val="0015589B"/>
    <w:rsid w:val="00155C7E"/>
    <w:rsid w:val="00155EE5"/>
    <w:rsid w:val="00157393"/>
    <w:rsid w:val="001573F1"/>
    <w:rsid w:val="0016024D"/>
    <w:rsid w:val="001602CC"/>
    <w:rsid w:val="001606C8"/>
    <w:rsid w:val="00160735"/>
    <w:rsid w:val="0016087E"/>
    <w:rsid w:val="00160C5E"/>
    <w:rsid w:val="00161327"/>
    <w:rsid w:val="00163243"/>
    <w:rsid w:val="0016362E"/>
    <w:rsid w:val="0016384C"/>
    <w:rsid w:val="00163A7F"/>
    <w:rsid w:val="00164AB0"/>
    <w:rsid w:val="00164C03"/>
    <w:rsid w:val="0016523F"/>
    <w:rsid w:val="0016550B"/>
    <w:rsid w:val="0016561D"/>
    <w:rsid w:val="00166342"/>
    <w:rsid w:val="001669D2"/>
    <w:rsid w:val="001669E9"/>
    <w:rsid w:val="00166D3D"/>
    <w:rsid w:val="00167769"/>
    <w:rsid w:val="001678EC"/>
    <w:rsid w:val="00170029"/>
    <w:rsid w:val="0017044B"/>
    <w:rsid w:val="001704A8"/>
    <w:rsid w:val="001708EF"/>
    <w:rsid w:val="00170932"/>
    <w:rsid w:val="001710EC"/>
    <w:rsid w:val="00171883"/>
    <w:rsid w:val="00171B5E"/>
    <w:rsid w:val="00171BDF"/>
    <w:rsid w:val="00171EC3"/>
    <w:rsid w:val="0017243D"/>
    <w:rsid w:val="001724A6"/>
    <w:rsid w:val="001724BC"/>
    <w:rsid w:val="001726C7"/>
    <w:rsid w:val="001737F2"/>
    <w:rsid w:val="0017396C"/>
    <w:rsid w:val="00173B9E"/>
    <w:rsid w:val="00174853"/>
    <w:rsid w:val="0017603E"/>
    <w:rsid w:val="001769CF"/>
    <w:rsid w:val="00176E27"/>
    <w:rsid w:val="0017739A"/>
    <w:rsid w:val="001776D4"/>
    <w:rsid w:val="00177F3E"/>
    <w:rsid w:val="001801D0"/>
    <w:rsid w:val="001806F4"/>
    <w:rsid w:val="00180A72"/>
    <w:rsid w:val="00180C37"/>
    <w:rsid w:val="00181447"/>
    <w:rsid w:val="00182024"/>
    <w:rsid w:val="001821A7"/>
    <w:rsid w:val="001832D3"/>
    <w:rsid w:val="00184FE1"/>
    <w:rsid w:val="00185404"/>
    <w:rsid w:val="0018599D"/>
    <w:rsid w:val="00186139"/>
    <w:rsid w:val="00186B81"/>
    <w:rsid w:val="00186BE7"/>
    <w:rsid w:val="00187444"/>
    <w:rsid w:val="001875B4"/>
    <w:rsid w:val="00187896"/>
    <w:rsid w:val="001901A7"/>
    <w:rsid w:val="00190525"/>
    <w:rsid w:val="001905B2"/>
    <w:rsid w:val="00190FCD"/>
    <w:rsid w:val="00191797"/>
    <w:rsid w:val="00192043"/>
    <w:rsid w:val="00192188"/>
    <w:rsid w:val="00192A25"/>
    <w:rsid w:val="001935C3"/>
    <w:rsid w:val="00193F0B"/>
    <w:rsid w:val="00194573"/>
    <w:rsid w:val="00194B68"/>
    <w:rsid w:val="00194F2E"/>
    <w:rsid w:val="0019513B"/>
    <w:rsid w:val="00195400"/>
    <w:rsid w:val="00195B9C"/>
    <w:rsid w:val="00197427"/>
    <w:rsid w:val="00197538"/>
    <w:rsid w:val="001A0292"/>
    <w:rsid w:val="001A02CB"/>
    <w:rsid w:val="001A0DDE"/>
    <w:rsid w:val="001A0E2C"/>
    <w:rsid w:val="001A1576"/>
    <w:rsid w:val="001A21F8"/>
    <w:rsid w:val="001A2644"/>
    <w:rsid w:val="001A2696"/>
    <w:rsid w:val="001A2831"/>
    <w:rsid w:val="001A4731"/>
    <w:rsid w:val="001A50C4"/>
    <w:rsid w:val="001A6718"/>
    <w:rsid w:val="001A7106"/>
    <w:rsid w:val="001A7654"/>
    <w:rsid w:val="001A76AC"/>
    <w:rsid w:val="001B01A3"/>
    <w:rsid w:val="001B05A6"/>
    <w:rsid w:val="001B110D"/>
    <w:rsid w:val="001B1193"/>
    <w:rsid w:val="001B11D0"/>
    <w:rsid w:val="001B173B"/>
    <w:rsid w:val="001B1873"/>
    <w:rsid w:val="001B1926"/>
    <w:rsid w:val="001B22E8"/>
    <w:rsid w:val="001B3E93"/>
    <w:rsid w:val="001B47CF"/>
    <w:rsid w:val="001B609D"/>
    <w:rsid w:val="001B6F2B"/>
    <w:rsid w:val="001B746C"/>
    <w:rsid w:val="001B7797"/>
    <w:rsid w:val="001B7A10"/>
    <w:rsid w:val="001C00E3"/>
    <w:rsid w:val="001C091B"/>
    <w:rsid w:val="001C21D4"/>
    <w:rsid w:val="001C3148"/>
    <w:rsid w:val="001C355C"/>
    <w:rsid w:val="001C398B"/>
    <w:rsid w:val="001C3A11"/>
    <w:rsid w:val="001C3FAB"/>
    <w:rsid w:val="001C5048"/>
    <w:rsid w:val="001C56BF"/>
    <w:rsid w:val="001C5744"/>
    <w:rsid w:val="001C6048"/>
    <w:rsid w:val="001C6237"/>
    <w:rsid w:val="001C637B"/>
    <w:rsid w:val="001C6A2D"/>
    <w:rsid w:val="001C6D10"/>
    <w:rsid w:val="001C73EA"/>
    <w:rsid w:val="001C7CE8"/>
    <w:rsid w:val="001C7E8F"/>
    <w:rsid w:val="001C7EDA"/>
    <w:rsid w:val="001D0766"/>
    <w:rsid w:val="001D0A19"/>
    <w:rsid w:val="001D1E96"/>
    <w:rsid w:val="001D2802"/>
    <w:rsid w:val="001D33DC"/>
    <w:rsid w:val="001D379E"/>
    <w:rsid w:val="001D3A44"/>
    <w:rsid w:val="001D3B20"/>
    <w:rsid w:val="001D3EF5"/>
    <w:rsid w:val="001D3F57"/>
    <w:rsid w:val="001D4D49"/>
    <w:rsid w:val="001D5366"/>
    <w:rsid w:val="001D5D0F"/>
    <w:rsid w:val="001D61E1"/>
    <w:rsid w:val="001D678E"/>
    <w:rsid w:val="001D699E"/>
    <w:rsid w:val="001D744D"/>
    <w:rsid w:val="001E0940"/>
    <w:rsid w:val="001E0C96"/>
    <w:rsid w:val="001E11B1"/>
    <w:rsid w:val="001E14A9"/>
    <w:rsid w:val="001E1C3E"/>
    <w:rsid w:val="001E1C48"/>
    <w:rsid w:val="001E1E9D"/>
    <w:rsid w:val="001E296C"/>
    <w:rsid w:val="001E3582"/>
    <w:rsid w:val="001E39E7"/>
    <w:rsid w:val="001E3E1B"/>
    <w:rsid w:val="001E3E80"/>
    <w:rsid w:val="001E43FB"/>
    <w:rsid w:val="001E47AF"/>
    <w:rsid w:val="001E55FF"/>
    <w:rsid w:val="001E5DA0"/>
    <w:rsid w:val="001E5FDD"/>
    <w:rsid w:val="001E61A3"/>
    <w:rsid w:val="001E6B32"/>
    <w:rsid w:val="001E6EAB"/>
    <w:rsid w:val="001E7F09"/>
    <w:rsid w:val="001F0452"/>
    <w:rsid w:val="001F0DB3"/>
    <w:rsid w:val="001F0F25"/>
    <w:rsid w:val="001F0FA6"/>
    <w:rsid w:val="001F1D6D"/>
    <w:rsid w:val="001F1E4F"/>
    <w:rsid w:val="001F3040"/>
    <w:rsid w:val="001F30B0"/>
    <w:rsid w:val="001F3217"/>
    <w:rsid w:val="001F43D0"/>
    <w:rsid w:val="001F4F12"/>
    <w:rsid w:val="001F5BA3"/>
    <w:rsid w:val="001F676D"/>
    <w:rsid w:val="001F7A74"/>
    <w:rsid w:val="002003A7"/>
    <w:rsid w:val="00200B5C"/>
    <w:rsid w:val="0020174E"/>
    <w:rsid w:val="00202452"/>
    <w:rsid w:val="0020380F"/>
    <w:rsid w:val="00204311"/>
    <w:rsid w:val="0020456F"/>
    <w:rsid w:val="00204760"/>
    <w:rsid w:val="00204F42"/>
    <w:rsid w:val="00204FBC"/>
    <w:rsid w:val="00205882"/>
    <w:rsid w:val="00205B59"/>
    <w:rsid w:val="002064DF"/>
    <w:rsid w:val="00206581"/>
    <w:rsid w:val="002066D6"/>
    <w:rsid w:val="00206B0B"/>
    <w:rsid w:val="00206BA0"/>
    <w:rsid w:val="00207581"/>
    <w:rsid w:val="00207E70"/>
    <w:rsid w:val="00210047"/>
    <w:rsid w:val="00211027"/>
    <w:rsid w:val="0021181E"/>
    <w:rsid w:val="00211B9E"/>
    <w:rsid w:val="00211DD3"/>
    <w:rsid w:val="002120C0"/>
    <w:rsid w:val="00212AC3"/>
    <w:rsid w:val="00212B84"/>
    <w:rsid w:val="002131DA"/>
    <w:rsid w:val="00213842"/>
    <w:rsid w:val="002142FF"/>
    <w:rsid w:val="002157AD"/>
    <w:rsid w:val="00215898"/>
    <w:rsid w:val="0022170A"/>
    <w:rsid w:val="00221FF1"/>
    <w:rsid w:val="002224F7"/>
    <w:rsid w:val="002228A4"/>
    <w:rsid w:val="00222976"/>
    <w:rsid w:val="0022404B"/>
    <w:rsid w:val="00224133"/>
    <w:rsid w:val="00224164"/>
    <w:rsid w:val="00225066"/>
    <w:rsid w:val="00225336"/>
    <w:rsid w:val="0022545F"/>
    <w:rsid w:val="0023071E"/>
    <w:rsid w:val="00230E72"/>
    <w:rsid w:val="0023104B"/>
    <w:rsid w:val="002316F7"/>
    <w:rsid w:val="0023229C"/>
    <w:rsid w:val="00232519"/>
    <w:rsid w:val="002326CC"/>
    <w:rsid w:val="002336BE"/>
    <w:rsid w:val="00233949"/>
    <w:rsid w:val="00233A29"/>
    <w:rsid w:val="00233E34"/>
    <w:rsid w:val="00234418"/>
    <w:rsid w:val="00234911"/>
    <w:rsid w:val="00234BE2"/>
    <w:rsid w:val="00234F6D"/>
    <w:rsid w:val="00234FD6"/>
    <w:rsid w:val="00235621"/>
    <w:rsid w:val="00235929"/>
    <w:rsid w:val="00235C00"/>
    <w:rsid w:val="0023669F"/>
    <w:rsid w:val="00236819"/>
    <w:rsid w:val="002378B9"/>
    <w:rsid w:val="00240C89"/>
    <w:rsid w:val="00240CC1"/>
    <w:rsid w:val="002419AD"/>
    <w:rsid w:val="00242867"/>
    <w:rsid w:val="00243524"/>
    <w:rsid w:val="00243EB5"/>
    <w:rsid w:val="002440B9"/>
    <w:rsid w:val="00244801"/>
    <w:rsid w:val="002449F9"/>
    <w:rsid w:val="00245717"/>
    <w:rsid w:val="00245CCA"/>
    <w:rsid w:val="00245F45"/>
    <w:rsid w:val="00245F5A"/>
    <w:rsid w:val="0024641F"/>
    <w:rsid w:val="00246455"/>
    <w:rsid w:val="00246BAA"/>
    <w:rsid w:val="002474F1"/>
    <w:rsid w:val="0024773F"/>
    <w:rsid w:val="00250922"/>
    <w:rsid w:val="002513C3"/>
    <w:rsid w:val="002514E2"/>
    <w:rsid w:val="00251647"/>
    <w:rsid w:val="002517E5"/>
    <w:rsid w:val="00251903"/>
    <w:rsid w:val="00252620"/>
    <w:rsid w:val="00252A1F"/>
    <w:rsid w:val="00252A6A"/>
    <w:rsid w:val="0025365C"/>
    <w:rsid w:val="002543A7"/>
    <w:rsid w:val="0025446F"/>
    <w:rsid w:val="00255AC9"/>
    <w:rsid w:val="00255B3F"/>
    <w:rsid w:val="002564A1"/>
    <w:rsid w:val="00256F12"/>
    <w:rsid w:val="00257880"/>
    <w:rsid w:val="00257B2B"/>
    <w:rsid w:val="00257B7F"/>
    <w:rsid w:val="00262D88"/>
    <w:rsid w:val="00262F94"/>
    <w:rsid w:val="00263329"/>
    <w:rsid w:val="00263676"/>
    <w:rsid w:val="002636DA"/>
    <w:rsid w:val="00263C56"/>
    <w:rsid w:val="00264D49"/>
    <w:rsid w:val="00265CC6"/>
    <w:rsid w:val="00266242"/>
    <w:rsid w:val="00266A6A"/>
    <w:rsid w:val="00266CBE"/>
    <w:rsid w:val="0026771D"/>
    <w:rsid w:val="00271A06"/>
    <w:rsid w:val="00271C9E"/>
    <w:rsid w:val="00271F3F"/>
    <w:rsid w:val="00272451"/>
    <w:rsid w:val="002729DD"/>
    <w:rsid w:val="00272A55"/>
    <w:rsid w:val="002743B7"/>
    <w:rsid w:val="00274AA0"/>
    <w:rsid w:val="00274EEB"/>
    <w:rsid w:val="00276D03"/>
    <w:rsid w:val="00276E06"/>
    <w:rsid w:val="002774FF"/>
    <w:rsid w:val="002778BE"/>
    <w:rsid w:val="002779B2"/>
    <w:rsid w:val="00277CA4"/>
    <w:rsid w:val="00277F92"/>
    <w:rsid w:val="002803C7"/>
    <w:rsid w:val="002807F5"/>
    <w:rsid w:val="00280810"/>
    <w:rsid w:val="0028175F"/>
    <w:rsid w:val="00283253"/>
    <w:rsid w:val="00283981"/>
    <w:rsid w:val="00284BE9"/>
    <w:rsid w:val="00284D9C"/>
    <w:rsid w:val="00285552"/>
    <w:rsid w:val="002856A7"/>
    <w:rsid w:val="00285C36"/>
    <w:rsid w:val="00285F83"/>
    <w:rsid w:val="002862C1"/>
    <w:rsid w:val="002864C9"/>
    <w:rsid w:val="00286769"/>
    <w:rsid w:val="00286B9F"/>
    <w:rsid w:val="00287091"/>
    <w:rsid w:val="00287593"/>
    <w:rsid w:val="00287C03"/>
    <w:rsid w:val="0029024F"/>
    <w:rsid w:val="002908CE"/>
    <w:rsid w:val="00291239"/>
    <w:rsid w:val="002913E4"/>
    <w:rsid w:val="002920A6"/>
    <w:rsid w:val="002934BD"/>
    <w:rsid w:val="0029485F"/>
    <w:rsid w:val="002952E4"/>
    <w:rsid w:val="00295724"/>
    <w:rsid w:val="002961E5"/>
    <w:rsid w:val="002961F7"/>
    <w:rsid w:val="0029774E"/>
    <w:rsid w:val="002A09D6"/>
    <w:rsid w:val="002A0C6B"/>
    <w:rsid w:val="002A0FE0"/>
    <w:rsid w:val="002A1BC6"/>
    <w:rsid w:val="002A28E8"/>
    <w:rsid w:val="002A2975"/>
    <w:rsid w:val="002A2BAA"/>
    <w:rsid w:val="002A2E52"/>
    <w:rsid w:val="002A38AD"/>
    <w:rsid w:val="002A3E3C"/>
    <w:rsid w:val="002A4001"/>
    <w:rsid w:val="002A4F59"/>
    <w:rsid w:val="002A5057"/>
    <w:rsid w:val="002A5297"/>
    <w:rsid w:val="002A5482"/>
    <w:rsid w:val="002A5C58"/>
    <w:rsid w:val="002A73DA"/>
    <w:rsid w:val="002B0AFB"/>
    <w:rsid w:val="002B11FE"/>
    <w:rsid w:val="002B2130"/>
    <w:rsid w:val="002B21F5"/>
    <w:rsid w:val="002B2344"/>
    <w:rsid w:val="002B3319"/>
    <w:rsid w:val="002B3685"/>
    <w:rsid w:val="002B38DC"/>
    <w:rsid w:val="002B4265"/>
    <w:rsid w:val="002B4DDC"/>
    <w:rsid w:val="002B4EF2"/>
    <w:rsid w:val="002B51C3"/>
    <w:rsid w:val="002B5262"/>
    <w:rsid w:val="002B6524"/>
    <w:rsid w:val="002B7046"/>
    <w:rsid w:val="002B7EED"/>
    <w:rsid w:val="002C0328"/>
    <w:rsid w:val="002C0443"/>
    <w:rsid w:val="002C2696"/>
    <w:rsid w:val="002C2B3B"/>
    <w:rsid w:val="002C30E3"/>
    <w:rsid w:val="002C3491"/>
    <w:rsid w:val="002C3643"/>
    <w:rsid w:val="002C3D0F"/>
    <w:rsid w:val="002C41AF"/>
    <w:rsid w:val="002C5033"/>
    <w:rsid w:val="002C532A"/>
    <w:rsid w:val="002C5418"/>
    <w:rsid w:val="002C58F0"/>
    <w:rsid w:val="002C5F8F"/>
    <w:rsid w:val="002C60A9"/>
    <w:rsid w:val="002C6788"/>
    <w:rsid w:val="002C70BF"/>
    <w:rsid w:val="002C7254"/>
    <w:rsid w:val="002D03F4"/>
    <w:rsid w:val="002D04BC"/>
    <w:rsid w:val="002D1168"/>
    <w:rsid w:val="002D1D83"/>
    <w:rsid w:val="002D1D9B"/>
    <w:rsid w:val="002D2D8A"/>
    <w:rsid w:val="002D32CE"/>
    <w:rsid w:val="002D356C"/>
    <w:rsid w:val="002D3CA5"/>
    <w:rsid w:val="002D3FE2"/>
    <w:rsid w:val="002D426D"/>
    <w:rsid w:val="002D4350"/>
    <w:rsid w:val="002D4695"/>
    <w:rsid w:val="002D46B6"/>
    <w:rsid w:val="002D4BD8"/>
    <w:rsid w:val="002D5048"/>
    <w:rsid w:val="002D50AC"/>
    <w:rsid w:val="002D50F4"/>
    <w:rsid w:val="002D5290"/>
    <w:rsid w:val="002D5732"/>
    <w:rsid w:val="002D6A06"/>
    <w:rsid w:val="002D71B8"/>
    <w:rsid w:val="002D7430"/>
    <w:rsid w:val="002D78DC"/>
    <w:rsid w:val="002E0171"/>
    <w:rsid w:val="002E018D"/>
    <w:rsid w:val="002E0413"/>
    <w:rsid w:val="002E1649"/>
    <w:rsid w:val="002E188C"/>
    <w:rsid w:val="002E1B42"/>
    <w:rsid w:val="002E244C"/>
    <w:rsid w:val="002E2527"/>
    <w:rsid w:val="002E2D6D"/>
    <w:rsid w:val="002E2D7F"/>
    <w:rsid w:val="002E33C6"/>
    <w:rsid w:val="002E404B"/>
    <w:rsid w:val="002E4529"/>
    <w:rsid w:val="002E5498"/>
    <w:rsid w:val="002E672A"/>
    <w:rsid w:val="002E7690"/>
    <w:rsid w:val="002E7D84"/>
    <w:rsid w:val="002F02FE"/>
    <w:rsid w:val="002F076D"/>
    <w:rsid w:val="002F0D56"/>
    <w:rsid w:val="002F0FD9"/>
    <w:rsid w:val="002F1694"/>
    <w:rsid w:val="002F1BF7"/>
    <w:rsid w:val="002F29F7"/>
    <w:rsid w:val="002F2AED"/>
    <w:rsid w:val="002F2F16"/>
    <w:rsid w:val="002F30B6"/>
    <w:rsid w:val="002F408C"/>
    <w:rsid w:val="002F429E"/>
    <w:rsid w:val="002F479D"/>
    <w:rsid w:val="002F520C"/>
    <w:rsid w:val="002F52AA"/>
    <w:rsid w:val="002F62FE"/>
    <w:rsid w:val="002F6D76"/>
    <w:rsid w:val="002F6E4D"/>
    <w:rsid w:val="002F7F96"/>
    <w:rsid w:val="00300768"/>
    <w:rsid w:val="00301757"/>
    <w:rsid w:val="00302789"/>
    <w:rsid w:val="0030291C"/>
    <w:rsid w:val="00302F66"/>
    <w:rsid w:val="0030346B"/>
    <w:rsid w:val="003035A6"/>
    <w:rsid w:val="003040D6"/>
    <w:rsid w:val="0030451A"/>
    <w:rsid w:val="003103DB"/>
    <w:rsid w:val="0031059E"/>
    <w:rsid w:val="00310CEB"/>
    <w:rsid w:val="00311097"/>
    <w:rsid w:val="003112A7"/>
    <w:rsid w:val="00311D5A"/>
    <w:rsid w:val="00312093"/>
    <w:rsid w:val="003120BE"/>
    <w:rsid w:val="003121C6"/>
    <w:rsid w:val="003125F2"/>
    <w:rsid w:val="00312982"/>
    <w:rsid w:val="00312C72"/>
    <w:rsid w:val="00312D43"/>
    <w:rsid w:val="00312DD4"/>
    <w:rsid w:val="003132DB"/>
    <w:rsid w:val="0031426E"/>
    <w:rsid w:val="003150FF"/>
    <w:rsid w:val="0031589A"/>
    <w:rsid w:val="00315FF2"/>
    <w:rsid w:val="003170A0"/>
    <w:rsid w:val="00317E18"/>
    <w:rsid w:val="0032030C"/>
    <w:rsid w:val="003206BA"/>
    <w:rsid w:val="00321E19"/>
    <w:rsid w:val="00322B6F"/>
    <w:rsid w:val="00322E7E"/>
    <w:rsid w:val="00323101"/>
    <w:rsid w:val="00323381"/>
    <w:rsid w:val="00323F5A"/>
    <w:rsid w:val="00324535"/>
    <w:rsid w:val="003252F3"/>
    <w:rsid w:val="003252F7"/>
    <w:rsid w:val="003256F7"/>
    <w:rsid w:val="00325C90"/>
    <w:rsid w:val="00325C91"/>
    <w:rsid w:val="00326432"/>
    <w:rsid w:val="00327177"/>
    <w:rsid w:val="003277CD"/>
    <w:rsid w:val="00327850"/>
    <w:rsid w:val="00330223"/>
    <w:rsid w:val="00330542"/>
    <w:rsid w:val="003306EA"/>
    <w:rsid w:val="003307B6"/>
    <w:rsid w:val="0033196F"/>
    <w:rsid w:val="0033282A"/>
    <w:rsid w:val="003329B3"/>
    <w:rsid w:val="00332A35"/>
    <w:rsid w:val="00332C40"/>
    <w:rsid w:val="00333865"/>
    <w:rsid w:val="00333F3C"/>
    <w:rsid w:val="003341F7"/>
    <w:rsid w:val="00334BD0"/>
    <w:rsid w:val="00334DCF"/>
    <w:rsid w:val="00335526"/>
    <w:rsid w:val="00335865"/>
    <w:rsid w:val="00335E3C"/>
    <w:rsid w:val="003362C8"/>
    <w:rsid w:val="003364F8"/>
    <w:rsid w:val="00336510"/>
    <w:rsid w:val="00336670"/>
    <w:rsid w:val="00336CB5"/>
    <w:rsid w:val="003373D1"/>
    <w:rsid w:val="003373F1"/>
    <w:rsid w:val="0033787B"/>
    <w:rsid w:val="00337925"/>
    <w:rsid w:val="00337C2D"/>
    <w:rsid w:val="0034092D"/>
    <w:rsid w:val="00340B71"/>
    <w:rsid w:val="00341D66"/>
    <w:rsid w:val="0034209C"/>
    <w:rsid w:val="00342133"/>
    <w:rsid w:val="00342536"/>
    <w:rsid w:val="003431D1"/>
    <w:rsid w:val="00343592"/>
    <w:rsid w:val="003437BA"/>
    <w:rsid w:val="003438A6"/>
    <w:rsid w:val="00346D21"/>
    <w:rsid w:val="00346F80"/>
    <w:rsid w:val="00347EBA"/>
    <w:rsid w:val="00350AF4"/>
    <w:rsid w:val="00350E7F"/>
    <w:rsid w:val="00351098"/>
    <w:rsid w:val="00351BAB"/>
    <w:rsid w:val="003521AE"/>
    <w:rsid w:val="003523E1"/>
    <w:rsid w:val="003526B4"/>
    <w:rsid w:val="003537BE"/>
    <w:rsid w:val="00354042"/>
    <w:rsid w:val="003540F3"/>
    <w:rsid w:val="003540FF"/>
    <w:rsid w:val="003542BD"/>
    <w:rsid w:val="00354BA5"/>
    <w:rsid w:val="00356E5C"/>
    <w:rsid w:val="00357DF4"/>
    <w:rsid w:val="003601BE"/>
    <w:rsid w:val="00362DE5"/>
    <w:rsid w:val="00363209"/>
    <w:rsid w:val="00363FD3"/>
    <w:rsid w:val="00364182"/>
    <w:rsid w:val="00364776"/>
    <w:rsid w:val="00364AAA"/>
    <w:rsid w:val="00365410"/>
    <w:rsid w:val="003661B7"/>
    <w:rsid w:val="00366356"/>
    <w:rsid w:val="00366A61"/>
    <w:rsid w:val="0036767E"/>
    <w:rsid w:val="0037004D"/>
    <w:rsid w:val="00370217"/>
    <w:rsid w:val="0037097D"/>
    <w:rsid w:val="0037135F"/>
    <w:rsid w:val="0037171B"/>
    <w:rsid w:val="00371759"/>
    <w:rsid w:val="00371D8E"/>
    <w:rsid w:val="00372087"/>
    <w:rsid w:val="003720C7"/>
    <w:rsid w:val="003729D2"/>
    <w:rsid w:val="003735FC"/>
    <w:rsid w:val="00373B6C"/>
    <w:rsid w:val="00373DB5"/>
    <w:rsid w:val="00374913"/>
    <w:rsid w:val="00374BB1"/>
    <w:rsid w:val="00374DC4"/>
    <w:rsid w:val="00375991"/>
    <w:rsid w:val="003761D4"/>
    <w:rsid w:val="00377F3C"/>
    <w:rsid w:val="003811E7"/>
    <w:rsid w:val="00381447"/>
    <w:rsid w:val="00381CF7"/>
    <w:rsid w:val="00381F5C"/>
    <w:rsid w:val="00382436"/>
    <w:rsid w:val="00382595"/>
    <w:rsid w:val="0038268A"/>
    <w:rsid w:val="003826FA"/>
    <w:rsid w:val="00382908"/>
    <w:rsid w:val="003831D7"/>
    <w:rsid w:val="0038380F"/>
    <w:rsid w:val="00384409"/>
    <w:rsid w:val="00384A3F"/>
    <w:rsid w:val="00385477"/>
    <w:rsid w:val="003856F7"/>
    <w:rsid w:val="00385794"/>
    <w:rsid w:val="00385EE5"/>
    <w:rsid w:val="00386168"/>
    <w:rsid w:val="0038659B"/>
    <w:rsid w:val="00386FAE"/>
    <w:rsid w:val="00387074"/>
    <w:rsid w:val="00387427"/>
    <w:rsid w:val="003878D6"/>
    <w:rsid w:val="0039063D"/>
    <w:rsid w:val="00390831"/>
    <w:rsid w:val="00390EB2"/>
    <w:rsid w:val="00392072"/>
    <w:rsid w:val="00392F1C"/>
    <w:rsid w:val="00394613"/>
    <w:rsid w:val="003947FF"/>
    <w:rsid w:val="00394FCA"/>
    <w:rsid w:val="00395385"/>
    <w:rsid w:val="003955B4"/>
    <w:rsid w:val="003963E0"/>
    <w:rsid w:val="00396945"/>
    <w:rsid w:val="00396FF1"/>
    <w:rsid w:val="00397160"/>
    <w:rsid w:val="003972A7"/>
    <w:rsid w:val="003979C1"/>
    <w:rsid w:val="00397CB3"/>
    <w:rsid w:val="00397D5B"/>
    <w:rsid w:val="00397F3B"/>
    <w:rsid w:val="00397FC3"/>
    <w:rsid w:val="003A049A"/>
    <w:rsid w:val="003A12D7"/>
    <w:rsid w:val="003A1A39"/>
    <w:rsid w:val="003A1C64"/>
    <w:rsid w:val="003A1D61"/>
    <w:rsid w:val="003A1EDE"/>
    <w:rsid w:val="003A247F"/>
    <w:rsid w:val="003A24CF"/>
    <w:rsid w:val="003A29DC"/>
    <w:rsid w:val="003A2AE5"/>
    <w:rsid w:val="003A356F"/>
    <w:rsid w:val="003A3599"/>
    <w:rsid w:val="003A3918"/>
    <w:rsid w:val="003A3B6D"/>
    <w:rsid w:val="003A4459"/>
    <w:rsid w:val="003A494A"/>
    <w:rsid w:val="003A5364"/>
    <w:rsid w:val="003A55AD"/>
    <w:rsid w:val="003A6134"/>
    <w:rsid w:val="003A663A"/>
    <w:rsid w:val="003A6B9A"/>
    <w:rsid w:val="003A6EA2"/>
    <w:rsid w:val="003A720F"/>
    <w:rsid w:val="003A7392"/>
    <w:rsid w:val="003A74ED"/>
    <w:rsid w:val="003A7A8E"/>
    <w:rsid w:val="003B00C4"/>
    <w:rsid w:val="003B053A"/>
    <w:rsid w:val="003B1197"/>
    <w:rsid w:val="003B181C"/>
    <w:rsid w:val="003B246E"/>
    <w:rsid w:val="003B3661"/>
    <w:rsid w:val="003B37D0"/>
    <w:rsid w:val="003B3BAF"/>
    <w:rsid w:val="003B4376"/>
    <w:rsid w:val="003B4673"/>
    <w:rsid w:val="003B4914"/>
    <w:rsid w:val="003B4AC8"/>
    <w:rsid w:val="003B4AF1"/>
    <w:rsid w:val="003B535C"/>
    <w:rsid w:val="003B5CAA"/>
    <w:rsid w:val="003B74B4"/>
    <w:rsid w:val="003B74CD"/>
    <w:rsid w:val="003B7D8E"/>
    <w:rsid w:val="003B7E6F"/>
    <w:rsid w:val="003C1C54"/>
    <w:rsid w:val="003C2119"/>
    <w:rsid w:val="003C2571"/>
    <w:rsid w:val="003C3516"/>
    <w:rsid w:val="003C46F0"/>
    <w:rsid w:val="003C5A53"/>
    <w:rsid w:val="003C5C27"/>
    <w:rsid w:val="003C63E3"/>
    <w:rsid w:val="003C7182"/>
    <w:rsid w:val="003C7428"/>
    <w:rsid w:val="003D0FDE"/>
    <w:rsid w:val="003D1914"/>
    <w:rsid w:val="003D1CD7"/>
    <w:rsid w:val="003D1D5F"/>
    <w:rsid w:val="003D2769"/>
    <w:rsid w:val="003D3D4E"/>
    <w:rsid w:val="003D608C"/>
    <w:rsid w:val="003D62A8"/>
    <w:rsid w:val="003D6588"/>
    <w:rsid w:val="003D675D"/>
    <w:rsid w:val="003D774A"/>
    <w:rsid w:val="003D7758"/>
    <w:rsid w:val="003E01CF"/>
    <w:rsid w:val="003E0A0D"/>
    <w:rsid w:val="003E170B"/>
    <w:rsid w:val="003E27DE"/>
    <w:rsid w:val="003E3EBB"/>
    <w:rsid w:val="003E3EE0"/>
    <w:rsid w:val="003E47C7"/>
    <w:rsid w:val="003E518E"/>
    <w:rsid w:val="003E5235"/>
    <w:rsid w:val="003E5240"/>
    <w:rsid w:val="003E580F"/>
    <w:rsid w:val="003E5986"/>
    <w:rsid w:val="003E5D9E"/>
    <w:rsid w:val="003E5EAC"/>
    <w:rsid w:val="003E6CC9"/>
    <w:rsid w:val="003E7065"/>
    <w:rsid w:val="003F0158"/>
    <w:rsid w:val="003F0565"/>
    <w:rsid w:val="003F0851"/>
    <w:rsid w:val="003F0D55"/>
    <w:rsid w:val="003F3127"/>
    <w:rsid w:val="003F33BA"/>
    <w:rsid w:val="003F357E"/>
    <w:rsid w:val="003F4C2F"/>
    <w:rsid w:val="003F5139"/>
    <w:rsid w:val="003F5869"/>
    <w:rsid w:val="003F5965"/>
    <w:rsid w:val="003F5EEC"/>
    <w:rsid w:val="003F5F95"/>
    <w:rsid w:val="003F72E1"/>
    <w:rsid w:val="003F760C"/>
    <w:rsid w:val="003F78A0"/>
    <w:rsid w:val="003F7DF4"/>
    <w:rsid w:val="004002EB"/>
    <w:rsid w:val="00400742"/>
    <w:rsid w:val="00401E64"/>
    <w:rsid w:val="00402A4D"/>
    <w:rsid w:val="0040345D"/>
    <w:rsid w:val="00404326"/>
    <w:rsid w:val="004043A9"/>
    <w:rsid w:val="00404938"/>
    <w:rsid w:val="00404D58"/>
    <w:rsid w:val="00405695"/>
    <w:rsid w:val="00405826"/>
    <w:rsid w:val="00406754"/>
    <w:rsid w:val="0040677B"/>
    <w:rsid w:val="00406A61"/>
    <w:rsid w:val="00406CC5"/>
    <w:rsid w:val="00407402"/>
    <w:rsid w:val="004100A4"/>
    <w:rsid w:val="00411538"/>
    <w:rsid w:val="00411DDF"/>
    <w:rsid w:val="00413304"/>
    <w:rsid w:val="00413896"/>
    <w:rsid w:val="00413976"/>
    <w:rsid w:val="00413C69"/>
    <w:rsid w:val="004145C3"/>
    <w:rsid w:val="00414B5B"/>
    <w:rsid w:val="00415121"/>
    <w:rsid w:val="00415923"/>
    <w:rsid w:val="004159E6"/>
    <w:rsid w:val="00416625"/>
    <w:rsid w:val="00417249"/>
    <w:rsid w:val="004175D3"/>
    <w:rsid w:val="004177BC"/>
    <w:rsid w:val="00420499"/>
    <w:rsid w:val="00421259"/>
    <w:rsid w:val="00421C46"/>
    <w:rsid w:val="00422BCF"/>
    <w:rsid w:val="004233C6"/>
    <w:rsid w:val="0042358B"/>
    <w:rsid w:val="0042532A"/>
    <w:rsid w:val="0042599A"/>
    <w:rsid w:val="004259B6"/>
    <w:rsid w:val="00425D8D"/>
    <w:rsid w:val="004260A9"/>
    <w:rsid w:val="00426273"/>
    <w:rsid w:val="004263AD"/>
    <w:rsid w:val="00427129"/>
    <w:rsid w:val="004277AD"/>
    <w:rsid w:val="00430B1A"/>
    <w:rsid w:val="00430C46"/>
    <w:rsid w:val="00430F24"/>
    <w:rsid w:val="00431F21"/>
    <w:rsid w:val="0043213E"/>
    <w:rsid w:val="004324A7"/>
    <w:rsid w:val="00433161"/>
    <w:rsid w:val="0043345F"/>
    <w:rsid w:val="00433C18"/>
    <w:rsid w:val="00433CC8"/>
    <w:rsid w:val="00433DCB"/>
    <w:rsid w:val="00434819"/>
    <w:rsid w:val="00434B21"/>
    <w:rsid w:val="00434E4B"/>
    <w:rsid w:val="00434F6A"/>
    <w:rsid w:val="00435467"/>
    <w:rsid w:val="004355E3"/>
    <w:rsid w:val="00435646"/>
    <w:rsid w:val="00435C32"/>
    <w:rsid w:val="00435CEE"/>
    <w:rsid w:val="00436311"/>
    <w:rsid w:val="0043685A"/>
    <w:rsid w:val="00436BE3"/>
    <w:rsid w:val="004371FC"/>
    <w:rsid w:val="00437BF9"/>
    <w:rsid w:val="00440CC2"/>
    <w:rsid w:val="00441969"/>
    <w:rsid w:val="00441FD9"/>
    <w:rsid w:val="00442B5A"/>
    <w:rsid w:val="0044486F"/>
    <w:rsid w:val="00445874"/>
    <w:rsid w:val="00445BF8"/>
    <w:rsid w:val="00445C38"/>
    <w:rsid w:val="00445C83"/>
    <w:rsid w:val="00445E83"/>
    <w:rsid w:val="00445F1C"/>
    <w:rsid w:val="004460B1"/>
    <w:rsid w:val="0044625F"/>
    <w:rsid w:val="00446C1D"/>
    <w:rsid w:val="0044725B"/>
    <w:rsid w:val="00447AE4"/>
    <w:rsid w:val="004511F3"/>
    <w:rsid w:val="00452346"/>
    <w:rsid w:val="00452DAE"/>
    <w:rsid w:val="0045327B"/>
    <w:rsid w:val="00454473"/>
    <w:rsid w:val="00454978"/>
    <w:rsid w:val="00454D4C"/>
    <w:rsid w:val="004559D3"/>
    <w:rsid w:val="00455BFF"/>
    <w:rsid w:val="0045771A"/>
    <w:rsid w:val="00457F2E"/>
    <w:rsid w:val="00460C54"/>
    <w:rsid w:val="00460DE0"/>
    <w:rsid w:val="00461366"/>
    <w:rsid w:val="0046179B"/>
    <w:rsid w:val="0046284B"/>
    <w:rsid w:val="004628A5"/>
    <w:rsid w:val="0046297B"/>
    <w:rsid w:val="00462A2F"/>
    <w:rsid w:val="004630AA"/>
    <w:rsid w:val="004637DC"/>
    <w:rsid w:val="0046440D"/>
    <w:rsid w:val="0046520F"/>
    <w:rsid w:val="0046541F"/>
    <w:rsid w:val="00465876"/>
    <w:rsid w:val="00465E5F"/>
    <w:rsid w:val="004662FD"/>
    <w:rsid w:val="00466632"/>
    <w:rsid w:val="004670F4"/>
    <w:rsid w:val="004676FE"/>
    <w:rsid w:val="00467868"/>
    <w:rsid w:val="00467A86"/>
    <w:rsid w:val="00467D48"/>
    <w:rsid w:val="004704B5"/>
    <w:rsid w:val="00470E0C"/>
    <w:rsid w:val="00471714"/>
    <w:rsid w:val="00471F13"/>
    <w:rsid w:val="0047278B"/>
    <w:rsid w:val="00473065"/>
    <w:rsid w:val="004732BB"/>
    <w:rsid w:val="0047404C"/>
    <w:rsid w:val="004745F0"/>
    <w:rsid w:val="00474BD2"/>
    <w:rsid w:val="00474E92"/>
    <w:rsid w:val="0047537A"/>
    <w:rsid w:val="00475501"/>
    <w:rsid w:val="0047578D"/>
    <w:rsid w:val="004764D5"/>
    <w:rsid w:val="00476559"/>
    <w:rsid w:val="0047740B"/>
    <w:rsid w:val="004777AB"/>
    <w:rsid w:val="00477A52"/>
    <w:rsid w:val="00477F86"/>
    <w:rsid w:val="00480891"/>
    <w:rsid w:val="00481066"/>
    <w:rsid w:val="00481CB1"/>
    <w:rsid w:val="004821FC"/>
    <w:rsid w:val="004826E1"/>
    <w:rsid w:val="004828D2"/>
    <w:rsid w:val="00482E40"/>
    <w:rsid w:val="00482F87"/>
    <w:rsid w:val="0048409E"/>
    <w:rsid w:val="00484AEA"/>
    <w:rsid w:val="004855C3"/>
    <w:rsid w:val="004857C5"/>
    <w:rsid w:val="00486055"/>
    <w:rsid w:val="00487481"/>
    <w:rsid w:val="00487679"/>
    <w:rsid w:val="00487D4E"/>
    <w:rsid w:val="004901E9"/>
    <w:rsid w:val="00491E26"/>
    <w:rsid w:val="004925AC"/>
    <w:rsid w:val="00493009"/>
    <w:rsid w:val="00493770"/>
    <w:rsid w:val="00493821"/>
    <w:rsid w:val="00493954"/>
    <w:rsid w:val="00493C46"/>
    <w:rsid w:val="00494485"/>
    <w:rsid w:val="00494B55"/>
    <w:rsid w:val="0049541D"/>
    <w:rsid w:val="00495CC5"/>
    <w:rsid w:val="00496BAB"/>
    <w:rsid w:val="004A0527"/>
    <w:rsid w:val="004A0639"/>
    <w:rsid w:val="004A0842"/>
    <w:rsid w:val="004A0B88"/>
    <w:rsid w:val="004A107E"/>
    <w:rsid w:val="004A2065"/>
    <w:rsid w:val="004A22A8"/>
    <w:rsid w:val="004A2361"/>
    <w:rsid w:val="004A4327"/>
    <w:rsid w:val="004A5011"/>
    <w:rsid w:val="004A51D2"/>
    <w:rsid w:val="004A580B"/>
    <w:rsid w:val="004A58EE"/>
    <w:rsid w:val="004A5A8B"/>
    <w:rsid w:val="004A63E9"/>
    <w:rsid w:val="004A6FC1"/>
    <w:rsid w:val="004A75FF"/>
    <w:rsid w:val="004A79A9"/>
    <w:rsid w:val="004A7A5D"/>
    <w:rsid w:val="004A7D9E"/>
    <w:rsid w:val="004B0A04"/>
    <w:rsid w:val="004B0C0D"/>
    <w:rsid w:val="004B0DE4"/>
    <w:rsid w:val="004B121D"/>
    <w:rsid w:val="004B15DB"/>
    <w:rsid w:val="004B17C3"/>
    <w:rsid w:val="004B1EB8"/>
    <w:rsid w:val="004B2058"/>
    <w:rsid w:val="004B2150"/>
    <w:rsid w:val="004B2916"/>
    <w:rsid w:val="004B2E72"/>
    <w:rsid w:val="004B474B"/>
    <w:rsid w:val="004B4CEF"/>
    <w:rsid w:val="004B4D00"/>
    <w:rsid w:val="004B5177"/>
    <w:rsid w:val="004B573A"/>
    <w:rsid w:val="004B5DB2"/>
    <w:rsid w:val="004B6416"/>
    <w:rsid w:val="004B6555"/>
    <w:rsid w:val="004B6E32"/>
    <w:rsid w:val="004B6EFB"/>
    <w:rsid w:val="004B7633"/>
    <w:rsid w:val="004C0204"/>
    <w:rsid w:val="004C09A2"/>
    <w:rsid w:val="004C17BB"/>
    <w:rsid w:val="004C1C3B"/>
    <w:rsid w:val="004C2975"/>
    <w:rsid w:val="004C2C79"/>
    <w:rsid w:val="004C3623"/>
    <w:rsid w:val="004C39F7"/>
    <w:rsid w:val="004C3E92"/>
    <w:rsid w:val="004C418F"/>
    <w:rsid w:val="004C41CD"/>
    <w:rsid w:val="004C421D"/>
    <w:rsid w:val="004C4AB4"/>
    <w:rsid w:val="004C4AED"/>
    <w:rsid w:val="004C4F7C"/>
    <w:rsid w:val="004C523C"/>
    <w:rsid w:val="004C5A93"/>
    <w:rsid w:val="004C5C6D"/>
    <w:rsid w:val="004C616F"/>
    <w:rsid w:val="004C6E03"/>
    <w:rsid w:val="004C7326"/>
    <w:rsid w:val="004C79B1"/>
    <w:rsid w:val="004C79C3"/>
    <w:rsid w:val="004C7DF6"/>
    <w:rsid w:val="004C7E8E"/>
    <w:rsid w:val="004D00D0"/>
    <w:rsid w:val="004D054B"/>
    <w:rsid w:val="004D0B45"/>
    <w:rsid w:val="004D0BC1"/>
    <w:rsid w:val="004D111E"/>
    <w:rsid w:val="004D1318"/>
    <w:rsid w:val="004D149A"/>
    <w:rsid w:val="004D192C"/>
    <w:rsid w:val="004D1DD6"/>
    <w:rsid w:val="004D1DF1"/>
    <w:rsid w:val="004D2B20"/>
    <w:rsid w:val="004D3EF0"/>
    <w:rsid w:val="004D3F90"/>
    <w:rsid w:val="004D437E"/>
    <w:rsid w:val="004D44CC"/>
    <w:rsid w:val="004D47C7"/>
    <w:rsid w:val="004D4E15"/>
    <w:rsid w:val="004D5F86"/>
    <w:rsid w:val="004D6396"/>
    <w:rsid w:val="004D647F"/>
    <w:rsid w:val="004D73D0"/>
    <w:rsid w:val="004D7C23"/>
    <w:rsid w:val="004E0443"/>
    <w:rsid w:val="004E0BDB"/>
    <w:rsid w:val="004E1A36"/>
    <w:rsid w:val="004E1E76"/>
    <w:rsid w:val="004E237E"/>
    <w:rsid w:val="004E32EE"/>
    <w:rsid w:val="004E3698"/>
    <w:rsid w:val="004E55CC"/>
    <w:rsid w:val="004E5E3D"/>
    <w:rsid w:val="004E6616"/>
    <w:rsid w:val="004E7A0E"/>
    <w:rsid w:val="004E7DBB"/>
    <w:rsid w:val="004E7F34"/>
    <w:rsid w:val="004F0024"/>
    <w:rsid w:val="004F0156"/>
    <w:rsid w:val="004F146C"/>
    <w:rsid w:val="004F1691"/>
    <w:rsid w:val="004F18EB"/>
    <w:rsid w:val="004F206F"/>
    <w:rsid w:val="004F2147"/>
    <w:rsid w:val="004F261F"/>
    <w:rsid w:val="004F2A67"/>
    <w:rsid w:val="004F2B61"/>
    <w:rsid w:val="004F2CD2"/>
    <w:rsid w:val="004F2D4B"/>
    <w:rsid w:val="004F2D8C"/>
    <w:rsid w:val="004F37A0"/>
    <w:rsid w:val="004F45A6"/>
    <w:rsid w:val="004F4A4B"/>
    <w:rsid w:val="004F4AD7"/>
    <w:rsid w:val="004F4F97"/>
    <w:rsid w:val="004F5647"/>
    <w:rsid w:val="004F6041"/>
    <w:rsid w:val="004F6208"/>
    <w:rsid w:val="004F62AC"/>
    <w:rsid w:val="004F6604"/>
    <w:rsid w:val="004F71B2"/>
    <w:rsid w:val="004F7E13"/>
    <w:rsid w:val="0050043E"/>
    <w:rsid w:val="005006CE"/>
    <w:rsid w:val="00500CBE"/>
    <w:rsid w:val="00500D05"/>
    <w:rsid w:val="00501A3F"/>
    <w:rsid w:val="00501A9D"/>
    <w:rsid w:val="0050265C"/>
    <w:rsid w:val="00502725"/>
    <w:rsid w:val="00502764"/>
    <w:rsid w:val="005033F5"/>
    <w:rsid w:val="00503471"/>
    <w:rsid w:val="005036E9"/>
    <w:rsid w:val="00503F28"/>
    <w:rsid w:val="005040BE"/>
    <w:rsid w:val="0050486C"/>
    <w:rsid w:val="00504F4A"/>
    <w:rsid w:val="0050614C"/>
    <w:rsid w:val="005063F1"/>
    <w:rsid w:val="005068D6"/>
    <w:rsid w:val="005071EE"/>
    <w:rsid w:val="00507484"/>
    <w:rsid w:val="005077D7"/>
    <w:rsid w:val="00507CA9"/>
    <w:rsid w:val="00510161"/>
    <w:rsid w:val="00510295"/>
    <w:rsid w:val="0051090F"/>
    <w:rsid w:val="00510F65"/>
    <w:rsid w:val="00512172"/>
    <w:rsid w:val="00513743"/>
    <w:rsid w:val="0051377B"/>
    <w:rsid w:val="005138E5"/>
    <w:rsid w:val="005139FA"/>
    <w:rsid w:val="00513DFF"/>
    <w:rsid w:val="0051466D"/>
    <w:rsid w:val="005166BA"/>
    <w:rsid w:val="00516A59"/>
    <w:rsid w:val="00516C9A"/>
    <w:rsid w:val="00516F59"/>
    <w:rsid w:val="00516F5F"/>
    <w:rsid w:val="00517136"/>
    <w:rsid w:val="005177F9"/>
    <w:rsid w:val="00517C98"/>
    <w:rsid w:val="00520054"/>
    <w:rsid w:val="00520E22"/>
    <w:rsid w:val="00521E52"/>
    <w:rsid w:val="00522593"/>
    <w:rsid w:val="00523009"/>
    <w:rsid w:val="00523141"/>
    <w:rsid w:val="00523538"/>
    <w:rsid w:val="00523A45"/>
    <w:rsid w:val="00523A98"/>
    <w:rsid w:val="0052566F"/>
    <w:rsid w:val="005256CF"/>
    <w:rsid w:val="00525732"/>
    <w:rsid w:val="0052580B"/>
    <w:rsid w:val="00525A44"/>
    <w:rsid w:val="00525CAF"/>
    <w:rsid w:val="00525FD9"/>
    <w:rsid w:val="005262F3"/>
    <w:rsid w:val="00526B46"/>
    <w:rsid w:val="00526F2E"/>
    <w:rsid w:val="00527CB7"/>
    <w:rsid w:val="005305DC"/>
    <w:rsid w:val="005308BD"/>
    <w:rsid w:val="00530EED"/>
    <w:rsid w:val="0053326E"/>
    <w:rsid w:val="005333E7"/>
    <w:rsid w:val="00533867"/>
    <w:rsid w:val="00533A88"/>
    <w:rsid w:val="005344CD"/>
    <w:rsid w:val="0053452B"/>
    <w:rsid w:val="00534F81"/>
    <w:rsid w:val="0053532F"/>
    <w:rsid w:val="0053594B"/>
    <w:rsid w:val="00536900"/>
    <w:rsid w:val="00536A93"/>
    <w:rsid w:val="00536D51"/>
    <w:rsid w:val="00540159"/>
    <w:rsid w:val="005403BA"/>
    <w:rsid w:val="005413D0"/>
    <w:rsid w:val="005422BD"/>
    <w:rsid w:val="005439CB"/>
    <w:rsid w:val="00543C75"/>
    <w:rsid w:val="00543D79"/>
    <w:rsid w:val="00543E9A"/>
    <w:rsid w:val="00543F29"/>
    <w:rsid w:val="00544517"/>
    <w:rsid w:val="00544F72"/>
    <w:rsid w:val="00545423"/>
    <w:rsid w:val="0054545D"/>
    <w:rsid w:val="00545F11"/>
    <w:rsid w:val="00546100"/>
    <w:rsid w:val="00546162"/>
    <w:rsid w:val="005463F6"/>
    <w:rsid w:val="00546573"/>
    <w:rsid w:val="00546581"/>
    <w:rsid w:val="005466F7"/>
    <w:rsid w:val="00546FBB"/>
    <w:rsid w:val="00547423"/>
    <w:rsid w:val="00547514"/>
    <w:rsid w:val="00550808"/>
    <w:rsid w:val="00550A4D"/>
    <w:rsid w:val="00550FCD"/>
    <w:rsid w:val="005512B9"/>
    <w:rsid w:val="00551469"/>
    <w:rsid w:val="0055187A"/>
    <w:rsid w:val="00553B3E"/>
    <w:rsid w:val="00553C3A"/>
    <w:rsid w:val="00554721"/>
    <w:rsid w:val="00555575"/>
    <w:rsid w:val="005555AA"/>
    <w:rsid w:val="005558F1"/>
    <w:rsid w:val="00555DE1"/>
    <w:rsid w:val="00556023"/>
    <w:rsid w:val="005560AD"/>
    <w:rsid w:val="0055649D"/>
    <w:rsid w:val="00556E12"/>
    <w:rsid w:val="005571FD"/>
    <w:rsid w:val="0055731B"/>
    <w:rsid w:val="00557415"/>
    <w:rsid w:val="0055792F"/>
    <w:rsid w:val="00557C8F"/>
    <w:rsid w:val="00560210"/>
    <w:rsid w:val="005603C5"/>
    <w:rsid w:val="00560A0B"/>
    <w:rsid w:val="00562698"/>
    <w:rsid w:val="00562DAE"/>
    <w:rsid w:val="005635FB"/>
    <w:rsid w:val="00563A0E"/>
    <w:rsid w:val="00563BB8"/>
    <w:rsid w:val="00563BCB"/>
    <w:rsid w:val="0056451E"/>
    <w:rsid w:val="0056458C"/>
    <w:rsid w:val="00564FF6"/>
    <w:rsid w:val="00565091"/>
    <w:rsid w:val="00565D28"/>
    <w:rsid w:val="00565FAD"/>
    <w:rsid w:val="00566C1C"/>
    <w:rsid w:val="00566C48"/>
    <w:rsid w:val="00566CB1"/>
    <w:rsid w:val="005672E8"/>
    <w:rsid w:val="00567887"/>
    <w:rsid w:val="00567BC6"/>
    <w:rsid w:val="00567EE4"/>
    <w:rsid w:val="00570356"/>
    <w:rsid w:val="00570779"/>
    <w:rsid w:val="005709AF"/>
    <w:rsid w:val="005711A6"/>
    <w:rsid w:val="0057176E"/>
    <w:rsid w:val="00573701"/>
    <w:rsid w:val="00573972"/>
    <w:rsid w:val="00573E2B"/>
    <w:rsid w:val="00573F1F"/>
    <w:rsid w:val="00574310"/>
    <w:rsid w:val="00574CCA"/>
    <w:rsid w:val="00574EF9"/>
    <w:rsid w:val="00576CE2"/>
    <w:rsid w:val="00577292"/>
    <w:rsid w:val="00577A86"/>
    <w:rsid w:val="005804DB"/>
    <w:rsid w:val="005809CA"/>
    <w:rsid w:val="00580C47"/>
    <w:rsid w:val="00581FD0"/>
    <w:rsid w:val="00582015"/>
    <w:rsid w:val="00582841"/>
    <w:rsid w:val="00582880"/>
    <w:rsid w:val="00582A54"/>
    <w:rsid w:val="00582DC5"/>
    <w:rsid w:val="00582EC8"/>
    <w:rsid w:val="00583F7B"/>
    <w:rsid w:val="00584579"/>
    <w:rsid w:val="00584792"/>
    <w:rsid w:val="005851DA"/>
    <w:rsid w:val="005858C0"/>
    <w:rsid w:val="005858DB"/>
    <w:rsid w:val="00585937"/>
    <w:rsid w:val="00585B72"/>
    <w:rsid w:val="00586C04"/>
    <w:rsid w:val="005900E2"/>
    <w:rsid w:val="00590180"/>
    <w:rsid w:val="00590D44"/>
    <w:rsid w:val="00590E75"/>
    <w:rsid w:val="00591DFB"/>
    <w:rsid w:val="00592066"/>
    <w:rsid w:val="005931EA"/>
    <w:rsid w:val="00593CAE"/>
    <w:rsid w:val="00593F7B"/>
    <w:rsid w:val="0059420D"/>
    <w:rsid w:val="0059535B"/>
    <w:rsid w:val="005954C6"/>
    <w:rsid w:val="005954D7"/>
    <w:rsid w:val="00595DED"/>
    <w:rsid w:val="0059676C"/>
    <w:rsid w:val="00596AB7"/>
    <w:rsid w:val="00596E4F"/>
    <w:rsid w:val="005974C6"/>
    <w:rsid w:val="00597751"/>
    <w:rsid w:val="005A0224"/>
    <w:rsid w:val="005A03BF"/>
    <w:rsid w:val="005A0592"/>
    <w:rsid w:val="005A1950"/>
    <w:rsid w:val="005A2020"/>
    <w:rsid w:val="005A25EC"/>
    <w:rsid w:val="005A2A12"/>
    <w:rsid w:val="005A2BDA"/>
    <w:rsid w:val="005A3112"/>
    <w:rsid w:val="005A3128"/>
    <w:rsid w:val="005A3584"/>
    <w:rsid w:val="005A38E1"/>
    <w:rsid w:val="005A392D"/>
    <w:rsid w:val="005A458E"/>
    <w:rsid w:val="005A4917"/>
    <w:rsid w:val="005A4DC7"/>
    <w:rsid w:val="005A6362"/>
    <w:rsid w:val="005A699B"/>
    <w:rsid w:val="005A7057"/>
    <w:rsid w:val="005A71A4"/>
    <w:rsid w:val="005A7719"/>
    <w:rsid w:val="005B00B5"/>
    <w:rsid w:val="005B0BAD"/>
    <w:rsid w:val="005B0C68"/>
    <w:rsid w:val="005B0D67"/>
    <w:rsid w:val="005B1016"/>
    <w:rsid w:val="005B1761"/>
    <w:rsid w:val="005B1A63"/>
    <w:rsid w:val="005B1BCF"/>
    <w:rsid w:val="005B1FD1"/>
    <w:rsid w:val="005B225F"/>
    <w:rsid w:val="005B2806"/>
    <w:rsid w:val="005B2B54"/>
    <w:rsid w:val="005B3C04"/>
    <w:rsid w:val="005B3C9B"/>
    <w:rsid w:val="005B472E"/>
    <w:rsid w:val="005B651D"/>
    <w:rsid w:val="005B7006"/>
    <w:rsid w:val="005B7183"/>
    <w:rsid w:val="005B7612"/>
    <w:rsid w:val="005C1BF7"/>
    <w:rsid w:val="005C22F1"/>
    <w:rsid w:val="005C2662"/>
    <w:rsid w:val="005C4629"/>
    <w:rsid w:val="005C4769"/>
    <w:rsid w:val="005C5307"/>
    <w:rsid w:val="005C67A2"/>
    <w:rsid w:val="005C7A87"/>
    <w:rsid w:val="005D10AC"/>
    <w:rsid w:val="005D1C7A"/>
    <w:rsid w:val="005D20F9"/>
    <w:rsid w:val="005D243E"/>
    <w:rsid w:val="005D2E63"/>
    <w:rsid w:val="005D30FD"/>
    <w:rsid w:val="005D3515"/>
    <w:rsid w:val="005D433C"/>
    <w:rsid w:val="005D4744"/>
    <w:rsid w:val="005D51AF"/>
    <w:rsid w:val="005D56F0"/>
    <w:rsid w:val="005D5B7C"/>
    <w:rsid w:val="005D7751"/>
    <w:rsid w:val="005D794D"/>
    <w:rsid w:val="005D7E44"/>
    <w:rsid w:val="005E0E5D"/>
    <w:rsid w:val="005E0E68"/>
    <w:rsid w:val="005E17B7"/>
    <w:rsid w:val="005E1A38"/>
    <w:rsid w:val="005E2277"/>
    <w:rsid w:val="005E2D49"/>
    <w:rsid w:val="005E2FD1"/>
    <w:rsid w:val="005E377F"/>
    <w:rsid w:val="005E4028"/>
    <w:rsid w:val="005E4B73"/>
    <w:rsid w:val="005E4E76"/>
    <w:rsid w:val="005E51EE"/>
    <w:rsid w:val="005E52C4"/>
    <w:rsid w:val="005E5A25"/>
    <w:rsid w:val="005E6D09"/>
    <w:rsid w:val="005E741D"/>
    <w:rsid w:val="005F0297"/>
    <w:rsid w:val="005F188A"/>
    <w:rsid w:val="005F23C9"/>
    <w:rsid w:val="005F23F4"/>
    <w:rsid w:val="005F3986"/>
    <w:rsid w:val="005F3B2C"/>
    <w:rsid w:val="005F4077"/>
    <w:rsid w:val="005F4418"/>
    <w:rsid w:val="005F516C"/>
    <w:rsid w:val="005F548B"/>
    <w:rsid w:val="005F784C"/>
    <w:rsid w:val="005F7A4D"/>
    <w:rsid w:val="00600277"/>
    <w:rsid w:val="0060027E"/>
    <w:rsid w:val="006006FE"/>
    <w:rsid w:val="00600AE7"/>
    <w:rsid w:val="0060165C"/>
    <w:rsid w:val="00601C1E"/>
    <w:rsid w:val="00602254"/>
    <w:rsid w:val="006026B2"/>
    <w:rsid w:val="0060358A"/>
    <w:rsid w:val="00603702"/>
    <w:rsid w:val="00603A8F"/>
    <w:rsid w:val="00603DD6"/>
    <w:rsid w:val="00604203"/>
    <w:rsid w:val="006042B9"/>
    <w:rsid w:val="00604E9D"/>
    <w:rsid w:val="00605781"/>
    <w:rsid w:val="006064CF"/>
    <w:rsid w:val="006074C0"/>
    <w:rsid w:val="00607BBC"/>
    <w:rsid w:val="00607F02"/>
    <w:rsid w:val="0061035F"/>
    <w:rsid w:val="006131DC"/>
    <w:rsid w:val="00613250"/>
    <w:rsid w:val="0061478D"/>
    <w:rsid w:val="00614C46"/>
    <w:rsid w:val="0061561B"/>
    <w:rsid w:val="006159F0"/>
    <w:rsid w:val="00615C59"/>
    <w:rsid w:val="00616A20"/>
    <w:rsid w:val="006171D3"/>
    <w:rsid w:val="0061768A"/>
    <w:rsid w:val="00617914"/>
    <w:rsid w:val="0062126A"/>
    <w:rsid w:val="006214CC"/>
    <w:rsid w:val="0062153F"/>
    <w:rsid w:val="00621928"/>
    <w:rsid w:val="006219E3"/>
    <w:rsid w:val="00624502"/>
    <w:rsid w:val="006246DB"/>
    <w:rsid w:val="006249B2"/>
    <w:rsid w:val="00624A6F"/>
    <w:rsid w:val="006253DF"/>
    <w:rsid w:val="006258EE"/>
    <w:rsid w:val="00625EC9"/>
    <w:rsid w:val="00626093"/>
    <w:rsid w:val="0062622B"/>
    <w:rsid w:val="00626B37"/>
    <w:rsid w:val="006272B4"/>
    <w:rsid w:val="00627499"/>
    <w:rsid w:val="00630467"/>
    <w:rsid w:val="0063116C"/>
    <w:rsid w:val="006311D7"/>
    <w:rsid w:val="006311D9"/>
    <w:rsid w:val="00631410"/>
    <w:rsid w:val="0063164A"/>
    <w:rsid w:val="00631AC5"/>
    <w:rsid w:val="00631CAB"/>
    <w:rsid w:val="00631E55"/>
    <w:rsid w:val="0063307B"/>
    <w:rsid w:val="00633099"/>
    <w:rsid w:val="0063317B"/>
    <w:rsid w:val="00633993"/>
    <w:rsid w:val="006343A7"/>
    <w:rsid w:val="006345AC"/>
    <w:rsid w:val="0063557A"/>
    <w:rsid w:val="00635AFA"/>
    <w:rsid w:val="00636025"/>
    <w:rsid w:val="006370FA"/>
    <w:rsid w:val="006404A8"/>
    <w:rsid w:val="006407F5"/>
    <w:rsid w:val="006408E0"/>
    <w:rsid w:val="00641201"/>
    <w:rsid w:val="00641794"/>
    <w:rsid w:val="006426E4"/>
    <w:rsid w:val="00642734"/>
    <w:rsid w:val="00642E2E"/>
    <w:rsid w:val="00643344"/>
    <w:rsid w:val="006445FE"/>
    <w:rsid w:val="006471AC"/>
    <w:rsid w:val="006479BD"/>
    <w:rsid w:val="00647A63"/>
    <w:rsid w:val="00647E6E"/>
    <w:rsid w:val="00650048"/>
    <w:rsid w:val="00650704"/>
    <w:rsid w:val="00650F93"/>
    <w:rsid w:val="00651B2E"/>
    <w:rsid w:val="00651CB2"/>
    <w:rsid w:val="006521EE"/>
    <w:rsid w:val="006529B8"/>
    <w:rsid w:val="00653340"/>
    <w:rsid w:val="00654AA5"/>
    <w:rsid w:val="006550B8"/>
    <w:rsid w:val="006558B1"/>
    <w:rsid w:val="006558ED"/>
    <w:rsid w:val="00655B1A"/>
    <w:rsid w:val="00655D59"/>
    <w:rsid w:val="006563C2"/>
    <w:rsid w:val="00656A89"/>
    <w:rsid w:val="00656C34"/>
    <w:rsid w:val="00657BC7"/>
    <w:rsid w:val="0066081A"/>
    <w:rsid w:val="00660C76"/>
    <w:rsid w:val="00661292"/>
    <w:rsid w:val="00662F83"/>
    <w:rsid w:val="0066318D"/>
    <w:rsid w:val="00663655"/>
    <w:rsid w:val="00663DE2"/>
    <w:rsid w:val="00663DEA"/>
    <w:rsid w:val="00664069"/>
    <w:rsid w:val="00664076"/>
    <w:rsid w:val="00664A09"/>
    <w:rsid w:val="00665092"/>
    <w:rsid w:val="0066651F"/>
    <w:rsid w:val="00666A06"/>
    <w:rsid w:val="00666AE4"/>
    <w:rsid w:val="0066746D"/>
    <w:rsid w:val="00667892"/>
    <w:rsid w:val="0066797E"/>
    <w:rsid w:val="00667F90"/>
    <w:rsid w:val="00670222"/>
    <w:rsid w:val="006709F4"/>
    <w:rsid w:val="00670F57"/>
    <w:rsid w:val="00672103"/>
    <w:rsid w:val="00672486"/>
    <w:rsid w:val="00672CA5"/>
    <w:rsid w:val="0067361B"/>
    <w:rsid w:val="00673864"/>
    <w:rsid w:val="006750E8"/>
    <w:rsid w:val="006751BF"/>
    <w:rsid w:val="006754C2"/>
    <w:rsid w:val="00675979"/>
    <w:rsid w:val="00675B74"/>
    <w:rsid w:val="00676E18"/>
    <w:rsid w:val="0067752C"/>
    <w:rsid w:val="00677646"/>
    <w:rsid w:val="006777EA"/>
    <w:rsid w:val="00677A5E"/>
    <w:rsid w:val="00680522"/>
    <w:rsid w:val="0068130C"/>
    <w:rsid w:val="00681783"/>
    <w:rsid w:val="0068187E"/>
    <w:rsid w:val="00681B05"/>
    <w:rsid w:val="00681D3B"/>
    <w:rsid w:val="00682369"/>
    <w:rsid w:val="00682A4B"/>
    <w:rsid w:val="00682CD9"/>
    <w:rsid w:val="00683019"/>
    <w:rsid w:val="006830D5"/>
    <w:rsid w:val="0068380A"/>
    <w:rsid w:val="006838BA"/>
    <w:rsid w:val="00683DD2"/>
    <w:rsid w:val="006842B1"/>
    <w:rsid w:val="006843E3"/>
    <w:rsid w:val="0068491C"/>
    <w:rsid w:val="00684D3D"/>
    <w:rsid w:val="00686038"/>
    <w:rsid w:val="00687064"/>
    <w:rsid w:val="00687C3F"/>
    <w:rsid w:val="00687CCF"/>
    <w:rsid w:val="006903EA"/>
    <w:rsid w:val="00690721"/>
    <w:rsid w:val="0069097D"/>
    <w:rsid w:val="006909B3"/>
    <w:rsid w:val="006916A9"/>
    <w:rsid w:val="00691CCC"/>
    <w:rsid w:val="00693054"/>
    <w:rsid w:val="00694453"/>
    <w:rsid w:val="006945AD"/>
    <w:rsid w:val="00694C66"/>
    <w:rsid w:val="006954AB"/>
    <w:rsid w:val="00695EFB"/>
    <w:rsid w:val="00696608"/>
    <w:rsid w:val="00696AB5"/>
    <w:rsid w:val="006975CA"/>
    <w:rsid w:val="006A0106"/>
    <w:rsid w:val="006A10E6"/>
    <w:rsid w:val="006A1CC1"/>
    <w:rsid w:val="006A2548"/>
    <w:rsid w:val="006A25D7"/>
    <w:rsid w:val="006A2F22"/>
    <w:rsid w:val="006A3772"/>
    <w:rsid w:val="006A3C45"/>
    <w:rsid w:val="006A5279"/>
    <w:rsid w:val="006A55FC"/>
    <w:rsid w:val="006A6833"/>
    <w:rsid w:val="006A7151"/>
    <w:rsid w:val="006A75F2"/>
    <w:rsid w:val="006B0207"/>
    <w:rsid w:val="006B0DD2"/>
    <w:rsid w:val="006B0F7C"/>
    <w:rsid w:val="006B149D"/>
    <w:rsid w:val="006B1C73"/>
    <w:rsid w:val="006B1CBB"/>
    <w:rsid w:val="006B2441"/>
    <w:rsid w:val="006B248F"/>
    <w:rsid w:val="006B3423"/>
    <w:rsid w:val="006B3B54"/>
    <w:rsid w:val="006B47E5"/>
    <w:rsid w:val="006B4A3A"/>
    <w:rsid w:val="006B5020"/>
    <w:rsid w:val="006B633A"/>
    <w:rsid w:val="006B6374"/>
    <w:rsid w:val="006B7786"/>
    <w:rsid w:val="006B7B5B"/>
    <w:rsid w:val="006B7C97"/>
    <w:rsid w:val="006B7DE3"/>
    <w:rsid w:val="006C069B"/>
    <w:rsid w:val="006C06FB"/>
    <w:rsid w:val="006C091C"/>
    <w:rsid w:val="006C0A7A"/>
    <w:rsid w:val="006C0D4C"/>
    <w:rsid w:val="006C0E3F"/>
    <w:rsid w:val="006C25CB"/>
    <w:rsid w:val="006C2D1F"/>
    <w:rsid w:val="006C2E65"/>
    <w:rsid w:val="006C30A8"/>
    <w:rsid w:val="006C330B"/>
    <w:rsid w:val="006C333A"/>
    <w:rsid w:val="006C372F"/>
    <w:rsid w:val="006C3BFB"/>
    <w:rsid w:val="006C4430"/>
    <w:rsid w:val="006C4581"/>
    <w:rsid w:val="006C4F31"/>
    <w:rsid w:val="006C502A"/>
    <w:rsid w:val="006C5418"/>
    <w:rsid w:val="006C5A44"/>
    <w:rsid w:val="006C5FA6"/>
    <w:rsid w:val="006C6813"/>
    <w:rsid w:val="006C6A15"/>
    <w:rsid w:val="006C70AC"/>
    <w:rsid w:val="006C73D3"/>
    <w:rsid w:val="006C75B3"/>
    <w:rsid w:val="006D0068"/>
    <w:rsid w:val="006D00D9"/>
    <w:rsid w:val="006D11AC"/>
    <w:rsid w:val="006D18B6"/>
    <w:rsid w:val="006D1D1E"/>
    <w:rsid w:val="006D220B"/>
    <w:rsid w:val="006D25B6"/>
    <w:rsid w:val="006D2975"/>
    <w:rsid w:val="006D2C1D"/>
    <w:rsid w:val="006D33CC"/>
    <w:rsid w:val="006D45E7"/>
    <w:rsid w:val="006D63D1"/>
    <w:rsid w:val="006D6A65"/>
    <w:rsid w:val="006D6C16"/>
    <w:rsid w:val="006D6F4D"/>
    <w:rsid w:val="006D728A"/>
    <w:rsid w:val="006D78FF"/>
    <w:rsid w:val="006D7A7F"/>
    <w:rsid w:val="006D7C92"/>
    <w:rsid w:val="006D7FBE"/>
    <w:rsid w:val="006E0241"/>
    <w:rsid w:val="006E05E8"/>
    <w:rsid w:val="006E133B"/>
    <w:rsid w:val="006E16D7"/>
    <w:rsid w:val="006E1817"/>
    <w:rsid w:val="006E197D"/>
    <w:rsid w:val="006E1AF7"/>
    <w:rsid w:val="006E1C1E"/>
    <w:rsid w:val="006E2A89"/>
    <w:rsid w:val="006E2FBC"/>
    <w:rsid w:val="006E58BA"/>
    <w:rsid w:val="006E5A5F"/>
    <w:rsid w:val="006E60B7"/>
    <w:rsid w:val="006E666E"/>
    <w:rsid w:val="006E68A6"/>
    <w:rsid w:val="006E6A95"/>
    <w:rsid w:val="006E77C1"/>
    <w:rsid w:val="006E78A1"/>
    <w:rsid w:val="006F0F11"/>
    <w:rsid w:val="006F1125"/>
    <w:rsid w:val="006F1984"/>
    <w:rsid w:val="006F1D59"/>
    <w:rsid w:val="006F1FB7"/>
    <w:rsid w:val="006F20F4"/>
    <w:rsid w:val="006F299D"/>
    <w:rsid w:val="006F3254"/>
    <w:rsid w:val="006F34BA"/>
    <w:rsid w:val="006F38CA"/>
    <w:rsid w:val="006F43DA"/>
    <w:rsid w:val="006F45AD"/>
    <w:rsid w:val="006F5580"/>
    <w:rsid w:val="006F5F55"/>
    <w:rsid w:val="006F7111"/>
    <w:rsid w:val="006F744A"/>
    <w:rsid w:val="006F7B1F"/>
    <w:rsid w:val="0070088F"/>
    <w:rsid w:val="007010A0"/>
    <w:rsid w:val="0070275B"/>
    <w:rsid w:val="00703484"/>
    <w:rsid w:val="007042D0"/>
    <w:rsid w:val="00704AB9"/>
    <w:rsid w:val="00704B24"/>
    <w:rsid w:val="0070544C"/>
    <w:rsid w:val="00705B89"/>
    <w:rsid w:val="00705D74"/>
    <w:rsid w:val="00705DD9"/>
    <w:rsid w:val="00706D5B"/>
    <w:rsid w:val="0070720B"/>
    <w:rsid w:val="00707715"/>
    <w:rsid w:val="00707D02"/>
    <w:rsid w:val="007100E6"/>
    <w:rsid w:val="00710C3B"/>
    <w:rsid w:val="007112C2"/>
    <w:rsid w:val="007119A3"/>
    <w:rsid w:val="00712ACE"/>
    <w:rsid w:val="00712F45"/>
    <w:rsid w:val="00714544"/>
    <w:rsid w:val="00714B2D"/>
    <w:rsid w:val="0071548D"/>
    <w:rsid w:val="0071556A"/>
    <w:rsid w:val="007157C6"/>
    <w:rsid w:val="007158C9"/>
    <w:rsid w:val="00715F25"/>
    <w:rsid w:val="007160DB"/>
    <w:rsid w:val="00716F1A"/>
    <w:rsid w:val="00717269"/>
    <w:rsid w:val="00717ACF"/>
    <w:rsid w:val="0072002D"/>
    <w:rsid w:val="00720706"/>
    <w:rsid w:val="0072089A"/>
    <w:rsid w:val="00720E85"/>
    <w:rsid w:val="0072169B"/>
    <w:rsid w:val="00722552"/>
    <w:rsid w:val="00722A90"/>
    <w:rsid w:val="00723304"/>
    <w:rsid w:val="00723323"/>
    <w:rsid w:val="0072504F"/>
    <w:rsid w:val="00725605"/>
    <w:rsid w:val="00726336"/>
    <w:rsid w:val="00726431"/>
    <w:rsid w:val="0072649C"/>
    <w:rsid w:val="007265D2"/>
    <w:rsid w:val="00727053"/>
    <w:rsid w:val="007274B6"/>
    <w:rsid w:val="00727511"/>
    <w:rsid w:val="0072764C"/>
    <w:rsid w:val="00727705"/>
    <w:rsid w:val="0072799D"/>
    <w:rsid w:val="00727FC6"/>
    <w:rsid w:val="00730456"/>
    <w:rsid w:val="00731AE2"/>
    <w:rsid w:val="00732836"/>
    <w:rsid w:val="00732965"/>
    <w:rsid w:val="00732CF0"/>
    <w:rsid w:val="00732F84"/>
    <w:rsid w:val="007332E9"/>
    <w:rsid w:val="007335B4"/>
    <w:rsid w:val="00733899"/>
    <w:rsid w:val="007339E7"/>
    <w:rsid w:val="00733D89"/>
    <w:rsid w:val="00734182"/>
    <w:rsid w:val="007347F8"/>
    <w:rsid w:val="0073546B"/>
    <w:rsid w:val="00735621"/>
    <w:rsid w:val="0073604B"/>
    <w:rsid w:val="00736C47"/>
    <w:rsid w:val="00736F7D"/>
    <w:rsid w:val="00737CC5"/>
    <w:rsid w:val="0074031A"/>
    <w:rsid w:val="007404EB"/>
    <w:rsid w:val="007405F6"/>
    <w:rsid w:val="00741BD8"/>
    <w:rsid w:val="00742221"/>
    <w:rsid w:val="00742D22"/>
    <w:rsid w:val="0074361B"/>
    <w:rsid w:val="00743CA3"/>
    <w:rsid w:val="00743E3E"/>
    <w:rsid w:val="007446B5"/>
    <w:rsid w:val="00746097"/>
    <w:rsid w:val="007462B0"/>
    <w:rsid w:val="00746F3A"/>
    <w:rsid w:val="007477E4"/>
    <w:rsid w:val="007502A4"/>
    <w:rsid w:val="007506BA"/>
    <w:rsid w:val="00750FCF"/>
    <w:rsid w:val="007511A7"/>
    <w:rsid w:val="007516D6"/>
    <w:rsid w:val="007523CA"/>
    <w:rsid w:val="0075284C"/>
    <w:rsid w:val="00752983"/>
    <w:rsid w:val="0075315C"/>
    <w:rsid w:val="007535C2"/>
    <w:rsid w:val="0075390B"/>
    <w:rsid w:val="007540C9"/>
    <w:rsid w:val="007540F5"/>
    <w:rsid w:val="00754403"/>
    <w:rsid w:val="0075487F"/>
    <w:rsid w:val="007555EA"/>
    <w:rsid w:val="00755D29"/>
    <w:rsid w:val="00757416"/>
    <w:rsid w:val="0075782B"/>
    <w:rsid w:val="00761FD2"/>
    <w:rsid w:val="0076202F"/>
    <w:rsid w:val="00762AD7"/>
    <w:rsid w:val="0076382D"/>
    <w:rsid w:val="00763A9B"/>
    <w:rsid w:val="00763EEB"/>
    <w:rsid w:val="00764031"/>
    <w:rsid w:val="007642C3"/>
    <w:rsid w:val="007644BB"/>
    <w:rsid w:val="0076476C"/>
    <w:rsid w:val="00764BC7"/>
    <w:rsid w:val="007662D4"/>
    <w:rsid w:val="00766B1E"/>
    <w:rsid w:val="00767FC4"/>
    <w:rsid w:val="00770271"/>
    <w:rsid w:val="0077049E"/>
    <w:rsid w:val="0077051C"/>
    <w:rsid w:val="007707DE"/>
    <w:rsid w:val="00770948"/>
    <w:rsid w:val="007709B6"/>
    <w:rsid w:val="007709C2"/>
    <w:rsid w:val="0077132B"/>
    <w:rsid w:val="007714E5"/>
    <w:rsid w:val="0077178C"/>
    <w:rsid w:val="00771B74"/>
    <w:rsid w:val="007722B6"/>
    <w:rsid w:val="00772DA5"/>
    <w:rsid w:val="00772FB9"/>
    <w:rsid w:val="007740F2"/>
    <w:rsid w:val="007745F9"/>
    <w:rsid w:val="00775474"/>
    <w:rsid w:val="0077561D"/>
    <w:rsid w:val="00776068"/>
    <w:rsid w:val="007765DB"/>
    <w:rsid w:val="00776933"/>
    <w:rsid w:val="00776AA3"/>
    <w:rsid w:val="00776DF3"/>
    <w:rsid w:val="00777A62"/>
    <w:rsid w:val="0078051A"/>
    <w:rsid w:val="007805C8"/>
    <w:rsid w:val="00780A2A"/>
    <w:rsid w:val="00780B72"/>
    <w:rsid w:val="00780E6E"/>
    <w:rsid w:val="007812B1"/>
    <w:rsid w:val="00781BC3"/>
    <w:rsid w:val="0078246D"/>
    <w:rsid w:val="00782DD9"/>
    <w:rsid w:val="00783237"/>
    <w:rsid w:val="007833FF"/>
    <w:rsid w:val="0078375D"/>
    <w:rsid w:val="0078387E"/>
    <w:rsid w:val="00783974"/>
    <w:rsid w:val="00783BC8"/>
    <w:rsid w:val="00783BE0"/>
    <w:rsid w:val="00783E55"/>
    <w:rsid w:val="007844BA"/>
    <w:rsid w:val="007864F0"/>
    <w:rsid w:val="00787530"/>
    <w:rsid w:val="007876B9"/>
    <w:rsid w:val="007876E5"/>
    <w:rsid w:val="00790B47"/>
    <w:rsid w:val="00792BB3"/>
    <w:rsid w:val="0079345E"/>
    <w:rsid w:val="00793A4C"/>
    <w:rsid w:val="00793C3C"/>
    <w:rsid w:val="0079414D"/>
    <w:rsid w:val="00794552"/>
    <w:rsid w:val="007953AC"/>
    <w:rsid w:val="00795C33"/>
    <w:rsid w:val="00796583"/>
    <w:rsid w:val="00797B42"/>
    <w:rsid w:val="007A0265"/>
    <w:rsid w:val="007A1583"/>
    <w:rsid w:val="007A174D"/>
    <w:rsid w:val="007A18EA"/>
    <w:rsid w:val="007A29CF"/>
    <w:rsid w:val="007A3D21"/>
    <w:rsid w:val="007A40C5"/>
    <w:rsid w:val="007A48FD"/>
    <w:rsid w:val="007A4927"/>
    <w:rsid w:val="007A4CD7"/>
    <w:rsid w:val="007A525C"/>
    <w:rsid w:val="007A55C7"/>
    <w:rsid w:val="007A5859"/>
    <w:rsid w:val="007A5CF3"/>
    <w:rsid w:val="007A5DF3"/>
    <w:rsid w:val="007A6039"/>
    <w:rsid w:val="007A66DE"/>
    <w:rsid w:val="007A6D51"/>
    <w:rsid w:val="007A71F2"/>
    <w:rsid w:val="007A7BDF"/>
    <w:rsid w:val="007A7D17"/>
    <w:rsid w:val="007B036B"/>
    <w:rsid w:val="007B05E3"/>
    <w:rsid w:val="007B253A"/>
    <w:rsid w:val="007B2888"/>
    <w:rsid w:val="007B29DC"/>
    <w:rsid w:val="007B2CC4"/>
    <w:rsid w:val="007B33E2"/>
    <w:rsid w:val="007B3751"/>
    <w:rsid w:val="007B3A4C"/>
    <w:rsid w:val="007B45E8"/>
    <w:rsid w:val="007B6206"/>
    <w:rsid w:val="007B687C"/>
    <w:rsid w:val="007B7495"/>
    <w:rsid w:val="007B7E02"/>
    <w:rsid w:val="007C08A5"/>
    <w:rsid w:val="007C0B1C"/>
    <w:rsid w:val="007C0BC8"/>
    <w:rsid w:val="007C0E63"/>
    <w:rsid w:val="007C0F24"/>
    <w:rsid w:val="007C1053"/>
    <w:rsid w:val="007C1521"/>
    <w:rsid w:val="007C1B7C"/>
    <w:rsid w:val="007C1E23"/>
    <w:rsid w:val="007C3309"/>
    <w:rsid w:val="007C3425"/>
    <w:rsid w:val="007C3561"/>
    <w:rsid w:val="007C3C6D"/>
    <w:rsid w:val="007C5142"/>
    <w:rsid w:val="007C528E"/>
    <w:rsid w:val="007C5761"/>
    <w:rsid w:val="007C5B7C"/>
    <w:rsid w:val="007C6454"/>
    <w:rsid w:val="007C7306"/>
    <w:rsid w:val="007C7895"/>
    <w:rsid w:val="007D089F"/>
    <w:rsid w:val="007D0A8B"/>
    <w:rsid w:val="007D0C6B"/>
    <w:rsid w:val="007D1233"/>
    <w:rsid w:val="007D1565"/>
    <w:rsid w:val="007D16AD"/>
    <w:rsid w:val="007D2F61"/>
    <w:rsid w:val="007D3142"/>
    <w:rsid w:val="007D3276"/>
    <w:rsid w:val="007D3E4F"/>
    <w:rsid w:val="007D5D62"/>
    <w:rsid w:val="007D5EBA"/>
    <w:rsid w:val="007D607C"/>
    <w:rsid w:val="007D6738"/>
    <w:rsid w:val="007D6BCE"/>
    <w:rsid w:val="007D7C76"/>
    <w:rsid w:val="007D7F8D"/>
    <w:rsid w:val="007E050B"/>
    <w:rsid w:val="007E067D"/>
    <w:rsid w:val="007E19AE"/>
    <w:rsid w:val="007E2AA2"/>
    <w:rsid w:val="007E46EF"/>
    <w:rsid w:val="007E48EA"/>
    <w:rsid w:val="007E49FB"/>
    <w:rsid w:val="007E615E"/>
    <w:rsid w:val="007E61C8"/>
    <w:rsid w:val="007E6679"/>
    <w:rsid w:val="007E6903"/>
    <w:rsid w:val="007E6C72"/>
    <w:rsid w:val="007E7131"/>
    <w:rsid w:val="007F0B31"/>
    <w:rsid w:val="007F1496"/>
    <w:rsid w:val="007F171D"/>
    <w:rsid w:val="007F1DF8"/>
    <w:rsid w:val="007F1EC1"/>
    <w:rsid w:val="007F204E"/>
    <w:rsid w:val="007F24EF"/>
    <w:rsid w:val="007F2882"/>
    <w:rsid w:val="007F2E64"/>
    <w:rsid w:val="007F3500"/>
    <w:rsid w:val="007F3D3D"/>
    <w:rsid w:val="007F3EF5"/>
    <w:rsid w:val="007F4458"/>
    <w:rsid w:val="007F446F"/>
    <w:rsid w:val="007F4903"/>
    <w:rsid w:val="007F529D"/>
    <w:rsid w:val="007F5B43"/>
    <w:rsid w:val="007F740F"/>
    <w:rsid w:val="007F75F0"/>
    <w:rsid w:val="007F7798"/>
    <w:rsid w:val="007F783E"/>
    <w:rsid w:val="007F7E67"/>
    <w:rsid w:val="0080125F"/>
    <w:rsid w:val="008014C9"/>
    <w:rsid w:val="00801A16"/>
    <w:rsid w:val="00801DB0"/>
    <w:rsid w:val="008022FF"/>
    <w:rsid w:val="00803049"/>
    <w:rsid w:val="00803CEB"/>
    <w:rsid w:val="0080447D"/>
    <w:rsid w:val="008061B6"/>
    <w:rsid w:val="008066CC"/>
    <w:rsid w:val="008076A5"/>
    <w:rsid w:val="0081006D"/>
    <w:rsid w:val="00810390"/>
    <w:rsid w:val="0081151E"/>
    <w:rsid w:val="00811592"/>
    <w:rsid w:val="00811F1D"/>
    <w:rsid w:val="00811FD6"/>
    <w:rsid w:val="00812176"/>
    <w:rsid w:val="00812BFD"/>
    <w:rsid w:val="00813301"/>
    <w:rsid w:val="00813981"/>
    <w:rsid w:val="00813A08"/>
    <w:rsid w:val="008144C5"/>
    <w:rsid w:val="00815EA4"/>
    <w:rsid w:val="00816565"/>
    <w:rsid w:val="00816EC0"/>
    <w:rsid w:val="00820FA3"/>
    <w:rsid w:val="0082109A"/>
    <w:rsid w:val="008211E1"/>
    <w:rsid w:val="00821329"/>
    <w:rsid w:val="0082220B"/>
    <w:rsid w:val="00822225"/>
    <w:rsid w:val="00822728"/>
    <w:rsid w:val="0082316C"/>
    <w:rsid w:val="0082368A"/>
    <w:rsid w:val="00823958"/>
    <w:rsid w:val="00823B2D"/>
    <w:rsid w:val="00823C35"/>
    <w:rsid w:val="0082454B"/>
    <w:rsid w:val="008246B4"/>
    <w:rsid w:val="008247F9"/>
    <w:rsid w:val="008256B8"/>
    <w:rsid w:val="0082589F"/>
    <w:rsid w:val="00825D99"/>
    <w:rsid w:val="008263D3"/>
    <w:rsid w:val="0082667A"/>
    <w:rsid w:val="00826926"/>
    <w:rsid w:val="00826F24"/>
    <w:rsid w:val="0082759D"/>
    <w:rsid w:val="008275DC"/>
    <w:rsid w:val="00827F51"/>
    <w:rsid w:val="0083047C"/>
    <w:rsid w:val="0083082D"/>
    <w:rsid w:val="00830D21"/>
    <w:rsid w:val="00831123"/>
    <w:rsid w:val="0083128A"/>
    <w:rsid w:val="0083197D"/>
    <w:rsid w:val="008319E9"/>
    <w:rsid w:val="008324B2"/>
    <w:rsid w:val="0083319C"/>
    <w:rsid w:val="0083353C"/>
    <w:rsid w:val="0083369B"/>
    <w:rsid w:val="0083412D"/>
    <w:rsid w:val="008351C5"/>
    <w:rsid w:val="00835649"/>
    <w:rsid w:val="008358F4"/>
    <w:rsid w:val="00836074"/>
    <w:rsid w:val="00836226"/>
    <w:rsid w:val="008362B2"/>
    <w:rsid w:val="008379A3"/>
    <w:rsid w:val="008418C0"/>
    <w:rsid w:val="00841D94"/>
    <w:rsid w:val="00841E09"/>
    <w:rsid w:val="0084208C"/>
    <w:rsid w:val="00842742"/>
    <w:rsid w:val="00842CCD"/>
    <w:rsid w:val="00842DD8"/>
    <w:rsid w:val="008432FF"/>
    <w:rsid w:val="0084344A"/>
    <w:rsid w:val="008434D4"/>
    <w:rsid w:val="008437CF"/>
    <w:rsid w:val="008446E9"/>
    <w:rsid w:val="008451CC"/>
    <w:rsid w:val="00845769"/>
    <w:rsid w:val="00845A35"/>
    <w:rsid w:val="00845DDC"/>
    <w:rsid w:val="008466EE"/>
    <w:rsid w:val="00847037"/>
    <w:rsid w:val="00847812"/>
    <w:rsid w:val="00851B2A"/>
    <w:rsid w:val="00851F0A"/>
    <w:rsid w:val="0085203C"/>
    <w:rsid w:val="008559A0"/>
    <w:rsid w:val="00855C63"/>
    <w:rsid w:val="00856CFA"/>
    <w:rsid w:val="00856ED6"/>
    <w:rsid w:val="00856EFA"/>
    <w:rsid w:val="008574EE"/>
    <w:rsid w:val="0085795A"/>
    <w:rsid w:val="0085798D"/>
    <w:rsid w:val="00857999"/>
    <w:rsid w:val="00857F52"/>
    <w:rsid w:val="008602AB"/>
    <w:rsid w:val="008603D7"/>
    <w:rsid w:val="0086081F"/>
    <w:rsid w:val="0086091C"/>
    <w:rsid w:val="00860AA4"/>
    <w:rsid w:val="00860B92"/>
    <w:rsid w:val="00861065"/>
    <w:rsid w:val="00861E1B"/>
    <w:rsid w:val="00862F27"/>
    <w:rsid w:val="00863A57"/>
    <w:rsid w:val="00863D53"/>
    <w:rsid w:val="008641B1"/>
    <w:rsid w:val="00864B4D"/>
    <w:rsid w:val="00864D17"/>
    <w:rsid w:val="00865A14"/>
    <w:rsid w:val="00865FDE"/>
    <w:rsid w:val="00866056"/>
    <w:rsid w:val="00866703"/>
    <w:rsid w:val="00870058"/>
    <w:rsid w:val="008700DA"/>
    <w:rsid w:val="00870B54"/>
    <w:rsid w:val="00870E9C"/>
    <w:rsid w:val="00871D31"/>
    <w:rsid w:val="0087213D"/>
    <w:rsid w:val="00872737"/>
    <w:rsid w:val="00872EE0"/>
    <w:rsid w:val="0087315B"/>
    <w:rsid w:val="00873934"/>
    <w:rsid w:val="00873C81"/>
    <w:rsid w:val="00873F90"/>
    <w:rsid w:val="00874E0B"/>
    <w:rsid w:val="0087548D"/>
    <w:rsid w:val="00875ABF"/>
    <w:rsid w:val="008762AE"/>
    <w:rsid w:val="008770EA"/>
    <w:rsid w:val="00877AE9"/>
    <w:rsid w:val="00881B3D"/>
    <w:rsid w:val="00881EB8"/>
    <w:rsid w:val="00884E9D"/>
    <w:rsid w:val="0088566E"/>
    <w:rsid w:val="00885825"/>
    <w:rsid w:val="00885F3C"/>
    <w:rsid w:val="00885F90"/>
    <w:rsid w:val="00886802"/>
    <w:rsid w:val="0088692E"/>
    <w:rsid w:val="00887B43"/>
    <w:rsid w:val="008900E9"/>
    <w:rsid w:val="008908B7"/>
    <w:rsid w:val="0089151C"/>
    <w:rsid w:val="0089152B"/>
    <w:rsid w:val="008915F1"/>
    <w:rsid w:val="0089171E"/>
    <w:rsid w:val="0089202B"/>
    <w:rsid w:val="00892388"/>
    <w:rsid w:val="008923A9"/>
    <w:rsid w:val="008925A7"/>
    <w:rsid w:val="00892FE5"/>
    <w:rsid w:val="00893888"/>
    <w:rsid w:val="00893F43"/>
    <w:rsid w:val="00893FDA"/>
    <w:rsid w:val="008941B7"/>
    <w:rsid w:val="00895E6B"/>
    <w:rsid w:val="00896843"/>
    <w:rsid w:val="00897C0F"/>
    <w:rsid w:val="008A0496"/>
    <w:rsid w:val="008A0DF8"/>
    <w:rsid w:val="008A14CD"/>
    <w:rsid w:val="008A15FD"/>
    <w:rsid w:val="008A180E"/>
    <w:rsid w:val="008A231E"/>
    <w:rsid w:val="008A2525"/>
    <w:rsid w:val="008A2FDA"/>
    <w:rsid w:val="008A3008"/>
    <w:rsid w:val="008A4674"/>
    <w:rsid w:val="008A4A7E"/>
    <w:rsid w:val="008A505B"/>
    <w:rsid w:val="008A5147"/>
    <w:rsid w:val="008A538F"/>
    <w:rsid w:val="008A6363"/>
    <w:rsid w:val="008A695B"/>
    <w:rsid w:val="008A6B2F"/>
    <w:rsid w:val="008A7091"/>
    <w:rsid w:val="008A747C"/>
    <w:rsid w:val="008A7DE7"/>
    <w:rsid w:val="008B05B2"/>
    <w:rsid w:val="008B250F"/>
    <w:rsid w:val="008B2652"/>
    <w:rsid w:val="008B26E1"/>
    <w:rsid w:val="008B2817"/>
    <w:rsid w:val="008B28AE"/>
    <w:rsid w:val="008B28CF"/>
    <w:rsid w:val="008B2FFA"/>
    <w:rsid w:val="008B4458"/>
    <w:rsid w:val="008B4DEF"/>
    <w:rsid w:val="008B511A"/>
    <w:rsid w:val="008B54DF"/>
    <w:rsid w:val="008B5616"/>
    <w:rsid w:val="008B637C"/>
    <w:rsid w:val="008B68B3"/>
    <w:rsid w:val="008B6E19"/>
    <w:rsid w:val="008C0B86"/>
    <w:rsid w:val="008C14D8"/>
    <w:rsid w:val="008C159E"/>
    <w:rsid w:val="008C1B47"/>
    <w:rsid w:val="008C1C11"/>
    <w:rsid w:val="008C26A5"/>
    <w:rsid w:val="008C3D93"/>
    <w:rsid w:val="008C4A0A"/>
    <w:rsid w:val="008C4BA7"/>
    <w:rsid w:val="008C5178"/>
    <w:rsid w:val="008C5347"/>
    <w:rsid w:val="008C53FC"/>
    <w:rsid w:val="008C54DC"/>
    <w:rsid w:val="008C6084"/>
    <w:rsid w:val="008C62C1"/>
    <w:rsid w:val="008C6335"/>
    <w:rsid w:val="008C653D"/>
    <w:rsid w:val="008C6E71"/>
    <w:rsid w:val="008C7430"/>
    <w:rsid w:val="008D02D6"/>
    <w:rsid w:val="008D11E0"/>
    <w:rsid w:val="008D1725"/>
    <w:rsid w:val="008D18CF"/>
    <w:rsid w:val="008D1B74"/>
    <w:rsid w:val="008D214C"/>
    <w:rsid w:val="008D35A2"/>
    <w:rsid w:val="008D3AF6"/>
    <w:rsid w:val="008D40DB"/>
    <w:rsid w:val="008D41F6"/>
    <w:rsid w:val="008D424E"/>
    <w:rsid w:val="008D4C4E"/>
    <w:rsid w:val="008D626A"/>
    <w:rsid w:val="008D6AED"/>
    <w:rsid w:val="008E08F6"/>
    <w:rsid w:val="008E0AA2"/>
    <w:rsid w:val="008E0FB3"/>
    <w:rsid w:val="008E10E9"/>
    <w:rsid w:val="008E1106"/>
    <w:rsid w:val="008E1273"/>
    <w:rsid w:val="008E138C"/>
    <w:rsid w:val="008E148B"/>
    <w:rsid w:val="008E1532"/>
    <w:rsid w:val="008E1FE5"/>
    <w:rsid w:val="008E20E9"/>
    <w:rsid w:val="008E2546"/>
    <w:rsid w:val="008E2F1E"/>
    <w:rsid w:val="008E2F8E"/>
    <w:rsid w:val="008E3493"/>
    <w:rsid w:val="008E3770"/>
    <w:rsid w:val="008E3B63"/>
    <w:rsid w:val="008E46EB"/>
    <w:rsid w:val="008E50B7"/>
    <w:rsid w:val="008E569B"/>
    <w:rsid w:val="008E5A46"/>
    <w:rsid w:val="008E5B80"/>
    <w:rsid w:val="008E6712"/>
    <w:rsid w:val="008E73E0"/>
    <w:rsid w:val="008E7458"/>
    <w:rsid w:val="008F0A96"/>
    <w:rsid w:val="008F0D83"/>
    <w:rsid w:val="008F1372"/>
    <w:rsid w:val="008F168A"/>
    <w:rsid w:val="008F239C"/>
    <w:rsid w:val="008F254A"/>
    <w:rsid w:val="008F2D6F"/>
    <w:rsid w:val="008F3F3B"/>
    <w:rsid w:val="008F4315"/>
    <w:rsid w:val="008F454B"/>
    <w:rsid w:val="008F46EF"/>
    <w:rsid w:val="008F4DD6"/>
    <w:rsid w:val="008F60FB"/>
    <w:rsid w:val="008F6C1D"/>
    <w:rsid w:val="008F7832"/>
    <w:rsid w:val="008F7E46"/>
    <w:rsid w:val="00900D97"/>
    <w:rsid w:val="00900EDC"/>
    <w:rsid w:val="0090117D"/>
    <w:rsid w:val="00901E21"/>
    <w:rsid w:val="0090239E"/>
    <w:rsid w:val="00902785"/>
    <w:rsid w:val="009028D0"/>
    <w:rsid w:val="00902D81"/>
    <w:rsid w:val="009033D3"/>
    <w:rsid w:val="009040F7"/>
    <w:rsid w:val="009041B5"/>
    <w:rsid w:val="009051C6"/>
    <w:rsid w:val="00905BF5"/>
    <w:rsid w:val="00906308"/>
    <w:rsid w:val="009063B6"/>
    <w:rsid w:val="00906617"/>
    <w:rsid w:val="00906680"/>
    <w:rsid w:val="00906729"/>
    <w:rsid w:val="00907836"/>
    <w:rsid w:val="00907BF5"/>
    <w:rsid w:val="0091034E"/>
    <w:rsid w:val="00910713"/>
    <w:rsid w:val="00910B07"/>
    <w:rsid w:val="00910F44"/>
    <w:rsid w:val="00910FF0"/>
    <w:rsid w:val="00911D1D"/>
    <w:rsid w:val="00912813"/>
    <w:rsid w:val="0091383C"/>
    <w:rsid w:val="00913ECA"/>
    <w:rsid w:val="00914BA6"/>
    <w:rsid w:val="00915212"/>
    <w:rsid w:val="009152DB"/>
    <w:rsid w:val="00915A48"/>
    <w:rsid w:val="00915C0F"/>
    <w:rsid w:val="00916184"/>
    <w:rsid w:val="009170CB"/>
    <w:rsid w:val="0091766A"/>
    <w:rsid w:val="00917731"/>
    <w:rsid w:val="00917BE4"/>
    <w:rsid w:val="00920676"/>
    <w:rsid w:val="00920FD1"/>
    <w:rsid w:val="00921C8B"/>
    <w:rsid w:val="0092384B"/>
    <w:rsid w:val="009239BF"/>
    <w:rsid w:val="00923A67"/>
    <w:rsid w:val="00923B95"/>
    <w:rsid w:val="00923FC8"/>
    <w:rsid w:val="00924576"/>
    <w:rsid w:val="009252FB"/>
    <w:rsid w:val="00925E07"/>
    <w:rsid w:val="0092627C"/>
    <w:rsid w:val="0092657A"/>
    <w:rsid w:val="0092702C"/>
    <w:rsid w:val="0092728D"/>
    <w:rsid w:val="0092786C"/>
    <w:rsid w:val="009309D4"/>
    <w:rsid w:val="00931236"/>
    <w:rsid w:val="009312F6"/>
    <w:rsid w:val="00931FCE"/>
    <w:rsid w:val="00933C10"/>
    <w:rsid w:val="009341E7"/>
    <w:rsid w:val="00934320"/>
    <w:rsid w:val="009348A1"/>
    <w:rsid w:val="00935290"/>
    <w:rsid w:val="00935A13"/>
    <w:rsid w:val="00935A1B"/>
    <w:rsid w:val="0093609E"/>
    <w:rsid w:val="00936153"/>
    <w:rsid w:val="0093662D"/>
    <w:rsid w:val="00936BBE"/>
    <w:rsid w:val="00936C5A"/>
    <w:rsid w:val="00936E12"/>
    <w:rsid w:val="009401F9"/>
    <w:rsid w:val="00940B70"/>
    <w:rsid w:val="00940DA9"/>
    <w:rsid w:val="009411A9"/>
    <w:rsid w:val="00941283"/>
    <w:rsid w:val="009414A4"/>
    <w:rsid w:val="00941B58"/>
    <w:rsid w:val="00942753"/>
    <w:rsid w:val="00942AF5"/>
    <w:rsid w:val="00943382"/>
    <w:rsid w:val="00943AE9"/>
    <w:rsid w:val="00943C7F"/>
    <w:rsid w:val="00943EB2"/>
    <w:rsid w:val="009444B8"/>
    <w:rsid w:val="00944E38"/>
    <w:rsid w:val="00945382"/>
    <w:rsid w:val="009453E4"/>
    <w:rsid w:val="00946164"/>
    <w:rsid w:val="009466B7"/>
    <w:rsid w:val="00946A84"/>
    <w:rsid w:val="0094731D"/>
    <w:rsid w:val="00947326"/>
    <w:rsid w:val="00950FFF"/>
    <w:rsid w:val="00951253"/>
    <w:rsid w:val="00951B23"/>
    <w:rsid w:val="009525B5"/>
    <w:rsid w:val="00952619"/>
    <w:rsid w:val="009528EA"/>
    <w:rsid w:val="00953727"/>
    <w:rsid w:val="009538B4"/>
    <w:rsid w:val="00955060"/>
    <w:rsid w:val="0095528B"/>
    <w:rsid w:val="009557C1"/>
    <w:rsid w:val="00956150"/>
    <w:rsid w:val="009566BE"/>
    <w:rsid w:val="009572D7"/>
    <w:rsid w:val="00957A0B"/>
    <w:rsid w:val="00957B4B"/>
    <w:rsid w:val="00957D27"/>
    <w:rsid w:val="0096013B"/>
    <w:rsid w:val="0096063C"/>
    <w:rsid w:val="0096092E"/>
    <w:rsid w:val="00960CEA"/>
    <w:rsid w:val="00960D5E"/>
    <w:rsid w:val="0096202E"/>
    <w:rsid w:val="00962281"/>
    <w:rsid w:val="009625BF"/>
    <w:rsid w:val="00962EF9"/>
    <w:rsid w:val="00963918"/>
    <w:rsid w:val="00963C0D"/>
    <w:rsid w:val="00963F27"/>
    <w:rsid w:val="00964823"/>
    <w:rsid w:val="0096604B"/>
    <w:rsid w:val="0096679F"/>
    <w:rsid w:val="0097034C"/>
    <w:rsid w:val="00971927"/>
    <w:rsid w:val="00972BF8"/>
    <w:rsid w:val="00972D95"/>
    <w:rsid w:val="009737E7"/>
    <w:rsid w:val="009741A9"/>
    <w:rsid w:val="00974915"/>
    <w:rsid w:val="0097550B"/>
    <w:rsid w:val="0097553E"/>
    <w:rsid w:val="00975558"/>
    <w:rsid w:val="009756C7"/>
    <w:rsid w:val="00975D18"/>
    <w:rsid w:val="0097605F"/>
    <w:rsid w:val="00976249"/>
    <w:rsid w:val="00976D01"/>
    <w:rsid w:val="009772CC"/>
    <w:rsid w:val="00977304"/>
    <w:rsid w:val="00977457"/>
    <w:rsid w:val="009774A8"/>
    <w:rsid w:val="00977651"/>
    <w:rsid w:val="00980078"/>
    <w:rsid w:val="009809C9"/>
    <w:rsid w:val="0098188E"/>
    <w:rsid w:val="0098222A"/>
    <w:rsid w:val="00982644"/>
    <w:rsid w:val="0098293C"/>
    <w:rsid w:val="00982F8B"/>
    <w:rsid w:val="00983E0B"/>
    <w:rsid w:val="009843D2"/>
    <w:rsid w:val="009855C2"/>
    <w:rsid w:val="00985AF4"/>
    <w:rsid w:val="00985BC8"/>
    <w:rsid w:val="00987301"/>
    <w:rsid w:val="0098755E"/>
    <w:rsid w:val="00987C7E"/>
    <w:rsid w:val="00987F40"/>
    <w:rsid w:val="00990490"/>
    <w:rsid w:val="00991178"/>
    <w:rsid w:val="00991E34"/>
    <w:rsid w:val="00992924"/>
    <w:rsid w:val="00992C72"/>
    <w:rsid w:val="00992FCB"/>
    <w:rsid w:val="009936A7"/>
    <w:rsid w:val="00993C09"/>
    <w:rsid w:val="00993CD1"/>
    <w:rsid w:val="00993E1D"/>
    <w:rsid w:val="009947F0"/>
    <w:rsid w:val="00994AA2"/>
    <w:rsid w:val="00995213"/>
    <w:rsid w:val="0099565F"/>
    <w:rsid w:val="00995BD7"/>
    <w:rsid w:val="00996EC0"/>
    <w:rsid w:val="00997880"/>
    <w:rsid w:val="009978D3"/>
    <w:rsid w:val="00997EBD"/>
    <w:rsid w:val="009A07D9"/>
    <w:rsid w:val="009A0F22"/>
    <w:rsid w:val="009A1679"/>
    <w:rsid w:val="009A22C3"/>
    <w:rsid w:val="009A270C"/>
    <w:rsid w:val="009A2B66"/>
    <w:rsid w:val="009A31A7"/>
    <w:rsid w:val="009A31FB"/>
    <w:rsid w:val="009A436D"/>
    <w:rsid w:val="009A4B36"/>
    <w:rsid w:val="009A4C3D"/>
    <w:rsid w:val="009A6AE0"/>
    <w:rsid w:val="009A6F85"/>
    <w:rsid w:val="009A7439"/>
    <w:rsid w:val="009A7BF7"/>
    <w:rsid w:val="009A7E12"/>
    <w:rsid w:val="009B040B"/>
    <w:rsid w:val="009B139F"/>
    <w:rsid w:val="009B1B30"/>
    <w:rsid w:val="009B2064"/>
    <w:rsid w:val="009B2654"/>
    <w:rsid w:val="009B2B6E"/>
    <w:rsid w:val="009B39E9"/>
    <w:rsid w:val="009B4419"/>
    <w:rsid w:val="009B51A5"/>
    <w:rsid w:val="009B5474"/>
    <w:rsid w:val="009B5B21"/>
    <w:rsid w:val="009B5BB0"/>
    <w:rsid w:val="009B5CF3"/>
    <w:rsid w:val="009B5D36"/>
    <w:rsid w:val="009B5E10"/>
    <w:rsid w:val="009B62CB"/>
    <w:rsid w:val="009B6606"/>
    <w:rsid w:val="009B669A"/>
    <w:rsid w:val="009B71D6"/>
    <w:rsid w:val="009B7894"/>
    <w:rsid w:val="009C0112"/>
    <w:rsid w:val="009C030D"/>
    <w:rsid w:val="009C0446"/>
    <w:rsid w:val="009C11ED"/>
    <w:rsid w:val="009C1E13"/>
    <w:rsid w:val="009C403C"/>
    <w:rsid w:val="009C4D18"/>
    <w:rsid w:val="009C4E42"/>
    <w:rsid w:val="009C555E"/>
    <w:rsid w:val="009C5A5D"/>
    <w:rsid w:val="009C6182"/>
    <w:rsid w:val="009C61D2"/>
    <w:rsid w:val="009C6437"/>
    <w:rsid w:val="009C700A"/>
    <w:rsid w:val="009C7245"/>
    <w:rsid w:val="009C7739"/>
    <w:rsid w:val="009D0244"/>
    <w:rsid w:val="009D0613"/>
    <w:rsid w:val="009D0A66"/>
    <w:rsid w:val="009D0BD7"/>
    <w:rsid w:val="009D0DE8"/>
    <w:rsid w:val="009D1915"/>
    <w:rsid w:val="009D21A9"/>
    <w:rsid w:val="009D2348"/>
    <w:rsid w:val="009D25B9"/>
    <w:rsid w:val="009D3D28"/>
    <w:rsid w:val="009D4BBA"/>
    <w:rsid w:val="009D5714"/>
    <w:rsid w:val="009D58F9"/>
    <w:rsid w:val="009D77FB"/>
    <w:rsid w:val="009D7CAB"/>
    <w:rsid w:val="009E1290"/>
    <w:rsid w:val="009E1912"/>
    <w:rsid w:val="009E1C23"/>
    <w:rsid w:val="009E1CB1"/>
    <w:rsid w:val="009E28E7"/>
    <w:rsid w:val="009E2C75"/>
    <w:rsid w:val="009E2EA2"/>
    <w:rsid w:val="009E33D7"/>
    <w:rsid w:val="009E38A0"/>
    <w:rsid w:val="009E4B8A"/>
    <w:rsid w:val="009E4FBB"/>
    <w:rsid w:val="009E52EF"/>
    <w:rsid w:val="009E5BB0"/>
    <w:rsid w:val="009E64A4"/>
    <w:rsid w:val="009E6B9D"/>
    <w:rsid w:val="009E75EE"/>
    <w:rsid w:val="009F0536"/>
    <w:rsid w:val="009F08E9"/>
    <w:rsid w:val="009F1571"/>
    <w:rsid w:val="009F18B8"/>
    <w:rsid w:val="009F2172"/>
    <w:rsid w:val="009F3423"/>
    <w:rsid w:val="009F3474"/>
    <w:rsid w:val="009F377E"/>
    <w:rsid w:val="009F3A41"/>
    <w:rsid w:val="009F41F8"/>
    <w:rsid w:val="009F4A64"/>
    <w:rsid w:val="009F4E41"/>
    <w:rsid w:val="009F4F0F"/>
    <w:rsid w:val="009F5112"/>
    <w:rsid w:val="009F53DD"/>
    <w:rsid w:val="009F5B12"/>
    <w:rsid w:val="009F71DD"/>
    <w:rsid w:val="009F76D7"/>
    <w:rsid w:val="009F7E8C"/>
    <w:rsid w:val="00A000A7"/>
    <w:rsid w:val="00A00A10"/>
    <w:rsid w:val="00A01698"/>
    <w:rsid w:val="00A0174F"/>
    <w:rsid w:val="00A019B0"/>
    <w:rsid w:val="00A019E1"/>
    <w:rsid w:val="00A02D75"/>
    <w:rsid w:val="00A03D0E"/>
    <w:rsid w:val="00A03F4C"/>
    <w:rsid w:val="00A04995"/>
    <w:rsid w:val="00A04BC1"/>
    <w:rsid w:val="00A05939"/>
    <w:rsid w:val="00A05945"/>
    <w:rsid w:val="00A05EF1"/>
    <w:rsid w:val="00A06181"/>
    <w:rsid w:val="00A06807"/>
    <w:rsid w:val="00A068F0"/>
    <w:rsid w:val="00A06B8B"/>
    <w:rsid w:val="00A06E73"/>
    <w:rsid w:val="00A072A2"/>
    <w:rsid w:val="00A07E3B"/>
    <w:rsid w:val="00A100D3"/>
    <w:rsid w:val="00A10B6E"/>
    <w:rsid w:val="00A110A8"/>
    <w:rsid w:val="00A11137"/>
    <w:rsid w:val="00A11521"/>
    <w:rsid w:val="00A11A5B"/>
    <w:rsid w:val="00A11F77"/>
    <w:rsid w:val="00A1257E"/>
    <w:rsid w:val="00A126FB"/>
    <w:rsid w:val="00A12766"/>
    <w:rsid w:val="00A12E32"/>
    <w:rsid w:val="00A134EC"/>
    <w:rsid w:val="00A13825"/>
    <w:rsid w:val="00A13BBE"/>
    <w:rsid w:val="00A14257"/>
    <w:rsid w:val="00A15C90"/>
    <w:rsid w:val="00A15DAE"/>
    <w:rsid w:val="00A17C3C"/>
    <w:rsid w:val="00A17D37"/>
    <w:rsid w:val="00A2243E"/>
    <w:rsid w:val="00A2278C"/>
    <w:rsid w:val="00A22849"/>
    <w:rsid w:val="00A22A1A"/>
    <w:rsid w:val="00A23095"/>
    <w:rsid w:val="00A23B5B"/>
    <w:rsid w:val="00A2520A"/>
    <w:rsid w:val="00A27256"/>
    <w:rsid w:val="00A27403"/>
    <w:rsid w:val="00A27C47"/>
    <w:rsid w:val="00A30FA4"/>
    <w:rsid w:val="00A30FF8"/>
    <w:rsid w:val="00A312C9"/>
    <w:rsid w:val="00A31763"/>
    <w:rsid w:val="00A31776"/>
    <w:rsid w:val="00A3181F"/>
    <w:rsid w:val="00A31921"/>
    <w:rsid w:val="00A332FE"/>
    <w:rsid w:val="00A33533"/>
    <w:rsid w:val="00A33E1D"/>
    <w:rsid w:val="00A33FA0"/>
    <w:rsid w:val="00A34549"/>
    <w:rsid w:val="00A34704"/>
    <w:rsid w:val="00A34818"/>
    <w:rsid w:val="00A348B0"/>
    <w:rsid w:val="00A352D6"/>
    <w:rsid w:val="00A3546B"/>
    <w:rsid w:val="00A3672A"/>
    <w:rsid w:val="00A36ED5"/>
    <w:rsid w:val="00A36F71"/>
    <w:rsid w:val="00A36FFB"/>
    <w:rsid w:val="00A3740D"/>
    <w:rsid w:val="00A40772"/>
    <w:rsid w:val="00A407AA"/>
    <w:rsid w:val="00A4249C"/>
    <w:rsid w:val="00A42575"/>
    <w:rsid w:val="00A42A72"/>
    <w:rsid w:val="00A43025"/>
    <w:rsid w:val="00A4302B"/>
    <w:rsid w:val="00A4304F"/>
    <w:rsid w:val="00A45029"/>
    <w:rsid w:val="00A454B6"/>
    <w:rsid w:val="00A45CCC"/>
    <w:rsid w:val="00A50881"/>
    <w:rsid w:val="00A50F58"/>
    <w:rsid w:val="00A511AE"/>
    <w:rsid w:val="00A530C5"/>
    <w:rsid w:val="00A530D8"/>
    <w:rsid w:val="00A53894"/>
    <w:rsid w:val="00A53BD1"/>
    <w:rsid w:val="00A53E4F"/>
    <w:rsid w:val="00A54079"/>
    <w:rsid w:val="00A5434A"/>
    <w:rsid w:val="00A550CA"/>
    <w:rsid w:val="00A55922"/>
    <w:rsid w:val="00A55965"/>
    <w:rsid w:val="00A55E2B"/>
    <w:rsid w:val="00A5622C"/>
    <w:rsid w:val="00A567D9"/>
    <w:rsid w:val="00A56941"/>
    <w:rsid w:val="00A569BC"/>
    <w:rsid w:val="00A56F87"/>
    <w:rsid w:val="00A573A8"/>
    <w:rsid w:val="00A57954"/>
    <w:rsid w:val="00A57A0F"/>
    <w:rsid w:val="00A606CA"/>
    <w:rsid w:val="00A60D27"/>
    <w:rsid w:val="00A60DC2"/>
    <w:rsid w:val="00A60E30"/>
    <w:rsid w:val="00A61ADA"/>
    <w:rsid w:val="00A62274"/>
    <w:rsid w:val="00A6244A"/>
    <w:rsid w:val="00A62498"/>
    <w:rsid w:val="00A6272C"/>
    <w:rsid w:val="00A63052"/>
    <w:rsid w:val="00A6342D"/>
    <w:rsid w:val="00A63ABE"/>
    <w:rsid w:val="00A63CB6"/>
    <w:rsid w:val="00A6431B"/>
    <w:rsid w:val="00A64D46"/>
    <w:rsid w:val="00A6529F"/>
    <w:rsid w:val="00A65B7D"/>
    <w:rsid w:val="00A663FD"/>
    <w:rsid w:val="00A66972"/>
    <w:rsid w:val="00A66DDB"/>
    <w:rsid w:val="00A67A5C"/>
    <w:rsid w:val="00A67DC6"/>
    <w:rsid w:val="00A7066D"/>
    <w:rsid w:val="00A70A6D"/>
    <w:rsid w:val="00A70C39"/>
    <w:rsid w:val="00A70CAE"/>
    <w:rsid w:val="00A7115E"/>
    <w:rsid w:val="00A7148A"/>
    <w:rsid w:val="00A723D5"/>
    <w:rsid w:val="00A72442"/>
    <w:rsid w:val="00A73386"/>
    <w:rsid w:val="00A7338D"/>
    <w:rsid w:val="00A733B8"/>
    <w:rsid w:val="00A7381D"/>
    <w:rsid w:val="00A73CAF"/>
    <w:rsid w:val="00A73EFE"/>
    <w:rsid w:val="00A740C9"/>
    <w:rsid w:val="00A742EB"/>
    <w:rsid w:val="00A74462"/>
    <w:rsid w:val="00A747E7"/>
    <w:rsid w:val="00A75356"/>
    <w:rsid w:val="00A7536D"/>
    <w:rsid w:val="00A75CDB"/>
    <w:rsid w:val="00A762DF"/>
    <w:rsid w:val="00A76F32"/>
    <w:rsid w:val="00A771E5"/>
    <w:rsid w:val="00A77201"/>
    <w:rsid w:val="00A7754C"/>
    <w:rsid w:val="00A77B1E"/>
    <w:rsid w:val="00A80640"/>
    <w:rsid w:val="00A80C11"/>
    <w:rsid w:val="00A81038"/>
    <w:rsid w:val="00A81171"/>
    <w:rsid w:val="00A8221F"/>
    <w:rsid w:val="00A82908"/>
    <w:rsid w:val="00A83F6C"/>
    <w:rsid w:val="00A84E2B"/>
    <w:rsid w:val="00A85F6C"/>
    <w:rsid w:val="00A85F76"/>
    <w:rsid w:val="00A85FEB"/>
    <w:rsid w:val="00A86201"/>
    <w:rsid w:val="00A8658D"/>
    <w:rsid w:val="00A91748"/>
    <w:rsid w:val="00A921BD"/>
    <w:rsid w:val="00A92BC2"/>
    <w:rsid w:val="00A931DA"/>
    <w:rsid w:val="00A955B3"/>
    <w:rsid w:val="00A95CDA"/>
    <w:rsid w:val="00A96222"/>
    <w:rsid w:val="00A96493"/>
    <w:rsid w:val="00A9708C"/>
    <w:rsid w:val="00A970EE"/>
    <w:rsid w:val="00A97849"/>
    <w:rsid w:val="00A97E72"/>
    <w:rsid w:val="00AA014D"/>
    <w:rsid w:val="00AA01E5"/>
    <w:rsid w:val="00AA0568"/>
    <w:rsid w:val="00AA0E01"/>
    <w:rsid w:val="00AA1449"/>
    <w:rsid w:val="00AA195F"/>
    <w:rsid w:val="00AA1D8E"/>
    <w:rsid w:val="00AA21AB"/>
    <w:rsid w:val="00AA2AF5"/>
    <w:rsid w:val="00AA303F"/>
    <w:rsid w:val="00AA320D"/>
    <w:rsid w:val="00AA3957"/>
    <w:rsid w:val="00AA402D"/>
    <w:rsid w:val="00AA427F"/>
    <w:rsid w:val="00AA438D"/>
    <w:rsid w:val="00AA498A"/>
    <w:rsid w:val="00AA4A01"/>
    <w:rsid w:val="00AA4F5A"/>
    <w:rsid w:val="00AA5155"/>
    <w:rsid w:val="00AA5198"/>
    <w:rsid w:val="00AA554B"/>
    <w:rsid w:val="00AA5A6F"/>
    <w:rsid w:val="00AA5CDC"/>
    <w:rsid w:val="00AA5D98"/>
    <w:rsid w:val="00AA60E8"/>
    <w:rsid w:val="00AA7040"/>
    <w:rsid w:val="00AA7296"/>
    <w:rsid w:val="00AA7A2D"/>
    <w:rsid w:val="00AA7EB2"/>
    <w:rsid w:val="00AB0450"/>
    <w:rsid w:val="00AB0502"/>
    <w:rsid w:val="00AB06FE"/>
    <w:rsid w:val="00AB1056"/>
    <w:rsid w:val="00AB174F"/>
    <w:rsid w:val="00AB2302"/>
    <w:rsid w:val="00AB2490"/>
    <w:rsid w:val="00AB2940"/>
    <w:rsid w:val="00AB2B48"/>
    <w:rsid w:val="00AB2D66"/>
    <w:rsid w:val="00AB36F2"/>
    <w:rsid w:val="00AB3E6B"/>
    <w:rsid w:val="00AB455E"/>
    <w:rsid w:val="00AB456E"/>
    <w:rsid w:val="00AB5407"/>
    <w:rsid w:val="00AB608B"/>
    <w:rsid w:val="00AB60D4"/>
    <w:rsid w:val="00AB629D"/>
    <w:rsid w:val="00AB7AD9"/>
    <w:rsid w:val="00AC0455"/>
    <w:rsid w:val="00AC05F9"/>
    <w:rsid w:val="00AC0639"/>
    <w:rsid w:val="00AC0BB0"/>
    <w:rsid w:val="00AC1034"/>
    <w:rsid w:val="00AC17C0"/>
    <w:rsid w:val="00AC1912"/>
    <w:rsid w:val="00AC1BBD"/>
    <w:rsid w:val="00AC3A41"/>
    <w:rsid w:val="00AC3D45"/>
    <w:rsid w:val="00AC4CFA"/>
    <w:rsid w:val="00AC4FB2"/>
    <w:rsid w:val="00AC53D1"/>
    <w:rsid w:val="00AC5550"/>
    <w:rsid w:val="00AC613C"/>
    <w:rsid w:val="00AC6872"/>
    <w:rsid w:val="00AC695B"/>
    <w:rsid w:val="00AC6B94"/>
    <w:rsid w:val="00AC70DA"/>
    <w:rsid w:val="00AC7313"/>
    <w:rsid w:val="00AC7AE1"/>
    <w:rsid w:val="00AC7FB5"/>
    <w:rsid w:val="00AD0BF6"/>
    <w:rsid w:val="00AD1E04"/>
    <w:rsid w:val="00AD20DB"/>
    <w:rsid w:val="00AD2961"/>
    <w:rsid w:val="00AD3488"/>
    <w:rsid w:val="00AD480F"/>
    <w:rsid w:val="00AD4866"/>
    <w:rsid w:val="00AD4870"/>
    <w:rsid w:val="00AD490F"/>
    <w:rsid w:val="00AD4CD5"/>
    <w:rsid w:val="00AD548C"/>
    <w:rsid w:val="00AD5638"/>
    <w:rsid w:val="00AD5AE2"/>
    <w:rsid w:val="00AD67B1"/>
    <w:rsid w:val="00AD6EFC"/>
    <w:rsid w:val="00AD6FEF"/>
    <w:rsid w:val="00AE0C64"/>
    <w:rsid w:val="00AE15B4"/>
    <w:rsid w:val="00AE1E43"/>
    <w:rsid w:val="00AE1F34"/>
    <w:rsid w:val="00AE1F97"/>
    <w:rsid w:val="00AE2335"/>
    <w:rsid w:val="00AE2D8E"/>
    <w:rsid w:val="00AE3410"/>
    <w:rsid w:val="00AE361B"/>
    <w:rsid w:val="00AE3632"/>
    <w:rsid w:val="00AE3928"/>
    <w:rsid w:val="00AE3CCF"/>
    <w:rsid w:val="00AE3D3E"/>
    <w:rsid w:val="00AE3DC2"/>
    <w:rsid w:val="00AE4DEE"/>
    <w:rsid w:val="00AE5661"/>
    <w:rsid w:val="00AE57CD"/>
    <w:rsid w:val="00AE62F5"/>
    <w:rsid w:val="00AE67F3"/>
    <w:rsid w:val="00AE79FB"/>
    <w:rsid w:val="00AE7D9D"/>
    <w:rsid w:val="00AF17BE"/>
    <w:rsid w:val="00AF1E5B"/>
    <w:rsid w:val="00AF2360"/>
    <w:rsid w:val="00AF30BE"/>
    <w:rsid w:val="00AF35E9"/>
    <w:rsid w:val="00AF39EF"/>
    <w:rsid w:val="00AF3B44"/>
    <w:rsid w:val="00AF58BD"/>
    <w:rsid w:val="00AF5C24"/>
    <w:rsid w:val="00AF7336"/>
    <w:rsid w:val="00B000AD"/>
    <w:rsid w:val="00B009FB"/>
    <w:rsid w:val="00B0130E"/>
    <w:rsid w:val="00B02182"/>
    <w:rsid w:val="00B024A1"/>
    <w:rsid w:val="00B03338"/>
    <w:rsid w:val="00B04CEA"/>
    <w:rsid w:val="00B050E0"/>
    <w:rsid w:val="00B05CFD"/>
    <w:rsid w:val="00B06192"/>
    <w:rsid w:val="00B07397"/>
    <w:rsid w:val="00B07A88"/>
    <w:rsid w:val="00B1033E"/>
    <w:rsid w:val="00B1061D"/>
    <w:rsid w:val="00B10688"/>
    <w:rsid w:val="00B10876"/>
    <w:rsid w:val="00B10B82"/>
    <w:rsid w:val="00B12013"/>
    <w:rsid w:val="00B128F2"/>
    <w:rsid w:val="00B1600F"/>
    <w:rsid w:val="00B1680A"/>
    <w:rsid w:val="00B16B92"/>
    <w:rsid w:val="00B17059"/>
    <w:rsid w:val="00B17693"/>
    <w:rsid w:val="00B17898"/>
    <w:rsid w:val="00B17D3A"/>
    <w:rsid w:val="00B17DCC"/>
    <w:rsid w:val="00B20359"/>
    <w:rsid w:val="00B210F3"/>
    <w:rsid w:val="00B21618"/>
    <w:rsid w:val="00B22819"/>
    <w:rsid w:val="00B22BDA"/>
    <w:rsid w:val="00B23097"/>
    <w:rsid w:val="00B23424"/>
    <w:rsid w:val="00B244D7"/>
    <w:rsid w:val="00B2510E"/>
    <w:rsid w:val="00B254BE"/>
    <w:rsid w:val="00B26A6C"/>
    <w:rsid w:val="00B26F21"/>
    <w:rsid w:val="00B27231"/>
    <w:rsid w:val="00B3006B"/>
    <w:rsid w:val="00B301C0"/>
    <w:rsid w:val="00B3106A"/>
    <w:rsid w:val="00B31472"/>
    <w:rsid w:val="00B32226"/>
    <w:rsid w:val="00B326FF"/>
    <w:rsid w:val="00B32EB5"/>
    <w:rsid w:val="00B33434"/>
    <w:rsid w:val="00B33CAC"/>
    <w:rsid w:val="00B34015"/>
    <w:rsid w:val="00B34627"/>
    <w:rsid w:val="00B347C6"/>
    <w:rsid w:val="00B34DDC"/>
    <w:rsid w:val="00B36EFA"/>
    <w:rsid w:val="00B36F05"/>
    <w:rsid w:val="00B37658"/>
    <w:rsid w:val="00B405AB"/>
    <w:rsid w:val="00B40BD5"/>
    <w:rsid w:val="00B41B94"/>
    <w:rsid w:val="00B41DD7"/>
    <w:rsid w:val="00B4263C"/>
    <w:rsid w:val="00B426B6"/>
    <w:rsid w:val="00B42A9A"/>
    <w:rsid w:val="00B42FD9"/>
    <w:rsid w:val="00B435DB"/>
    <w:rsid w:val="00B4370D"/>
    <w:rsid w:val="00B44900"/>
    <w:rsid w:val="00B44D11"/>
    <w:rsid w:val="00B4501F"/>
    <w:rsid w:val="00B45C04"/>
    <w:rsid w:val="00B46149"/>
    <w:rsid w:val="00B50B3A"/>
    <w:rsid w:val="00B50C18"/>
    <w:rsid w:val="00B50D1B"/>
    <w:rsid w:val="00B51382"/>
    <w:rsid w:val="00B51433"/>
    <w:rsid w:val="00B51B4D"/>
    <w:rsid w:val="00B52D2C"/>
    <w:rsid w:val="00B52E20"/>
    <w:rsid w:val="00B52FF6"/>
    <w:rsid w:val="00B540A0"/>
    <w:rsid w:val="00B5412F"/>
    <w:rsid w:val="00B54915"/>
    <w:rsid w:val="00B55AD5"/>
    <w:rsid w:val="00B55DA6"/>
    <w:rsid w:val="00B56721"/>
    <w:rsid w:val="00B568DB"/>
    <w:rsid w:val="00B600A5"/>
    <w:rsid w:val="00B60147"/>
    <w:rsid w:val="00B604E0"/>
    <w:rsid w:val="00B609B4"/>
    <w:rsid w:val="00B60FE4"/>
    <w:rsid w:val="00B61E2C"/>
    <w:rsid w:val="00B623A0"/>
    <w:rsid w:val="00B62ABC"/>
    <w:rsid w:val="00B639E4"/>
    <w:rsid w:val="00B63DC7"/>
    <w:rsid w:val="00B6431B"/>
    <w:rsid w:val="00B643CA"/>
    <w:rsid w:val="00B644CA"/>
    <w:rsid w:val="00B64D5B"/>
    <w:rsid w:val="00B65DC6"/>
    <w:rsid w:val="00B65E01"/>
    <w:rsid w:val="00B667DE"/>
    <w:rsid w:val="00B66E02"/>
    <w:rsid w:val="00B66E99"/>
    <w:rsid w:val="00B70527"/>
    <w:rsid w:val="00B714F0"/>
    <w:rsid w:val="00B71D94"/>
    <w:rsid w:val="00B71F31"/>
    <w:rsid w:val="00B72119"/>
    <w:rsid w:val="00B72BF9"/>
    <w:rsid w:val="00B72E6C"/>
    <w:rsid w:val="00B737A1"/>
    <w:rsid w:val="00B74082"/>
    <w:rsid w:val="00B74CA2"/>
    <w:rsid w:val="00B74FD6"/>
    <w:rsid w:val="00B754DD"/>
    <w:rsid w:val="00B754E0"/>
    <w:rsid w:val="00B75918"/>
    <w:rsid w:val="00B76177"/>
    <w:rsid w:val="00B76917"/>
    <w:rsid w:val="00B76C48"/>
    <w:rsid w:val="00B7718C"/>
    <w:rsid w:val="00B774DD"/>
    <w:rsid w:val="00B77B22"/>
    <w:rsid w:val="00B77C23"/>
    <w:rsid w:val="00B77C49"/>
    <w:rsid w:val="00B77EFF"/>
    <w:rsid w:val="00B808CA"/>
    <w:rsid w:val="00B810D2"/>
    <w:rsid w:val="00B81B36"/>
    <w:rsid w:val="00B820A3"/>
    <w:rsid w:val="00B83B33"/>
    <w:rsid w:val="00B849A9"/>
    <w:rsid w:val="00B8766F"/>
    <w:rsid w:val="00B87836"/>
    <w:rsid w:val="00B87A7B"/>
    <w:rsid w:val="00B90208"/>
    <w:rsid w:val="00B90562"/>
    <w:rsid w:val="00B90AC4"/>
    <w:rsid w:val="00B91287"/>
    <w:rsid w:val="00B91A35"/>
    <w:rsid w:val="00B91E52"/>
    <w:rsid w:val="00B920D9"/>
    <w:rsid w:val="00B92440"/>
    <w:rsid w:val="00B92478"/>
    <w:rsid w:val="00B92501"/>
    <w:rsid w:val="00B93655"/>
    <w:rsid w:val="00B93CE2"/>
    <w:rsid w:val="00B93FEB"/>
    <w:rsid w:val="00B943FB"/>
    <w:rsid w:val="00B944DE"/>
    <w:rsid w:val="00B94595"/>
    <w:rsid w:val="00B94611"/>
    <w:rsid w:val="00B96021"/>
    <w:rsid w:val="00B96F8F"/>
    <w:rsid w:val="00B97AFE"/>
    <w:rsid w:val="00BA195B"/>
    <w:rsid w:val="00BA288F"/>
    <w:rsid w:val="00BA2E82"/>
    <w:rsid w:val="00BA439A"/>
    <w:rsid w:val="00BA45CA"/>
    <w:rsid w:val="00BA4974"/>
    <w:rsid w:val="00BA51DE"/>
    <w:rsid w:val="00BA5E25"/>
    <w:rsid w:val="00BA5ED5"/>
    <w:rsid w:val="00BA5F4C"/>
    <w:rsid w:val="00BA6142"/>
    <w:rsid w:val="00BA635F"/>
    <w:rsid w:val="00BA6476"/>
    <w:rsid w:val="00BA6614"/>
    <w:rsid w:val="00BA67C5"/>
    <w:rsid w:val="00BA6DAF"/>
    <w:rsid w:val="00BA7C16"/>
    <w:rsid w:val="00BA7EE9"/>
    <w:rsid w:val="00BB1173"/>
    <w:rsid w:val="00BB134F"/>
    <w:rsid w:val="00BB1680"/>
    <w:rsid w:val="00BB2305"/>
    <w:rsid w:val="00BB2846"/>
    <w:rsid w:val="00BB2C4B"/>
    <w:rsid w:val="00BB328C"/>
    <w:rsid w:val="00BB49B1"/>
    <w:rsid w:val="00BB4C14"/>
    <w:rsid w:val="00BB5D6D"/>
    <w:rsid w:val="00BB6C28"/>
    <w:rsid w:val="00BB6CFF"/>
    <w:rsid w:val="00BB6F4A"/>
    <w:rsid w:val="00BB717B"/>
    <w:rsid w:val="00BB7958"/>
    <w:rsid w:val="00BB7FB2"/>
    <w:rsid w:val="00BC03A4"/>
    <w:rsid w:val="00BC089A"/>
    <w:rsid w:val="00BC2A90"/>
    <w:rsid w:val="00BC2E73"/>
    <w:rsid w:val="00BC2EDB"/>
    <w:rsid w:val="00BC48BE"/>
    <w:rsid w:val="00BC5558"/>
    <w:rsid w:val="00BC594A"/>
    <w:rsid w:val="00BC5966"/>
    <w:rsid w:val="00BC59F2"/>
    <w:rsid w:val="00BC5A9C"/>
    <w:rsid w:val="00BC5B81"/>
    <w:rsid w:val="00BC5C79"/>
    <w:rsid w:val="00BC5DE1"/>
    <w:rsid w:val="00BC628F"/>
    <w:rsid w:val="00BC6426"/>
    <w:rsid w:val="00BC6468"/>
    <w:rsid w:val="00BC65BC"/>
    <w:rsid w:val="00BC66DA"/>
    <w:rsid w:val="00BC68E3"/>
    <w:rsid w:val="00BC6D9C"/>
    <w:rsid w:val="00BC758B"/>
    <w:rsid w:val="00BC7803"/>
    <w:rsid w:val="00BC7D73"/>
    <w:rsid w:val="00BC7F7D"/>
    <w:rsid w:val="00BD0A25"/>
    <w:rsid w:val="00BD0EE7"/>
    <w:rsid w:val="00BD20A2"/>
    <w:rsid w:val="00BD2A45"/>
    <w:rsid w:val="00BD3488"/>
    <w:rsid w:val="00BD3672"/>
    <w:rsid w:val="00BD36E9"/>
    <w:rsid w:val="00BD413A"/>
    <w:rsid w:val="00BD55CC"/>
    <w:rsid w:val="00BD6CCD"/>
    <w:rsid w:val="00BD7652"/>
    <w:rsid w:val="00BD7C09"/>
    <w:rsid w:val="00BE0855"/>
    <w:rsid w:val="00BE0C01"/>
    <w:rsid w:val="00BE2484"/>
    <w:rsid w:val="00BE2F50"/>
    <w:rsid w:val="00BE3B53"/>
    <w:rsid w:val="00BE3CB5"/>
    <w:rsid w:val="00BE3DB4"/>
    <w:rsid w:val="00BE3F98"/>
    <w:rsid w:val="00BE48C3"/>
    <w:rsid w:val="00BE4C0B"/>
    <w:rsid w:val="00BE5257"/>
    <w:rsid w:val="00BE5E99"/>
    <w:rsid w:val="00BE688C"/>
    <w:rsid w:val="00BE7161"/>
    <w:rsid w:val="00BE74C0"/>
    <w:rsid w:val="00BE75FF"/>
    <w:rsid w:val="00BF07AE"/>
    <w:rsid w:val="00BF1079"/>
    <w:rsid w:val="00BF1251"/>
    <w:rsid w:val="00BF13B4"/>
    <w:rsid w:val="00BF1480"/>
    <w:rsid w:val="00BF3865"/>
    <w:rsid w:val="00BF39B0"/>
    <w:rsid w:val="00BF3E17"/>
    <w:rsid w:val="00BF3F7C"/>
    <w:rsid w:val="00BF4062"/>
    <w:rsid w:val="00BF488D"/>
    <w:rsid w:val="00BF4EE0"/>
    <w:rsid w:val="00BF6418"/>
    <w:rsid w:val="00BF7ECC"/>
    <w:rsid w:val="00C00A11"/>
    <w:rsid w:val="00C00C59"/>
    <w:rsid w:val="00C01536"/>
    <w:rsid w:val="00C0290E"/>
    <w:rsid w:val="00C02D2F"/>
    <w:rsid w:val="00C03485"/>
    <w:rsid w:val="00C0471F"/>
    <w:rsid w:val="00C050A8"/>
    <w:rsid w:val="00C05204"/>
    <w:rsid w:val="00C05252"/>
    <w:rsid w:val="00C0557B"/>
    <w:rsid w:val="00C05E1E"/>
    <w:rsid w:val="00C0624E"/>
    <w:rsid w:val="00C0694F"/>
    <w:rsid w:val="00C06E26"/>
    <w:rsid w:val="00C10794"/>
    <w:rsid w:val="00C1097E"/>
    <w:rsid w:val="00C10F1A"/>
    <w:rsid w:val="00C1161C"/>
    <w:rsid w:val="00C11922"/>
    <w:rsid w:val="00C11F51"/>
    <w:rsid w:val="00C1210C"/>
    <w:rsid w:val="00C122B1"/>
    <w:rsid w:val="00C12F62"/>
    <w:rsid w:val="00C13030"/>
    <w:rsid w:val="00C13A32"/>
    <w:rsid w:val="00C13E4B"/>
    <w:rsid w:val="00C13FF4"/>
    <w:rsid w:val="00C1450C"/>
    <w:rsid w:val="00C16A69"/>
    <w:rsid w:val="00C16F31"/>
    <w:rsid w:val="00C17839"/>
    <w:rsid w:val="00C178A5"/>
    <w:rsid w:val="00C17AD5"/>
    <w:rsid w:val="00C17BDE"/>
    <w:rsid w:val="00C17E77"/>
    <w:rsid w:val="00C20400"/>
    <w:rsid w:val="00C20534"/>
    <w:rsid w:val="00C208B2"/>
    <w:rsid w:val="00C20A6D"/>
    <w:rsid w:val="00C20B0D"/>
    <w:rsid w:val="00C20E91"/>
    <w:rsid w:val="00C21089"/>
    <w:rsid w:val="00C2213C"/>
    <w:rsid w:val="00C22899"/>
    <w:rsid w:val="00C22BCE"/>
    <w:rsid w:val="00C24776"/>
    <w:rsid w:val="00C24BE2"/>
    <w:rsid w:val="00C25255"/>
    <w:rsid w:val="00C2587D"/>
    <w:rsid w:val="00C261DA"/>
    <w:rsid w:val="00C27191"/>
    <w:rsid w:val="00C27575"/>
    <w:rsid w:val="00C3009E"/>
    <w:rsid w:val="00C30BAA"/>
    <w:rsid w:val="00C310EE"/>
    <w:rsid w:val="00C32BBA"/>
    <w:rsid w:val="00C32D7C"/>
    <w:rsid w:val="00C33A95"/>
    <w:rsid w:val="00C33C51"/>
    <w:rsid w:val="00C34164"/>
    <w:rsid w:val="00C34BE6"/>
    <w:rsid w:val="00C35355"/>
    <w:rsid w:val="00C35635"/>
    <w:rsid w:val="00C35BE5"/>
    <w:rsid w:val="00C3682B"/>
    <w:rsid w:val="00C379C5"/>
    <w:rsid w:val="00C37A78"/>
    <w:rsid w:val="00C37E4F"/>
    <w:rsid w:val="00C412E3"/>
    <w:rsid w:val="00C41624"/>
    <w:rsid w:val="00C41C50"/>
    <w:rsid w:val="00C42184"/>
    <w:rsid w:val="00C42262"/>
    <w:rsid w:val="00C4333A"/>
    <w:rsid w:val="00C43569"/>
    <w:rsid w:val="00C44036"/>
    <w:rsid w:val="00C45467"/>
    <w:rsid w:val="00C456D5"/>
    <w:rsid w:val="00C45C02"/>
    <w:rsid w:val="00C463A3"/>
    <w:rsid w:val="00C467F3"/>
    <w:rsid w:val="00C46E90"/>
    <w:rsid w:val="00C4716C"/>
    <w:rsid w:val="00C47E79"/>
    <w:rsid w:val="00C50CAD"/>
    <w:rsid w:val="00C510D5"/>
    <w:rsid w:val="00C520C2"/>
    <w:rsid w:val="00C5274F"/>
    <w:rsid w:val="00C52FA5"/>
    <w:rsid w:val="00C53155"/>
    <w:rsid w:val="00C53306"/>
    <w:rsid w:val="00C53567"/>
    <w:rsid w:val="00C53A97"/>
    <w:rsid w:val="00C547C1"/>
    <w:rsid w:val="00C549F3"/>
    <w:rsid w:val="00C55F53"/>
    <w:rsid w:val="00C56EED"/>
    <w:rsid w:val="00C572E4"/>
    <w:rsid w:val="00C57DF8"/>
    <w:rsid w:val="00C600CF"/>
    <w:rsid w:val="00C604F8"/>
    <w:rsid w:val="00C60E85"/>
    <w:rsid w:val="00C61058"/>
    <w:rsid w:val="00C61770"/>
    <w:rsid w:val="00C61E56"/>
    <w:rsid w:val="00C620B4"/>
    <w:rsid w:val="00C6344F"/>
    <w:rsid w:val="00C637CD"/>
    <w:rsid w:val="00C64CBE"/>
    <w:rsid w:val="00C655ED"/>
    <w:rsid w:val="00C65CFE"/>
    <w:rsid w:val="00C65CFF"/>
    <w:rsid w:val="00C66797"/>
    <w:rsid w:val="00C66FEB"/>
    <w:rsid w:val="00C67047"/>
    <w:rsid w:val="00C67B00"/>
    <w:rsid w:val="00C67BB3"/>
    <w:rsid w:val="00C70111"/>
    <w:rsid w:val="00C70864"/>
    <w:rsid w:val="00C70CE1"/>
    <w:rsid w:val="00C71B8A"/>
    <w:rsid w:val="00C71E0D"/>
    <w:rsid w:val="00C73114"/>
    <w:rsid w:val="00C73F4B"/>
    <w:rsid w:val="00C74163"/>
    <w:rsid w:val="00C7473E"/>
    <w:rsid w:val="00C7513E"/>
    <w:rsid w:val="00C7535B"/>
    <w:rsid w:val="00C75CD5"/>
    <w:rsid w:val="00C7605B"/>
    <w:rsid w:val="00C768D2"/>
    <w:rsid w:val="00C76D0E"/>
    <w:rsid w:val="00C77053"/>
    <w:rsid w:val="00C77298"/>
    <w:rsid w:val="00C777E4"/>
    <w:rsid w:val="00C7785A"/>
    <w:rsid w:val="00C779A9"/>
    <w:rsid w:val="00C82A87"/>
    <w:rsid w:val="00C83080"/>
    <w:rsid w:val="00C8389F"/>
    <w:rsid w:val="00C8530B"/>
    <w:rsid w:val="00C85378"/>
    <w:rsid w:val="00C86F94"/>
    <w:rsid w:val="00C870F5"/>
    <w:rsid w:val="00C87550"/>
    <w:rsid w:val="00C87A94"/>
    <w:rsid w:val="00C87F26"/>
    <w:rsid w:val="00C90305"/>
    <w:rsid w:val="00C90416"/>
    <w:rsid w:val="00C905C1"/>
    <w:rsid w:val="00C90973"/>
    <w:rsid w:val="00C913D8"/>
    <w:rsid w:val="00C91540"/>
    <w:rsid w:val="00C91873"/>
    <w:rsid w:val="00C92174"/>
    <w:rsid w:val="00C923EA"/>
    <w:rsid w:val="00C92B37"/>
    <w:rsid w:val="00C931AF"/>
    <w:rsid w:val="00C93546"/>
    <w:rsid w:val="00C93A8D"/>
    <w:rsid w:val="00C93ED8"/>
    <w:rsid w:val="00C954B4"/>
    <w:rsid w:val="00C968D3"/>
    <w:rsid w:val="00C96D3A"/>
    <w:rsid w:val="00C9709C"/>
    <w:rsid w:val="00CA0F7D"/>
    <w:rsid w:val="00CA103A"/>
    <w:rsid w:val="00CA15DE"/>
    <w:rsid w:val="00CA2209"/>
    <w:rsid w:val="00CA2569"/>
    <w:rsid w:val="00CA2DE6"/>
    <w:rsid w:val="00CA3CC6"/>
    <w:rsid w:val="00CA3DCB"/>
    <w:rsid w:val="00CA40C6"/>
    <w:rsid w:val="00CA4509"/>
    <w:rsid w:val="00CA4D81"/>
    <w:rsid w:val="00CA4F84"/>
    <w:rsid w:val="00CA57BC"/>
    <w:rsid w:val="00CA5E8A"/>
    <w:rsid w:val="00CA617F"/>
    <w:rsid w:val="00CA638E"/>
    <w:rsid w:val="00CA705C"/>
    <w:rsid w:val="00CA710C"/>
    <w:rsid w:val="00CA7361"/>
    <w:rsid w:val="00CA7CA1"/>
    <w:rsid w:val="00CA7CB6"/>
    <w:rsid w:val="00CA7D1B"/>
    <w:rsid w:val="00CB0630"/>
    <w:rsid w:val="00CB0C4E"/>
    <w:rsid w:val="00CB100A"/>
    <w:rsid w:val="00CB12F8"/>
    <w:rsid w:val="00CB135F"/>
    <w:rsid w:val="00CB1A78"/>
    <w:rsid w:val="00CB2448"/>
    <w:rsid w:val="00CB2B97"/>
    <w:rsid w:val="00CB2C59"/>
    <w:rsid w:val="00CB38BA"/>
    <w:rsid w:val="00CB393E"/>
    <w:rsid w:val="00CB4A41"/>
    <w:rsid w:val="00CB5133"/>
    <w:rsid w:val="00CB543F"/>
    <w:rsid w:val="00CB5AE5"/>
    <w:rsid w:val="00CB60FA"/>
    <w:rsid w:val="00CB6678"/>
    <w:rsid w:val="00CB70CB"/>
    <w:rsid w:val="00CC0926"/>
    <w:rsid w:val="00CC0A13"/>
    <w:rsid w:val="00CC16CC"/>
    <w:rsid w:val="00CC17BF"/>
    <w:rsid w:val="00CC2899"/>
    <w:rsid w:val="00CC2FC9"/>
    <w:rsid w:val="00CC33B9"/>
    <w:rsid w:val="00CC3560"/>
    <w:rsid w:val="00CC5515"/>
    <w:rsid w:val="00CC5A29"/>
    <w:rsid w:val="00CC6641"/>
    <w:rsid w:val="00CC71E9"/>
    <w:rsid w:val="00CC73F8"/>
    <w:rsid w:val="00CC765F"/>
    <w:rsid w:val="00CC774A"/>
    <w:rsid w:val="00CD0552"/>
    <w:rsid w:val="00CD05EE"/>
    <w:rsid w:val="00CD1039"/>
    <w:rsid w:val="00CD24AE"/>
    <w:rsid w:val="00CD253E"/>
    <w:rsid w:val="00CD2FE5"/>
    <w:rsid w:val="00CD316D"/>
    <w:rsid w:val="00CD3183"/>
    <w:rsid w:val="00CD414C"/>
    <w:rsid w:val="00CD438F"/>
    <w:rsid w:val="00CD4960"/>
    <w:rsid w:val="00CD52C4"/>
    <w:rsid w:val="00CD55C4"/>
    <w:rsid w:val="00CD5841"/>
    <w:rsid w:val="00CD65D7"/>
    <w:rsid w:val="00CD6B21"/>
    <w:rsid w:val="00CD6C84"/>
    <w:rsid w:val="00CD77FF"/>
    <w:rsid w:val="00CE0ABB"/>
    <w:rsid w:val="00CE0B8E"/>
    <w:rsid w:val="00CE0DF2"/>
    <w:rsid w:val="00CE146C"/>
    <w:rsid w:val="00CE1601"/>
    <w:rsid w:val="00CE283C"/>
    <w:rsid w:val="00CE308D"/>
    <w:rsid w:val="00CE3181"/>
    <w:rsid w:val="00CE39B1"/>
    <w:rsid w:val="00CE43C1"/>
    <w:rsid w:val="00CE5ACD"/>
    <w:rsid w:val="00CE650F"/>
    <w:rsid w:val="00CE68BF"/>
    <w:rsid w:val="00CE6966"/>
    <w:rsid w:val="00CE70D5"/>
    <w:rsid w:val="00CE7937"/>
    <w:rsid w:val="00CE7FAD"/>
    <w:rsid w:val="00CF0306"/>
    <w:rsid w:val="00CF03DB"/>
    <w:rsid w:val="00CF0A62"/>
    <w:rsid w:val="00CF1133"/>
    <w:rsid w:val="00CF19A1"/>
    <w:rsid w:val="00CF1B46"/>
    <w:rsid w:val="00CF1F58"/>
    <w:rsid w:val="00CF2241"/>
    <w:rsid w:val="00CF26D4"/>
    <w:rsid w:val="00CF2A39"/>
    <w:rsid w:val="00CF2BB4"/>
    <w:rsid w:val="00CF3C5D"/>
    <w:rsid w:val="00CF453B"/>
    <w:rsid w:val="00CF4DC4"/>
    <w:rsid w:val="00CF5412"/>
    <w:rsid w:val="00CF555D"/>
    <w:rsid w:val="00CF69B5"/>
    <w:rsid w:val="00CF6DD3"/>
    <w:rsid w:val="00CF7ACB"/>
    <w:rsid w:val="00CF7BC3"/>
    <w:rsid w:val="00CF7BF0"/>
    <w:rsid w:val="00D0002A"/>
    <w:rsid w:val="00D00CC0"/>
    <w:rsid w:val="00D013FF"/>
    <w:rsid w:val="00D01574"/>
    <w:rsid w:val="00D01F2C"/>
    <w:rsid w:val="00D02735"/>
    <w:rsid w:val="00D02A93"/>
    <w:rsid w:val="00D033F9"/>
    <w:rsid w:val="00D04014"/>
    <w:rsid w:val="00D045E0"/>
    <w:rsid w:val="00D0515A"/>
    <w:rsid w:val="00D05316"/>
    <w:rsid w:val="00D058DE"/>
    <w:rsid w:val="00D05CC5"/>
    <w:rsid w:val="00D05D04"/>
    <w:rsid w:val="00D05FEC"/>
    <w:rsid w:val="00D0665F"/>
    <w:rsid w:val="00D071A9"/>
    <w:rsid w:val="00D07274"/>
    <w:rsid w:val="00D074C8"/>
    <w:rsid w:val="00D10000"/>
    <w:rsid w:val="00D1084F"/>
    <w:rsid w:val="00D1136F"/>
    <w:rsid w:val="00D1180A"/>
    <w:rsid w:val="00D11F84"/>
    <w:rsid w:val="00D12D01"/>
    <w:rsid w:val="00D12FAE"/>
    <w:rsid w:val="00D12FC2"/>
    <w:rsid w:val="00D12FE5"/>
    <w:rsid w:val="00D13271"/>
    <w:rsid w:val="00D1329A"/>
    <w:rsid w:val="00D14A1A"/>
    <w:rsid w:val="00D15229"/>
    <w:rsid w:val="00D1545D"/>
    <w:rsid w:val="00D15808"/>
    <w:rsid w:val="00D15B6B"/>
    <w:rsid w:val="00D1639F"/>
    <w:rsid w:val="00D1669D"/>
    <w:rsid w:val="00D16BDE"/>
    <w:rsid w:val="00D1797C"/>
    <w:rsid w:val="00D17A54"/>
    <w:rsid w:val="00D20DEA"/>
    <w:rsid w:val="00D21646"/>
    <w:rsid w:val="00D2174A"/>
    <w:rsid w:val="00D2180B"/>
    <w:rsid w:val="00D21E27"/>
    <w:rsid w:val="00D21ECF"/>
    <w:rsid w:val="00D228CA"/>
    <w:rsid w:val="00D23DB3"/>
    <w:rsid w:val="00D241D5"/>
    <w:rsid w:val="00D24433"/>
    <w:rsid w:val="00D247DD"/>
    <w:rsid w:val="00D24820"/>
    <w:rsid w:val="00D24A0D"/>
    <w:rsid w:val="00D24A28"/>
    <w:rsid w:val="00D25362"/>
    <w:rsid w:val="00D25673"/>
    <w:rsid w:val="00D2615A"/>
    <w:rsid w:val="00D26318"/>
    <w:rsid w:val="00D26B51"/>
    <w:rsid w:val="00D27204"/>
    <w:rsid w:val="00D278C6"/>
    <w:rsid w:val="00D27978"/>
    <w:rsid w:val="00D2797C"/>
    <w:rsid w:val="00D27C55"/>
    <w:rsid w:val="00D27F4D"/>
    <w:rsid w:val="00D311F5"/>
    <w:rsid w:val="00D328C7"/>
    <w:rsid w:val="00D32DA9"/>
    <w:rsid w:val="00D32DC3"/>
    <w:rsid w:val="00D32E2F"/>
    <w:rsid w:val="00D33BDA"/>
    <w:rsid w:val="00D33C73"/>
    <w:rsid w:val="00D34279"/>
    <w:rsid w:val="00D34661"/>
    <w:rsid w:val="00D34A9E"/>
    <w:rsid w:val="00D35402"/>
    <w:rsid w:val="00D3598C"/>
    <w:rsid w:val="00D35A05"/>
    <w:rsid w:val="00D35A2D"/>
    <w:rsid w:val="00D368EF"/>
    <w:rsid w:val="00D36978"/>
    <w:rsid w:val="00D3699D"/>
    <w:rsid w:val="00D374E2"/>
    <w:rsid w:val="00D40207"/>
    <w:rsid w:val="00D4034D"/>
    <w:rsid w:val="00D406C7"/>
    <w:rsid w:val="00D409C1"/>
    <w:rsid w:val="00D40D1A"/>
    <w:rsid w:val="00D41259"/>
    <w:rsid w:val="00D41830"/>
    <w:rsid w:val="00D41B27"/>
    <w:rsid w:val="00D42488"/>
    <w:rsid w:val="00D42F76"/>
    <w:rsid w:val="00D43FA3"/>
    <w:rsid w:val="00D46364"/>
    <w:rsid w:val="00D468BF"/>
    <w:rsid w:val="00D469D0"/>
    <w:rsid w:val="00D46EE6"/>
    <w:rsid w:val="00D472FC"/>
    <w:rsid w:val="00D47B41"/>
    <w:rsid w:val="00D47C48"/>
    <w:rsid w:val="00D47F2F"/>
    <w:rsid w:val="00D501B2"/>
    <w:rsid w:val="00D5067E"/>
    <w:rsid w:val="00D50BBD"/>
    <w:rsid w:val="00D5113B"/>
    <w:rsid w:val="00D5168E"/>
    <w:rsid w:val="00D51A66"/>
    <w:rsid w:val="00D521FF"/>
    <w:rsid w:val="00D52F86"/>
    <w:rsid w:val="00D53C37"/>
    <w:rsid w:val="00D547F8"/>
    <w:rsid w:val="00D551EE"/>
    <w:rsid w:val="00D5563E"/>
    <w:rsid w:val="00D561E3"/>
    <w:rsid w:val="00D5681D"/>
    <w:rsid w:val="00D570DF"/>
    <w:rsid w:val="00D57577"/>
    <w:rsid w:val="00D577C2"/>
    <w:rsid w:val="00D57C05"/>
    <w:rsid w:val="00D6004C"/>
    <w:rsid w:val="00D606AB"/>
    <w:rsid w:val="00D6157C"/>
    <w:rsid w:val="00D618BE"/>
    <w:rsid w:val="00D61940"/>
    <w:rsid w:val="00D61DCF"/>
    <w:rsid w:val="00D62394"/>
    <w:rsid w:val="00D629AD"/>
    <w:rsid w:val="00D62A25"/>
    <w:rsid w:val="00D62BA8"/>
    <w:rsid w:val="00D6307F"/>
    <w:rsid w:val="00D64192"/>
    <w:rsid w:val="00D64B46"/>
    <w:rsid w:val="00D65654"/>
    <w:rsid w:val="00D65F2C"/>
    <w:rsid w:val="00D672FB"/>
    <w:rsid w:val="00D67DE9"/>
    <w:rsid w:val="00D67E9F"/>
    <w:rsid w:val="00D702B1"/>
    <w:rsid w:val="00D709DE"/>
    <w:rsid w:val="00D716EC"/>
    <w:rsid w:val="00D71DBF"/>
    <w:rsid w:val="00D726FC"/>
    <w:rsid w:val="00D7334C"/>
    <w:rsid w:val="00D7355F"/>
    <w:rsid w:val="00D74851"/>
    <w:rsid w:val="00D74BE5"/>
    <w:rsid w:val="00D75C25"/>
    <w:rsid w:val="00D75DFF"/>
    <w:rsid w:val="00D76D47"/>
    <w:rsid w:val="00D76E8E"/>
    <w:rsid w:val="00D772F5"/>
    <w:rsid w:val="00D77D4F"/>
    <w:rsid w:val="00D80FA2"/>
    <w:rsid w:val="00D819D9"/>
    <w:rsid w:val="00D81D99"/>
    <w:rsid w:val="00D81EC2"/>
    <w:rsid w:val="00D8217E"/>
    <w:rsid w:val="00D82EB5"/>
    <w:rsid w:val="00D83739"/>
    <w:rsid w:val="00D83926"/>
    <w:rsid w:val="00D83ACF"/>
    <w:rsid w:val="00D83F86"/>
    <w:rsid w:val="00D86128"/>
    <w:rsid w:val="00D86817"/>
    <w:rsid w:val="00D86FC0"/>
    <w:rsid w:val="00D917D5"/>
    <w:rsid w:val="00D91C2F"/>
    <w:rsid w:val="00D91C54"/>
    <w:rsid w:val="00D9254F"/>
    <w:rsid w:val="00D9275F"/>
    <w:rsid w:val="00D928FD"/>
    <w:rsid w:val="00D92D83"/>
    <w:rsid w:val="00D93861"/>
    <w:rsid w:val="00D965A8"/>
    <w:rsid w:val="00D966A1"/>
    <w:rsid w:val="00D96B8F"/>
    <w:rsid w:val="00D96C1B"/>
    <w:rsid w:val="00D97246"/>
    <w:rsid w:val="00D9761B"/>
    <w:rsid w:val="00D9765A"/>
    <w:rsid w:val="00D977AE"/>
    <w:rsid w:val="00D97E22"/>
    <w:rsid w:val="00DA0188"/>
    <w:rsid w:val="00DA0232"/>
    <w:rsid w:val="00DA04AA"/>
    <w:rsid w:val="00DA0CF2"/>
    <w:rsid w:val="00DA1F7A"/>
    <w:rsid w:val="00DA23ED"/>
    <w:rsid w:val="00DA248B"/>
    <w:rsid w:val="00DA24FF"/>
    <w:rsid w:val="00DA2E35"/>
    <w:rsid w:val="00DA3C58"/>
    <w:rsid w:val="00DA4443"/>
    <w:rsid w:val="00DA45FD"/>
    <w:rsid w:val="00DA5303"/>
    <w:rsid w:val="00DA5A1F"/>
    <w:rsid w:val="00DA6188"/>
    <w:rsid w:val="00DA6FCC"/>
    <w:rsid w:val="00DB0051"/>
    <w:rsid w:val="00DB047D"/>
    <w:rsid w:val="00DB1C70"/>
    <w:rsid w:val="00DB27AA"/>
    <w:rsid w:val="00DB2E46"/>
    <w:rsid w:val="00DB347E"/>
    <w:rsid w:val="00DB3664"/>
    <w:rsid w:val="00DB3EFD"/>
    <w:rsid w:val="00DB45C0"/>
    <w:rsid w:val="00DB463C"/>
    <w:rsid w:val="00DB540A"/>
    <w:rsid w:val="00DB549D"/>
    <w:rsid w:val="00DB5CFD"/>
    <w:rsid w:val="00DB67ED"/>
    <w:rsid w:val="00DB6C15"/>
    <w:rsid w:val="00DB70F0"/>
    <w:rsid w:val="00DB7638"/>
    <w:rsid w:val="00DB7F78"/>
    <w:rsid w:val="00DB7F9F"/>
    <w:rsid w:val="00DC0A7D"/>
    <w:rsid w:val="00DC1CF0"/>
    <w:rsid w:val="00DC206B"/>
    <w:rsid w:val="00DC2967"/>
    <w:rsid w:val="00DC2E96"/>
    <w:rsid w:val="00DC3302"/>
    <w:rsid w:val="00DC404C"/>
    <w:rsid w:val="00DC44E7"/>
    <w:rsid w:val="00DC502C"/>
    <w:rsid w:val="00DC563E"/>
    <w:rsid w:val="00DC635E"/>
    <w:rsid w:val="00DC6371"/>
    <w:rsid w:val="00DC66FC"/>
    <w:rsid w:val="00DC6712"/>
    <w:rsid w:val="00DC751A"/>
    <w:rsid w:val="00DD0710"/>
    <w:rsid w:val="00DD11A5"/>
    <w:rsid w:val="00DD1597"/>
    <w:rsid w:val="00DD1751"/>
    <w:rsid w:val="00DD1B97"/>
    <w:rsid w:val="00DD2078"/>
    <w:rsid w:val="00DD2401"/>
    <w:rsid w:val="00DD31CD"/>
    <w:rsid w:val="00DD36C3"/>
    <w:rsid w:val="00DD3E37"/>
    <w:rsid w:val="00DD426C"/>
    <w:rsid w:val="00DD470E"/>
    <w:rsid w:val="00DD5552"/>
    <w:rsid w:val="00DD6553"/>
    <w:rsid w:val="00DD6F65"/>
    <w:rsid w:val="00DD71C8"/>
    <w:rsid w:val="00DD7A9C"/>
    <w:rsid w:val="00DD7CD1"/>
    <w:rsid w:val="00DE0177"/>
    <w:rsid w:val="00DE0E4C"/>
    <w:rsid w:val="00DE15BA"/>
    <w:rsid w:val="00DE166F"/>
    <w:rsid w:val="00DE19DA"/>
    <w:rsid w:val="00DE1AB8"/>
    <w:rsid w:val="00DE1C26"/>
    <w:rsid w:val="00DE1E4D"/>
    <w:rsid w:val="00DE2AD8"/>
    <w:rsid w:val="00DE38B0"/>
    <w:rsid w:val="00DE414C"/>
    <w:rsid w:val="00DE4621"/>
    <w:rsid w:val="00DE4A98"/>
    <w:rsid w:val="00DE6219"/>
    <w:rsid w:val="00DE70CF"/>
    <w:rsid w:val="00DE758E"/>
    <w:rsid w:val="00DE75A7"/>
    <w:rsid w:val="00DE7BD4"/>
    <w:rsid w:val="00DF009C"/>
    <w:rsid w:val="00DF0550"/>
    <w:rsid w:val="00DF0787"/>
    <w:rsid w:val="00DF0934"/>
    <w:rsid w:val="00DF25DA"/>
    <w:rsid w:val="00DF388A"/>
    <w:rsid w:val="00DF38D9"/>
    <w:rsid w:val="00DF401E"/>
    <w:rsid w:val="00DF477F"/>
    <w:rsid w:val="00DF487F"/>
    <w:rsid w:val="00DF49C9"/>
    <w:rsid w:val="00DF4E5C"/>
    <w:rsid w:val="00DF55C9"/>
    <w:rsid w:val="00DF6047"/>
    <w:rsid w:val="00DF7A6D"/>
    <w:rsid w:val="00DF7BFA"/>
    <w:rsid w:val="00E00B50"/>
    <w:rsid w:val="00E00E0B"/>
    <w:rsid w:val="00E00F17"/>
    <w:rsid w:val="00E0178C"/>
    <w:rsid w:val="00E01A6F"/>
    <w:rsid w:val="00E01D94"/>
    <w:rsid w:val="00E0205C"/>
    <w:rsid w:val="00E02269"/>
    <w:rsid w:val="00E029CC"/>
    <w:rsid w:val="00E02A6B"/>
    <w:rsid w:val="00E031B1"/>
    <w:rsid w:val="00E0348E"/>
    <w:rsid w:val="00E0397F"/>
    <w:rsid w:val="00E04250"/>
    <w:rsid w:val="00E04625"/>
    <w:rsid w:val="00E04862"/>
    <w:rsid w:val="00E04D7C"/>
    <w:rsid w:val="00E04D91"/>
    <w:rsid w:val="00E0514E"/>
    <w:rsid w:val="00E05B4B"/>
    <w:rsid w:val="00E06835"/>
    <w:rsid w:val="00E06864"/>
    <w:rsid w:val="00E06F24"/>
    <w:rsid w:val="00E06F29"/>
    <w:rsid w:val="00E06F56"/>
    <w:rsid w:val="00E07AF1"/>
    <w:rsid w:val="00E07E41"/>
    <w:rsid w:val="00E11397"/>
    <w:rsid w:val="00E11625"/>
    <w:rsid w:val="00E11975"/>
    <w:rsid w:val="00E123D7"/>
    <w:rsid w:val="00E1246E"/>
    <w:rsid w:val="00E1250F"/>
    <w:rsid w:val="00E129F9"/>
    <w:rsid w:val="00E1311A"/>
    <w:rsid w:val="00E142A5"/>
    <w:rsid w:val="00E14676"/>
    <w:rsid w:val="00E14D61"/>
    <w:rsid w:val="00E1505C"/>
    <w:rsid w:val="00E15DB5"/>
    <w:rsid w:val="00E20CCB"/>
    <w:rsid w:val="00E21716"/>
    <w:rsid w:val="00E21AB9"/>
    <w:rsid w:val="00E21F51"/>
    <w:rsid w:val="00E2207E"/>
    <w:rsid w:val="00E2287A"/>
    <w:rsid w:val="00E22AE0"/>
    <w:rsid w:val="00E2338F"/>
    <w:rsid w:val="00E2432D"/>
    <w:rsid w:val="00E24AC6"/>
    <w:rsid w:val="00E25836"/>
    <w:rsid w:val="00E25C2F"/>
    <w:rsid w:val="00E269D0"/>
    <w:rsid w:val="00E27640"/>
    <w:rsid w:val="00E27E57"/>
    <w:rsid w:val="00E3074F"/>
    <w:rsid w:val="00E30FFB"/>
    <w:rsid w:val="00E310F5"/>
    <w:rsid w:val="00E313F2"/>
    <w:rsid w:val="00E33356"/>
    <w:rsid w:val="00E33A8E"/>
    <w:rsid w:val="00E356D9"/>
    <w:rsid w:val="00E35890"/>
    <w:rsid w:val="00E3589A"/>
    <w:rsid w:val="00E358E4"/>
    <w:rsid w:val="00E362D1"/>
    <w:rsid w:val="00E36D22"/>
    <w:rsid w:val="00E36D74"/>
    <w:rsid w:val="00E372B7"/>
    <w:rsid w:val="00E37A94"/>
    <w:rsid w:val="00E4076D"/>
    <w:rsid w:val="00E4093A"/>
    <w:rsid w:val="00E40949"/>
    <w:rsid w:val="00E41BFF"/>
    <w:rsid w:val="00E41CA1"/>
    <w:rsid w:val="00E41DBB"/>
    <w:rsid w:val="00E41FC8"/>
    <w:rsid w:val="00E42123"/>
    <w:rsid w:val="00E43098"/>
    <w:rsid w:val="00E447A1"/>
    <w:rsid w:val="00E450EF"/>
    <w:rsid w:val="00E45EA8"/>
    <w:rsid w:val="00E45FC7"/>
    <w:rsid w:val="00E4667C"/>
    <w:rsid w:val="00E46AD6"/>
    <w:rsid w:val="00E477DC"/>
    <w:rsid w:val="00E47EAB"/>
    <w:rsid w:val="00E510AB"/>
    <w:rsid w:val="00E517C4"/>
    <w:rsid w:val="00E51A47"/>
    <w:rsid w:val="00E52093"/>
    <w:rsid w:val="00E52261"/>
    <w:rsid w:val="00E54E43"/>
    <w:rsid w:val="00E55BC4"/>
    <w:rsid w:val="00E55D04"/>
    <w:rsid w:val="00E560BE"/>
    <w:rsid w:val="00E56773"/>
    <w:rsid w:val="00E56874"/>
    <w:rsid w:val="00E56A5A"/>
    <w:rsid w:val="00E56C33"/>
    <w:rsid w:val="00E576E9"/>
    <w:rsid w:val="00E60125"/>
    <w:rsid w:val="00E602A0"/>
    <w:rsid w:val="00E6117A"/>
    <w:rsid w:val="00E61C47"/>
    <w:rsid w:val="00E61F62"/>
    <w:rsid w:val="00E624F1"/>
    <w:rsid w:val="00E62F97"/>
    <w:rsid w:val="00E63056"/>
    <w:rsid w:val="00E63214"/>
    <w:rsid w:val="00E633D3"/>
    <w:rsid w:val="00E63A84"/>
    <w:rsid w:val="00E63F4F"/>
    <w:rsid w:val="00E64990"/>
    <w:rsid w:val="00E64F10"/>
    <w:rsid w:val="00E64FC8"/>
    <w:rsid w:val="00E653A1"/>
    <w:rsid w:val="00E65C92"/>
    <w:rsid w:val="00E65E32"/>
    <w:rsid w:val="00E66621"/>
    <w:rsid w:val="00E66BF8"/>
    <w:rsid w:val="00E672E5"/>
    <w:rsid w:val="00E67A6B"/>
    <w:rsid w:val="00E67B35"/>
    <w:rsid w:val="00E7008B"/>
    <w:rsid w:val="00E7035F"/>
    <w:rsid w:val="00E706EB"/>
    <w:rsid w:val="00E70A55"/>
    <w:rsid w:val="00E70DA1"/>
    <w:rsid w:val="00E70E70"/>
    <w:rsid w:val="00E71753"/>
    <w:rsid w:val="00E72428"/>
    <w:rsid w:val="00E72F20"/>
    <w:rsid w:val="00E73087"/>
    <w:rsid w:val="00E74BCE"/>
    <w:rsid w:val="00E74C6E"/>
    <w:rsid w:val="00E7525E"/>
    <w:rsid w:val="00E75F12"/>
    <w:rsid w:val="00E75FB0"/>
    <w:rsid w:val="00E760D9"/>
    <w:rsid w:val="00E77176"/>
    <w:rsid w:val="00E773F6"/>
    <w:rsid w:val="00E77B0D"/>
    <w:rsid w:val="00E80D02"/>
    <w:rsid w:val="00E80F69"/>
    <w:rsid w:val="00E813F4"/>
    <w:rsid w:val="00E8229E"/>
    <w:rsid w:val="00E82457"/>
    <w:rsid w:val="00E83BBC"/>
    <w:rsid w:val="00E83C75"/>
    <w:rsid w:val="00E83D21"/>
    <w:rsid w:val="00E84509"/>
    <w:rsid w:val="00E855B9"/>
    <w:rsid w:val="00E8622A"/>
    <w:rsid w:val="00E8645D"/>
    <w:rsid w:val="00E86795"/>
    <w:rsid w:val="00E86A7D"/>
    <w:rsid w:val="00E86E1E"/>
    <w:rsid w:val="00E873A1"/>
    <w:rsid w:val="00E87B7A"/>
    <w:rsid w:val="00E90DFF"/>
    <w:rsid w:val="00E91888"/>
    <w:rsid w:val="00E91E9D"/>
    <w:rsid w:val="00E925F1"/>
    <w:rsid w:val="00E9289E"/>
    <w:rsid w:val="00E93EF8"/>
    <w:rsid w:val="00E94B9E"/>
    <w:rsid w:val="00E94C64"/>
    <w:rsid w:val="00E94ED6"/>
    <w:rsid w:val="00E95CD5"/>
    <w:rsid w:val="00E97854"/>
    <w:rsid w:val="00EA0D2B"/>
    <w:rsid w:val="00EA126B"/>
    <w:rsid w:val="00EA1A4E"/>
    <w:rsid w:val="00EA256B"/>
    <w:rsid w:val="00EA2775"/>
    <w:rsid w:val="00EA3210"/>
    <w:rsid w:val="00EA337F"/>
    <w:rsid w:val="00EA38F8"/>
    <w:rsid w:val="00EA3C8A"/>
    <w:rsid w:val="00EA3DF8"/>
    <w:rsid w:val="00EA3E19"/>
    <w:rsid w:val="00EA4755"/>
    <w:rsid w:val="00EA5137"/>
    <w:rsid w:val="00EA548F"/>
    <w:rsid w:val="00EA620B"/>
    <w:rsid w:val="00EA6507"/>
    <w:rsid w:val="00EA72AF"/>
    <w:rsid w:val="00EB0706"/>
    <w:rsid w:val="00EB1D35"/>
    <w:rsid w:val="00EB2273"/>
    <w:rsid w:val="00EB276E"/>
    <w:rsid w:val="00EB2824"/>
    <w:rsid w:val="00EB3415"/>
    <w:rsid w:val="00EB345B"/>
    <w:rsid w:val="00EB385B"/>
    <w:rsid w:val="00EB398C"/>
    <w:rsid w:val="00EB5254"/>
    <w:rsid w:val="00EB565D"/>
    <w:rsid w:val="00EB5A3F"/>
    <w:rsid w:val="00EB5F9A"/>
    <w:rsid w:val="00EB6B82"/>
    <w:rsid w:val="00EB7119"/>
    <w:rsid w:val="00EC0080"/>
    <w:rsid w:val="00EC00CE"/>
    <w:rsid w:val="00EC09E4"/>
    <w:rsid w:val="00EC12F3"/>
    <w:rsid w:val="00EC1395"/>
    <w:rsid w:val="00EC17DF"/>
    <w:rsid w:val="00EC270C"/>
    <w:rsid w:val="00EC2BA4"/>
    <w:rsid w:val="00EC2D7B"/>
    <w:rsid w:val="00EC3465"/>
    <w:rsid w:val="00EC3558"/>
    <w:rsid w:val="00EC4438"/>
    <w:rsid w:val="00EC457F"/>
    <w:rsid w:val="00EC45F0"/>
    <w:rsid w:val="00EC514E"/>
    <w:rsid w:val="00EC76AC"/>
    <w:rsid w:val="00EC7734"/>
    <w:rsid w:val="00EC7B3F"/>
    <w:rsid w:val="00ED0251"/>
    <w:rsid w:val="00ED266E"/>
    <w:rsid w:val="00ED3803"/>
    <w:rsid w:val="00ED3A59"/>
    <w:rsid w:val="00ED3AA9"/>
    <w:rsid w:val="00ED3E33"/>
    <w:rsid w:val="00ED3F1F"/>
    <w:rsid w:val="00ED3F69"/>
    <w:rsid w:val="00ED4C35"/>
    <w:rsid w:val="00ED50D7"/>
    <w:rsid w:val="00ED585D"/>
    <w:rsid w:val="00ED58D3"/>
    <w:rsid w:val="00ED593A"/>
    <w:rsid w:val="00ED678A"/>
    <w:rsid w:val="00ED6B30"/>
    <w:rsid w:val="00ED74B8"/>
    <w:rsid w:val="00ED7CF9"/>
    <w:rsid w:val="00EE07B1"/>
    <w:rsid w:val="00EE0829"/>
    <w:rsid w:val="00EE0EA7"/>
    <w:rsid w:val="00EE21D6"/>
    <w:rsid w:val="00EE2368"/>
    <w:rsid w:val="00EE2CC4"/>
    <w:rsid w:val="00EE474F"/>
    <w:rsid w:val="00EE475E"/>
    <w:rsid w:val="00EE4994"/>
    <w:rsid w:val="00EE4C9C"/>
    <w:rsid w:val="00EE4D0E"/>
    <w:rsid w:val="00EE6560"/>
    <w:rsid w:val="00EE6ED5"/>
    <w:rsid w:val="00EE6F24"/>
    <w:rsid w:val="00EE7C04"/>
    <w:rsid w:val="00EF013E"/>
    <w:rsid w:val="00EF0531"/>
    <w:rsid w:val="00EF06FC"/>
    <w:rsid w:val="00EF0C31"/>
    <w:rsid w:val="00EF163E"/>
    <w:rsid w:val="00EF1959"/>
    <w:rsid w:val="00EF1E98"/>
    <w:rsid w:val="00EF1F2C"/>
    <w:rsid w:val="00EF1FC2"/>
    <w:rsid w:val="00EF2343"/>
    <w:rsid w:val="00EF25A3"/>
    <w:rsid w:val="00EF2D93"/>
    <w:rsid w:val="00EF2E2D"/>
    <w:rsid w:val="00EF3834"/>
    <w:rsid w:val="00EF4B80"/>
    <w:rsid w:val="00EF551E"/>
    <w:rsid w:val="00EF59CE"/>
    <w:rsid w:val="00EF5AFF"/>
    <w:rsid w:val="00EF6BCE"/>
    <w:rsid w:val="00EF6BF3"/>
    <w:rsid w:val="00EF6E25"/>
    <w:rsid w:val="00EF746E"/>
    <w:rsid w:val="00EF7522"/>
    <w:rsid w:val="00EF7B05"/>
    <w:rsid w:val="00EF7DD6"/>
    <w:rsid w:val="00F00523"/>
    <w:rsid w:val="00F007AE"/>
    <w:rsid w:val="00F00A33"/>
    <w:rsid w:val="00F00E59"/>
    <w:rsid w:val="00F01033"/>
    <w:rsid w:val="00F014B2"/>
    <w:rsid w:val="00F0150B"/>
    <w:rsid w:val="00F0162C"/>
    <w:rsid w:val="00F01871"/>
    <w:rsid w:val="00F018E4"/>
    <w:rsid w:val="00F01D75"/>
    <w:rsid w:val="00F023D3"/>
    <w:rsid w:val="00F02C7E"/>
    <w:rsid w:val="00F02DEA"/>
    <w:rsid w:val="00F02ED1"/>
    <w:rsid w:val="00F0314A"/>
    <w:rsid w:val="00F0376D"/>
    <w:rsid w:val="00F03A05"/>
    <w:rsid w:val="00F04822"/>
    <w:rsid w:val="00F04DCB"/>
    <w:rsid w:val="00F04E15"/>
    <w:rsid w:val="00F04ED4"/>
    <w:rsid w:val="00F05762"/>
    <w:rsid w:val="00F06757"/>
    <w:rsid w:val="00F06961"/>
    <w:rsid w:val="00F075A4"/>
    <w:rsid w:val="00F11432"/>
    <w:rsid w:val="00F11D39"/>
    <w:rsid w:val="00F126E5"/>
    <w:rsid w:val="00F13EF5"/>
    <w:rsid w:val="00F1451D"/>
    <w:rsid w:val="00F14C68"/>
    <w:rsid w:val="00F14E71"/>
    <w:rsid w:val="00F151C6"/>
    <w:rsid w:val="00F1526C"/>
    <w:rsid w:val="00F15FD4"/>
    <w:rsid w:val="00F16D45"/>
    <w:rsid w:val="00F16F36"/>
    <w:rsid w:val="00F177CA"/>
    <w:rsid w:val="00F17AEF"/>
    <w:rsid w:val="00F2274B"/>
    <w:rsid w:val="00F2280F"/>
    <w:rsid w:val="00F22E02"/>
    <w:rsid w:val="00F231B7"/>
    <w:rsid w:val="00F238F0"/>
    <w:rsid w:val="00F23E88"/>
    <w:rsid w:val="00F24E35"/>
    <w:rsid w:val="00F262F8"/>
    <w:rsid w:val="00F269F8"/>
    <w:rsid w:val="00F27231"/>
    <w:rsid w:val="00F27393"/>
    <w:rsid w:val="00F27A70"/>
    <w:rsid w:val="00F27B0A"/>
    <w:rsid w:val="00F309DC"/>
    <w:rsid w:val="00F3364D"/>
    <w:rsid w:val="00F33F0D"/>
    <w:rsid w:val="00F3590E"/>
    <w:rsid w:val="00F35D38"/>
    <w:rsid w:val="00F35DEE"/>
    <w:rsid w:val="00F360A8"/>
    <w:rsid w:val="00F366DA"/>
    <w:rsid w:val="00F36C28"/>
    <w:rsid w:val="00F37908"/>
    <w:rsid w:val="00F37C03"/>
    <w:rsid w:val="00F37DD1"/>
    <w:rsid w:val="00F37FDF"/>
    <w:rsid w:val="00F4071D"/>
    <w:rsid w:val="00F407FA"/>
    <w:rsid w:val="00F4110A"/>
    <w:rsid w:val="00F41608"/>
    <w:rsid w:val="00F41619"/>
    <w:rsid w:val="00F44201"/>
    <w:rsid w:val="00F44560"/>
    <w:rsid w:val="00F44FA1"/>
    <w:rsid w:val="00F459C5"/>
    <w:rsid w:val="00F45B0C"/>
    <w:rsid w:val="00F45C5C"/>
    <w:rsid w:val="00F45D27"/>
    <w:rsid w:val="00F45EE4"/>
    <w:rsid w:val="00F46318"/>
    <w:rsid w:val="00F463B5"/>
    <w:rsid w:val="00F464B5"/>
    <w:rsid w:val="00F46A2A"/>
    <w:rsid w:val="00F4750B"/>
    <w:rsid w:val="00F5027B"/>
    <w:rsid w:val="00F521DC"/>
    <w:rsid w:val="00F52507"/>
    <w:rsid w:val="00F52D9E"/>
    <w:rsid w:val="00F5308A"/>
    <w:rsid w:val="00F53646"/>
    <w:rsid w:val="00F539AB"/>
    <w:rsid w:val="00F53F0C"/>
    <w:rsid w:val="00F54C3D"/>
    <w:rsid w:val="00F54D87"/>
    <w:rsid w:val="00F54E0E"/>
    <w:rsid w:val="00F54E62"/>
    <w:rsid w:val="00F54E6E"/>
    <w:rsid w:val="00F55895"/>
    <w:rsid w:val="00F5673E"/>
    <w:rsid w:val="00F570DA"/>
    <w:rsid w:val="00F6090C"/>
    <w:rsid w:val="00F61C8F"/>
    <w:rsid w:val="00F61D36"/>
    <w:rsid w:val="00F62566"/>
    <w:rsid w:val="00F629F2"/>
    <w:rsid w:val="00F63EAC"/>
    <w:rsid w:val="00F64C83"/>
    <w:rsid w:val="00F65145"/>
    <w:rsid w:val="00F65C4E"/>
    <w:rsid w:val="00F65CB8"/>
    <w:rsid w:val="00F66109"/>
    <w:rsid w:val="00F6654C"/>
    <w:rsid w:val="00F667CF"/>
    <w:rsid w:val="00F66920"/>
    <w:rsid w:val="00F67688"/>
    <w:rsid w:val="00F678D5"/>
    <w:rsid w:val="00F67E04"/>
    <w:rsid w:val="00F67ECD"/>
    <w:rsid w:val="00F67F57"/>
    <w:rsid w:val="00F7010F"/>
    <w:rsid w:val="00F70352"/>
    <w:rsid w:val="00F704DF"/>
    <w:rsid w:val="00F71384"/>
    <w:rsid w:val="00F71C50"/>
    <w:rsid w:val="00F720B9"/>
    <w:rsid w:val="00F72626"/>
    <w:rsid w:val="00F72CCE"/>
    <w:rsid w:val="00F72D44"/>
    <w:rsid w:val="00F73701"/>
    <w:rsid w:val="00F757DE"/>
    <w:rsid w:val="00F75CE1"/>
    <w:rsid w:val="00F76615"/>
    <w:rsid w:val="00F7698E"/>
    <w:rsid w:val="00F77002"/>
    <w:rsid w:val="00F77445"/>
    <w:rsid w:val="00F802B9"/>
    <w:rsid w:val="00F80C20"/>
    <w:rsid w:val="00F810A7"/>
    <w:rsid w:val="00F81DAA"/>
    <w:rsid w:val="00F8200D"/>
    <w:rsid w:val="00F82020"/>
    <w:rsid w:val="00F820E1"/>
    <w:rsid w:val="00F8228A"/>
    <w:rsid w:val="00F826D7"/>
    <w:rsid w:val="00F82E9B"/>
    <w:rsid w:val="00F83525"/>
    <w:rsid w:val="00F845C8"/>
    <w:rsid w:val="00F84E68"/>
    <w:rsid w:val="00F84F99"/>
    <w:rsid w:val="00F85313"/>
    <w:rsid w:val="00F86212"/>
    <w:rsid w:val="00F86273"/>
    <w:rsid w:val="00F86D0E"/>
    <w:rsid w:val="00F86EC3"/>
    <w:rsid w:val="00F87303"/>
    <w:rsid w:val="00F87893"/>
    <w:rsid w:val="00F87BA6"/>
    <w:rsid w:val="00F900C4"/>
    <w:rsid w:val="00F905D4"/>
    <w:rsid w:val="00F90868"/>
    <w:rsid w:val="00F90D1E"/>
    <w:rsid w:val="00F92547"/>
    <w:rsid w:val="00F92B2F"/>
    <w:rsid w:val="00F935DD"/>
    <w:rsid w:val="00F939C2"/>
    <w:rsid w:val="00F93A08"/>
    <w:rsid w:val="00F93D31"/>
    <w:rsid w:val="00F94A2F"/>
    <w:rsid w:val="00F9514C"/>
    <w:rsid w:val="00F952D7"/>
    <w:rsid w:val="00F9590B"/>
    <w:rsid w:val="00F963AC"/>
    <w:rsid w:val="00F96480"/>
    <w:rsid w:val="00F96F13"/>
    <w:rsid w:val="00FA00C6"/>
    <w:rsid w:val="00FA00ED"/>
    <w:rsid w:val="00FA184A"/>
    <w:rsid w:val="00FA1F72"/>
    <w:rsid w:val="00FA2D5F"/>
    <w:rsid w:val="00FA3B49"/>
    <w:rsid w:val="00FA3DFD"/>
    <w:rsid w:val="00FA499C"/>
    <w:rsid w:val="00FA4A52"/>
    <w:rsid w:val="00FA54C1"/>
    <w:rsid w:val="00FA59AD"/>
    <w:rsid w:val="00FA5F00"/>
    <w:rsid w:val="00FA62C7"/>
    <w:rsid w:val="00FA658C"/>
    <w:rsid w:val="00FA6ED5"/>
    <w:rsid w:val="00FA6F8F"/>
    <w:rsid w:val="00FB081C"/>
    <w:rsid w:val="00FB0BA6"/>
    <w:rsid w:val="00FB0D34"/>
    <w:rsid w:val="00FB1DC4"/>
    <w:rsid w:val="00FB1E4D"/>
    <w:rsid w:val="00FB2253"/>
    <w:rsid w:val="00FB3153"/>
    <w:rsid w:val="00FB359D"/>
    <w:rsid w:val="00FB3E72"/>
    <w:rsid w:val="00FB45FA"/>
    <w:rsid w:val="00FB4A33"/>
    <w:rsid w:val="00FB62ED"/>
    <w:rsid w:val="00FB682E"/>
    <w:rsid w:val="00FB785E"/>
    <w:rsid w:val="00FC00FD"/>
    <w:rsid w:val="00FC0B7A"/>
    <w:rsid w:val="00FC2323"/>
    <w:rsid w:val="00FC3436"/>
    <w:rsid w:val="00FC3903"/>
    <w:rsid w:val="00FC3DCC"/>
    <w:rsid w:val="00FC3E06"/>
    <w:rsid w:val="00FC5949"/>
    <w:rsid w:val="00FC63C6"/>
    <w:rsid w:val="00FC6A40"/>
    <w:rsid w:val="00FC7433"/>
    <w:rsid w:val="00FC7E62"/>
    <w:rsid w:val="00FD0156"/>
    <w:rsid w:val="00FD09C5"/>
    <w:rsid w:val="00FD19D7"/>
    <w:rsid w:val="00FD2740"/>
    <w:rsid w:val="00FD2BDE"/>
    <w:rsid w:val="00FD36A9"/>
    <w:rsid w:val="00FD36C6"/>
    <w:rsid w:val="00FD3D00"/>
    <w:rsid w:val="00FD3FE0"/>
    <w:rsid w:val="00FD41F6"/>
    <w:rsid w:val="00FD469C"/>
    <w:rsid w:val="00FD5CC5"/>
    <w:rsid w:val="00FD6B12"/>
    <w:rsid w:val="00FD724D"/>
    <w:rsid w:val="00FE01CE"/>
    <w:rsid w:val="00FE027D"/>
    <w:rsid w:val="00FE12ED"/>
    <w:rsid w:val="00FE15DF"/>
    <w:rsid w:val="00FE1AAD"/>
    <w:rsid w:val="00FE1CA1"/>
    <w:rsid w:val="00FE225B"/>
    <w:rsid w:val="00FE282E"/>
    <w:rsid w:val="00FE29CF"/>
    <w:rsid w:val="00FE3188"/>
    <w:rsid w:val="00FE31EC"/>
    <w:rsid w:val="00FE37DD"/>
    <w:rsid w:val="00FE3A5D"/>
    <w:rsid w:val="00FE3B67"/>
    <w:rsid w:val="00FE3F11"/>
    <w:rsid w:val="00FE55B7"/>
    <w:rsid w:val="00FE57A3"/>
    <w:rsid w:val="00FE6F3B"/>
    <w:rsid w:val="00FE7FB2"/>
    <w:rsid w:val="00FF0AB5"/>
    <w:rsid w:val="00FF0D70"/>
    <w:rsid w:val="00FF119B"/>
    <w:rsid w:val="00FF149B"/>
    <w:rsid w:val="00FF24B1"/>
    <w:rsid w:val="00FF2513"/>
    <w:rsid w:val="00FF26E1"/>
    <w:rsid w:val="00FF294D"/>
    <w:rsid w:val="00FF3D35"/>
    <w:rsid w:val="00FF4B83"/>
    <w:rsid w:val="00FF5174"/>
    <w:rsid w:val="00FF5AD8"/>
    <w:rsid w:val="00FF65FF"/>
    <w:rsid w:val="00FF6CF1"/>
    <w:rsid w:val="00FF7204"/>
    <w:rsid w:val="00FF73BC"/>
    <w:rsid w:val="00FF7AFD"/>
    <w:rsid w:val="00FF7DD3"/>
    <w:rsid w:val="0131894E"/>
    <w:rsid w:val="08FF2C28"/>
    <w:rsid w:val="09DE8F45"/>
    <w:rsid w:val="0C36CCEA"/>
    <w:rsid w:val="0C93BD46"/>
    <w:rsid w:val="0CB803F4"/>
    <w:rsid w:val="163545CA"/>
    <w:rsid w:val="1E515B20"/>
    <w:rsid w:val="229D90D5"/>
    <w:rsid w:val="26F2B43E"/>
    <w:rsid w:val="288E849F"/>
    <w:rsid w:val="2A92B324"/>
    <w:rsid w:val="316CC2A8"/>
    <w:rsid w:val="3550AE7F"/>
    <w:rsid w:val="3EE5E8C5"/>
    <w:rsid w:val="48FD840E"/>
    <w:rsid w:val="4A87B2CB"/>
    <w:rsid w:val="4E2928A2"/>
    <w:rsid w:val="51841F86"/>
    <w:rsid w:val="51A04077"/>
    <w:rsid w:val="55A795B5"/>
    <w:rsid w:val="57DA38AD"/>
    <w:rsid w:val="5872AD59"/>
    <w:rsid w:val="598F316B"/>
    <w:rsid w:val="5A1BD63D"/>
    <w:rsid w:val="5B2B01CC"/>
    <w:rsid w:val="62A00E9E"/>
    <w:rsid w:val="65F55B7B"/>
    <w:rsid w:val="692CFC3D"/>
    <w:rsid w:val="6A210A7D"/>
    <w:rsid w:val="6DB7908D"/>
    <w:rsid w:val="6F5360EE"/>
    <w:rsid w:val="7BB98AFE"/>
    <w:rsid w:val="7CECFD3B"/>
    <w:rsid w:val="7D555B5F"/>
    <w:rsid w:val="7DA3C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33B7D"/>
  <w15:docId w15:val="{BE56E2E5-AEA3-4E65-B7C1-1407675A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5F"/>
    <w:pPr>
      <w:spacing w:line="480" w:lineRule="auto"/>
    </w:pPr>
    <w:rPr>
      <w:sz w:val="24"/>
    </w:rPr>
  </w:style>
  <w:style w:type="paragraph" w:styleId="Heading1">
    <w:name w:val="heading 1"/>
    <w:basedOn w:val="Normal"/>
    <w:next w:val="Normal"/>
    <w:link w:val="Heading1Char"/>
    <w:uiPriority w:val="9"/>
    <w:qFormat/>
    <w:rsid w:val="00003166"/>
    <w:pPr>
      <w:keepNext/>
      <w:keepLines/>
      <w:spacing w:before="320" w:after="40"/>
      <w:outlineLvl w:val="0"/>
    </w:pPr>
    <w:rPr>
      <w:rFonts w:asciiTheme="majorHAnsi" w:eastAsiaTheme="majorEastAsia" w:hAnsiTheme="majorHAnsi" w:cstheme="majorBidi"/>
      <w:b/>
      <w:bCs/>
      <w:spacing w:val="4"/>
      <w:sz w:val="28"/>
      <w:szCs w:val="28"/>
    </w:rPr>
  </w:style>
  <w:style w:type="paragraph" w:styleId="Heading2">
    <w:name w:val="heading 2"/>
    <w:basedOn w:val="Normal"/>
    <w:next w:val="Normal"/>
    <w:link w:val="Heading2Char"/>
    <w:uiPriority w:val="9"/>
    <w:unhideWhenUsed/>
    <w:qFormat/>
    <w:rsid w:val="00003166"/>
    <w:pPr>
      <w:keepNext/>
      <w:keepLines/>
      <w:spacing w:before="120" w:after="0"/>
      <w:outlineLvl w:val="1"/>
    </w:pPr>
    <w:rPr>
      <w:rFonts w:asciiTheme="majorHAnsi" w:eastAsiaTheme="majorEastAsia" w:hAnsiTheme="majorHAnsi" w:cstheme="majorBidi"/>
      <w:b/>
      <w:bCs/>
      <w:szCs w:val="28"/>
    </w:rPr>
  </w:style>
  <w:style w:type="paragraph" w:styleId="Heading3">
    <w:name w:val="heading 3"/>
    <w:basedOn w:val="Normal"/>
    <w:next w:val="Normal"/>
    <w:link w:val="Heading3Char"/>
    <w:uiPriority w:val="9"/>
    <w:unhideWhenUsed/>
    <w:qFormat/>
    <w:rsid w:val="00EF0C31"/>
    <w:pPr>
      <w:keepNext/>
      <w:keepLines/>
      <w:spacing w:before="120" w:after="0"/>
      <w:outlineLvl w:val="2"/>
    </w:pPr>
    <w:rPr>
      <w:rFonts w:asciiTheme="majorHAnsi" w:eastAsiaTheme="majorEastAsia" w:hAnsiTheme="majorHAnsi" w:cstheme="majorBidi"/>
      <w:spacing w:val="4"/>
      <w:szCs w:val="24"/>
    </w:rPr>
  </w:style>
  <w:style w:type="paragraph" w:styleId="Heading4">
    <w:name w:val="heading 4"/>
    <w:basedOn w:val="Normal"/>
    <w:next w:val="Normal"/>
    <w:link w:val="Heading4Char"/>
    <w:uiPriority w:val="9"/>
    <w:semiHidden/>
    <w:unhideWhenUsed/>
    <w:qFormat/>
    <w:rsid w:val="00EF0C31"/>
    <w:pPr>
      <w:keepNext/>
      <w:keepLines/>
      <w:spacing w:before="120" w:after="0"/>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semiHidden/>
    <w:unhideWhenUsed/>
    <w:qFormat/>
    <w:rsid w:val="00EF0C3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F0C3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F0C3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F0C3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F0C3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sid w:val="00EF0C31"/>
    <w:rPr>
      <w:rFonts w:asciiTheme="majorHAnsi" w:eastAsiaTheme="majorEastAsia" w:hAnsiTheme="majorHAnsi" w:cstheme="majorBidi"/>
      <w:b/>
      <w:bCs/>
      <w:spacing w:val="-7"/>
      <w:sz w:val="48"/>
      <w:szCs w:val="48"/>
    </w:rPr>
  </w:style>
  <w:style w:type="paragraph" w:styleId="Title">
    <w:name w:val="Title"/>
    <w:basedOn w:val="Normal"/>
    <w:next w:val="Normal"/>
    <w:link w:val="TitleChar"/>
    <w:uiPriority w:val="10"/>
    <w:qFormat/>
    <w:rsid w:val="00EF0C3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Heading1Char">
    <w:name w:val="Heading 1 Char"/>
    <w:basedOn w:val="DefaultParagraphFont"/>
    <w:link w:val="Heading1"/>
    <w:uiPriority w:val="9"/>
    <w:rsid w:val="00003166"/>
    <w:rPr>
      <w:rFonts w:asciiTheme="majorHAnsi" w:eastAsiaTheme="majorEastAsia" w:hAnsiTheme="majorHAnsi" w:cstheme="majorBidi"/>
      <w:b/>
      <w:bCs/>
      <w:spacing w:val="4"/>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003166"/>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rsid w:val="00EF0C3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F0C3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F0C3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F0C3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F0C31"/>
    <w:rPr>
      <w:i/>
      <w:iCs/>
    </w:rPr>
  </w:style>
  <w:style w:type="character" w:customStyle="1" w:styleId="Heading8Char">
    <w:name w:val="Heading 8 Char"/>
    <w:basedOn w:val="DefaultParagraphFont"/>
    <w:link w:val="Heading8"/>
    <w:uiPriority w:val="9"/>
    <w:semiHidden/>
    <w:rsid w:val="00EF0C31"/>
    <w:rPr>
      <w:b/>
      <w:bCs/>
    </w:rPr>
  </w:style>
  <w:style w:type="character" w:customStyle="1" w:styleId="Heading9Char">
    <w:name w:val="Heading 9 Char"/>
    <w:basedOn w:val="DefaultParagraphFont"/>
    <w:link w:val="Heading9"/>
    <w:uiPriority w:val="9"/>
    <w:semiHidden/>
    <w:rsid w:val="00EF0C31"/>
    <w:rPr>
      <w:i/>
      <w:iCs/>
    </w:rPr>
  </w:style>
  <w:style w:type="paragraph" w:styleId="Caption">
    <w:name w:val="caption"/>
    <w:basedOn w:val="Normal"/>
    <w:next w:val="Normal"/>
    <w:uiPriority w:val="35"/>
    <w:unhideWhenUsed/>
    <w:qFormat/>
    <w:rsid w:val="00EF0C31"/>
    <w:rPr>
      <w:b/>
      <w:bCs/>
      <w:sz w:val="18"/>
      <w:szCs w:val="18"/>
    </w:rPr>
  </w:style>
  <w:style w:type="paragraph" w:styleId="Subtitle">
    <w:name w:val="Subtitle"/>
    <w:basedOn w:val="Normal"/>
    <w:next w:val="Normal"/>
    <w:link w:val="SubtitleChar"/>
    <w:uiPriority w:val="11"/>
    <w:qFormat/>
    <w:rsid w:val="00EF0C31"/>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F0C31"/>
    <w:rPr>
      <w:rFonts w:asciiTheme="majorHAnsi" w:eastAsiaTheme="majorEastAsia" w:hAnsiTheme="majorHAnsi" w:cstheme="majorBidi"/>
      <w:sz w:val="24"/>
      <w:szCs w:val="24"/>
    </w:rPr>
  </w:style>
  <w:style w:type="character" w:styleId="Strong">
    <w:name w:val="Strong"/>
    <w:basedOn w:val="DefaultParagraphFont"/>
    <w:uiPriority w:val="22"/>
    <w:qFormat/>
    <w:rsid w:val="00EF0C31"/>
    <w:rPr>
      <w:b/>
      <w:bCs/>
      <w:color w:val="auto"/>
    </w:rPr>
  </w:style>
  <w:style w:type="character" w:styleId="Emphasis">
    <w:name w:val="Emphasis"/>
    <w:basedOn w:val="DefaultParagraphFont"/>
    <w:uiPriority w:val="20"/>
    <w:qFormat/>
    <w:rsid w:val="00EF0C31"/>
    <w:rPr>
      <w:i/>
      <w:iCs/>
      <w:color w:val="auto"/>
    </w:rPr>
  </w:style>
  <w:style w:type="paragraph" w:styleId="NoSpacing">
    <w:name w:val="No Spacing"/>
    <w:uiPriority w:val="1"/>
    <w:qFormat/>
    <w:rsid w:val="00EF0C31"/>
    <w:pPr>
      <w:spacing w:after="0" w:line="240" w:lineRule="auto"/>
    </w:pPr>
  </w:style>
  <w:style w:type="paragraph" w:styleId="Quote">
    <w:name w:val="Quote"/>
    <w:basedOn w:val="Normal"/>
    <w:next w:val="Normal"/>
    <w:link w:val="QuoteChar"/>
    <w:uiPriority w:val="29"/>
    <w:qFormat/>
    <w:rsid w:val="00EF0C3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EF0C3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F0C3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F0C3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F0C31"/>
    <w:rPr>
      <w:i/>
      <w:iCs/>
      <w:color w:val="auto"/>
    </w:rPr>
  </w:style>
  <w:style w:type="character" w:styleId="IntenseEmphasis">
    <w:name w:val="Intense Emphasis"/>
    <w:basedOn w:val="DefaultParagraphFont"/>
    <w:uiPriority w:val="21"/>
    <w:qFormat/>
    <w:rsid w:val="00EF0C31"/>
    <w:rPr>
      <w:b/>
      <w:bCs/>
      <w:i/>
      <w:iCs/>
      <w:color w:val="auto"/>
    </w:rPr>
  </w:style>
  <w:style w:type="character" w:styleId="SubtleReference">
    <w:name w:val="Subtle Reference"/>
    <w:basedOn w:val="DefaultParagraphFont"/>
    <w:uiPriority w:val="31"/>
    <w:qFormat/>
    <w:rsid w:val="00EF0C31"/>
    <w:rPr>
      <w:smallCaps/>
      <w:color w:val="auto"/>
      <w:u w:val="single" w:color="7F7F7F" w:themeColor="text1" w:themeTint="80"/>
    </w:rPr>
  </w:style>
  <w:style w:type="character" w:styleId="IntenseReference">
    <w:name w:val="Intense Reference"/>
    <w:basedOn w:val="DefaultParagraphFont"/>
    <w:uiPriority w:val="32"/>
    <w:qFormat/>
    <w:rsid w:val="00EF0C31"/>
    <w:rPr>
      <w:b/>
      <w:bCs/>
      <w:smallCaps/>
      <w:color w:val="auto"/>
      <w:u w:val="single"/>
    </w:rPr>
  </w:style>
  <w:style w:type="character" w:styleId="BookTitle">
    <w:name w:val="Book Title"/>
    <w:basedOn w:val="DefaultParagraphFont"/>
    <w:uiPriority w:val="33"/>
    <w:qFormat/>
    <w:rsid w:val="00EF0C31"/>
    <w:rPr>
      <w:b/>
      <w:bCs/>
      <w:smallCaps/>
      <w:color w:val="auto"/>
    </w:rPr>
  </w:style>
  <w:style w:type="paragraph" w:styleId="TOCHeading">
    <w:name w:val="TOC Heading"/>
    <w:basedOn w:val="Heading1"/>
    <w:next w:val="Normal"/>
    <w:uiPriority w:val="39"/>
    <w:unhideWhenUsed/>
    <w:qFormat/>
    <w:rsid w:val="00EF0C31"/>
    <w:pPr>
      <w:outlineLvl w:val="9"/>
    </w:pPr>
  </w:style>
  <w:style w:type="paragraph" w:styleId="Header">
    <w:name w:val="header"/>
    <w:basedOn w:val="Normal"/>
    <w:link w:val="HeaderChar"/>
    <w:uiPriority w:val="99"/>
    <w:unhideWhenUsed/>
    <w:rsid w:val="005B7612"/>
    <w:pPr>
      <w:tabs>
        <w:tab w:val="center" w:pos="4252"/>
        <w:tab w:val="right" w:pos="8504"/>
      </w:tabs>
      <w:spacing w:after="0" w:line="240" w:lineRule="auto"/>
    </w:pPr>
  </w:style>
  <w:style w:type="character" w:customStyle="1" w:styleId="HeaderChar">
    <w:name w:val="Header Char"/>
    <w:basedOn w:val="DefaultParagraphFont"/>
    <w:link w:val="Header"/>
    <w:uiPriority w:val="99"/>
    <w:rsid w:val="005B7612"/>
    <w:rPr>
      <w:sz w:val="24"/>
    </w:rPr>
  </w:style>
  <w:style w:type="paragraph" w:styleId="Footer">
    <w:name w:val="footer"/>
    <w:basedOn w:val="Normal"/>
    <w:link w:val="FooterChar"/>
    <w:uiPriority w:val="99"/>
    <w:unhideWhenUsed/>
    <w:rsid w:val="005B7612"/>
    <w:pPr>
      <w:tabs>
        <w:tab w:val="center" w:pos="4252"/>
        <w:tab w:val="right" w:pos="8504"/>
      </w:tabs>
      <w:spacing w:after="0" w:line="240" w:lineRule="auto"/>
    </w:pPr>
  </w:style>
  <w:style w:type="character" w:customStyle="1" w:styleId="FooterChar">
    <w:name w:val="Footer Char"/>
    <w:basedOn w:val="DefaultParagraphFont"/>
    <w:link w:val="Footer"/>
    <w:uiPriority w:val="99"/>
    <w:rsid w:val="005B7612"/>
    <w:rPr>
      <w:sz w:val="24"/>
    </w:rPr>
  </w:style>
  <w:style w:type="character" w:styleId="CommentReference">
    <w:name w:val="annotation reference"/>
    <w:basedOn w:val="DefaultParagraphFont"/>
    <w:uiPriority w:val="99"/>
    <w:semiHidden/>
    <w:unhideWhenUsed/>
    <w:rsid w:val="0019513B"/>
    <w:rPr>
      <w:sz w:val="16"/>
      <w:szCs w:val="16"/>
    </w:rPr>
  </w:style>
  <w:style w:type="paragraph" w:styleId="CommentText">
    <w:name w:val="annotation text"/>
    <w:basedOn w:val="Normal"/>
    <w:link w:val="CommentTextChar"/>
    <w:uiPriority w:val="99"/>
    <w:unhideWhenUsed/>
    <w:rsid w:val="0019513B"/>
    <w:pPr>
      <w:spacing w:line="240" w:lineRule="auto"/>
    </w:pPr>
    <w:rPr>
      <w:sz w:val="20"/>
      <w:szCs w:val="20"/>
    </w:rPr>
  </w:style>
  <w:style w:type="character" w:customStyle="1" w:styleId="CommentTextChar">
    <w:name w:val="Comment Text Char"/>
    <w:basedOn w:val="DefaultParagraphFont"/>
    <w:link w:val="CommentText"/>
    <w:uiPriority w:val="99"/>
    <w:rsid w:val="0019513B"/>
    <w:rPr>
      <w:sz w:val="20"/>
      <w:szCs w:val="20"/>
    </w:rPr>
  </w:style>
  <w:style w:type="paragraph" w:styleId="CommentSubject">
    <w:name w:val="annotation subject"/>
    <w:basedOn w:val="CommentText"/>
    <w:next w:val="CommentText"/>
    <w:link w:val="CommentSubjectChar"/>
    <w:uiPriority w:val="99"/>
    <w:semiHidden/>
    <w:unhideWhenUsed/>
    <w:rsid w:val="0019513B"/>
    <w:rPr>
      <w:b/>
      <w:bCs/>
    </w:rPr>
  </w:style>
  <w:style w:type="character" w:customStyle="1" w:styleId="CommentSubjectChar">
    <w:name w:val="Comment Subject Char"/>
    <w:basedOn w:val="CommentTextChar"/>
    <w:link w:val="CommentSubject"/>
    <w:uiPriority w:val="99"/>
    <w:semiHidden/>
    <w:rsid w:val="0019513B"/>
    <w:rPr>
      <w:b/>
      <w:bCs/>
      <w:sz w:val="20"/>
      <w:szCs w:val="20"/>
    </w:rPr>
  </w:style>
  <w:style w:type="paragraph" w:styleId="BalloonText">
    <w:name w:val="Balloon Text"/>
    <w:basedOn w:val="Normal"/>
    <w:link w:val="BalloonTextChar"/>
    <w:uiPriority w:val="99"/>
    <w:semiHidden/>
    <w:unhideWhenUsed/>
    <w:rsid w:val="00195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13B"/>
    <w:rPr>
      <w:rFonts w:ascii="Segoe UI" w:hAnsi="Segoe UI" w:cs="Segoe UI"/>
      <w:sz w:val="18"/>
      <w:szCs w:val="18"/>
    </w:rPr>
  </w:style>
  <w:style w:type="paragraph" w:customStyle="1" w:styleId="xxmsonormal">
    <w:name w:val="x_x_msonormal"/>
    <w:basedOn w:val="Normal"/>
    <w:rsid w:val="00B55DA6"/>
    <w:pPr>
      <w:spacing w:before="100" w:beforeAutospacing="1" w:after="100" w:afterAutospacing="1" w:line="240" w:lineRule="auto"/>
    </w:pPr>
    <w:rPr>
      <w:rFonts w:ascii="Times New Roman" w:eastAsia="Times New Roman" w:hAnsi="Times New Roman" w:cs="Times New Roman"/>
      <w:szCs w:val="24"/>
      <w:lang w:val="en-GB" w:eastAsia="en-GB"/>
    </w:rPr>
  </w:style>
  <w:style w:type="paragraph" w:styleId="FootnoteText">
    <w:name w:val="footnote text"/>
    <w:basedOn w:val="Normal"/>
    <w:link w:val="FootnoteTextChar"/>
    <w:uiPriority w:val="99"/>
    <w:unhideWhenUsed/>
    <w:rsid w:val="00051022"/>
    <w:pPr>
      <w:spacing w:after="0" w:line="240" w:lineRule="auto"/>
    </w:pPr>
    <w:rPr>
      <w:sz w:val="20"/>
      <w:szCs w:val="20"/>
    </w:rPr>
  </w:style>
  <w:style w:type="character" w:customStyle="1" w:styleId="FootnoteTextChar">
    <w:name w:val="Footnote Text Char"/>
    <w:basedOn w:val="DefaultParagraphFont"/>
    <w:link w:val="FootnoteText"/>
    <w:uiPriority w:val="99"/>
    <w:rsid w:val="00051022"/>
    <w:rPr>
      <w:sz w:val="20"/>
      <w:szCs w:val="20"/>
    </w:rPr>
  </w:style>
  <w:style w:type="character" w:styleId="FootnoteReference">
    <w:name w:val="footnote reference"/>
    <w:basedOn w:val="DefaultParagraphFont"/>
    <w:uiPriority w:val="99"/>
    <w:semiHidden/>
    <w:unhideWhenUsed/>
    <w:rsid w:val="00051022"/>
    <w:rPr>
      <w:vertAlign w:val="superscript"/>
    </w:rPr>
  </w:style>
  <w:style w:type="character" w:styleId="EndnoteReference">
    <w:name w:val="endnote reference"/>
    <w:basedOn w:val="DefaultParagraphFont"/>
    <w:uiPriority w:val="99"/>
    <w:semiHidden/>
    <w:unhideWhenUsed/>
    <w:rsid w:val="00090882"/>
    <w:rPr>
      <w:vertAlign w:val="superscript"/>
    </w:rPr>
  </w:style>
  <w:style w:type="paragraph" w:styleId="Bibliography">
    <w:name w:val="Bibliography"/>
    <w:basedOn w:val="Normal"/>
    <w:next w:val="Normal"/>
    <w:uiPriority w:val="37"/>
    <w:unhideWhenUsed/>
    <w:rsid w:val="00EB2824"/>
    <w:pPr>
      <w:spacing w:after="0" w:line="240" w:lineRule="auto"/>
      <w:ind w:left="720" w:hanging="720"/>
    </w:pPr>
  </w:style>
  <w:style w:type="character" w:styleId="Hyperlink">
    <w:name w:val="Hyperlink"/>
    <w:basedOn w:val="DefaultParagraphFont"/>
    <w:uiPriority w:val="99"/>
    <w:unhideWhenUsed/>
    <w:rsid w:val="0047404C"/>
    <w:rPr>
      <w:color w:val="0563C1" w:themeColor="hyperlink"/>
      <w:u w:val="single"/>
    </w:rPr>
  </w:style>
  <w:style w:type="character" w:styleId="UnresolvedMention">
    <w:name w:val="Unresolved Mention"/>
    <w:basedOn w:val="DefaultParagraphFont"/>
    <w:uiPriority w:val="99"/>
    <w:semiHidden/>
    <w:unhideWhenUsed/>
    <w:rsid w:val="0047404C"/>
    <w:rPr>
      <w:color w:val="605E5C"/>
      <w:shd w:val="clear" w:color="auto" w:fill="E1DFDD"/>
    </w:rPr>
  </w:style>
  <w:style w:type="paragraph" w:styleId="Revision">
    <w:name w:val="Revision"/>
    <w:hidden/>
    <w:uiPriority w:val="99"/>
    <w:semiHidden/>
    <w:rsid w:val="00AB3E6B"/>
    <w:pPr>
      <w:spacing w:after="0" w:line="240" w:lineRule="auto"/>
      <w:jc w:val="left"/>
    </w:pPr>
    <w:rPr>
      <w:sz w:val="24"/>
    </w:rPr>
  </w:style>
  <w:style w:type="paragraph" w:styleId="NormalWeb">
    <w:name w:val="Normal (Web)"/>
    <w:basedOn w:val="Normal"/>
    <w:uiPriority w:val="99"/>
    <w:semiHidden/>
    <w:unhideWhenUsed/>
    <w:rsid w:val="00B96F8F"/>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PlaceholderText">
    <w:name w:val="Placeholder Text"/>
    <w:basedOn w:val="DefaultParagraphFont"/>
    <w:uiPriority w:val="99"/>
    <w:semiHidden/>
    <w:rsid w:val="008E138C"/>
    <w:rPr>
      <w:color w:val="808080"/>
    </w:rPr>
  </w:style>
  <w:style w:type="paragraph" w:styleId="TOC1">
    <w:name w:val="toc 1"/>
    <w:basedOn w:val="Normal"/>
    <w:next w:val="Normal"/>
    <w:autoRedefine/>
    <w:uiPriority w:val="39"/>
    <w:unhideWhenUsed/>
    <w:rsid w:val="007F49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683">
      <w:bodyDiv w:val="1"/>
      <w:marLeft w:val="0"/>
      <w:marRight w:val="0"/>
      <w:marTop w:val="0"/>
      <w:marBottom w:val="0"/>
      <w:divBdr>
        <w:top w:val="none" w:sz="0" w:space="0" w:color="auto"/>
        <w:left w:val="none" w:sz="0" w:space="0" w:color="auto"/>
        <w:bottom w:val="none" w:sz="0" w:space="0" w:color="auto"/>
        <w:right w:val="none" w:sz="0" w:space="0" w:color="auto"/>
      </w:divBdr>
    </w:div>
    <w:div w:id="7954355">
      <w:bodyDiv w:val="1"/>
      <w:marLeft w:val="0"/>
      <w:marRight w:val="0"/>
      <w:marTop w:val="0"/>
      <w:marBottom w:val="0"/>
      <w:divBdr>
        <w:top w:val="none" w:sz="0" w:space="0" w:color="auto"/>
        <w:left w:val="none" w:sz="0" w:space="0" w:color="auto"/>
        <w:bottom w:val="none" w:sz="0" w:space="0" w:color="auto"/>
        <w:right w:val="none" w:sz="0" w:space="0" w:color="auto"/>
      </w:divBdr>
    </w:div>
    <w:div w:id="18549668">
      <w:bodyDiv w:val="1"/>
      <w:marLeft w:val="0"/>
      <w:marRight w:val="0"/>
      <w:marTop w:val="0"/>
      <w:marBottom w:val="0"/>
      <w:divBdr>
        <w:top w:val="none" w:sz="0" w:space="0" w:color="auto"/>
        <w:left w:val="none" w:sz="0" w:space="0" w:color="auto"/>
        <w:bottom w:val="none" w:sz="0" w:space="0" w:color="auto"/>
        <w:right w:val="none" w:sz="0" w:space="0" w:color="auto"/>
      </w:divBdr>
    </w:div>
    <w:div w:id="41904122">
      <w:bodyDiv w:val="1"/>
      <w:marLeft w:val="0"/>
      <w:marRight w:val="0"/>
      <w:marTop w:val="0"/>
      <w:marBottom w:val="0"/>
      <w:divBdr>
        <w:top w:val="none" w:sz="0" w:space="0" w:color="auto"/>
        <w:left w:val="none" w:sz="0" w:space="0" w:color="auto"/>
        <w:bottom w:val="none" w:sz="0" w:space="0" w:color="auto"/>
        <w:right w:val="none" w:sz="0" w:space="0" w:color="auto"/>
      </w:divBdr>
    </w:div>
    <w:div w:id="47652127">
      <w:bodyDiv w:val="1"/>
      <w:marLeft w:val="0"/>
      <w:marRight w:val="0"/>
      <w:marTop w:val="0"/>
      <w:marBottom w:val="0"/>
      <w:divBdr>
        <w:top w:val="none" w:sz="0" w:space="0" w:color="auto"/>
        <w:left w:val="none" w:sz="0" w:space="0" w:color="auto"/>
        <w:bottom w:val="none" w:sz="0" w:space="0" w:color="auto"/>
        <w:right w:val="none" w:sz="0" w:space="0" w:color="auto"/>
      </w:divBdr>
    </w:div>
    <w:div w:id="50737645">
      <w:bodyDiv w:val="1"/>
      <w:marLeft w:val="0"/>
      <w:marRight w:val="0"/>
      <w:marTop w:val="0"/>
      <w:marBottom w:val="0"/>
      <w:divBdr>
        <w:top w:val="none" w:sz="0" w:space="0" w:color="auto"/>
        <w:left w:val="none" w:sz="0" w:space="0" w:color="auto"/>
        <w:bottom w:val="none" w:sz="0" w:space="0" w:color="auto"/>
        <w:right w:val="none" w:sz="0" w:space="0" w:color="auto"/>
      </w:divBdr>
    </w:div>
    <w:div w:id="65762982">
      <w:bodyDiv w:val="1"/>
      <w:marLeft w:val="0"/>
      <w:marRight w:val="0"/>
      <w:marTop w:val="0"/>
      <w:marBottom w:val="0"/>
      <w:divBdr>
        <w:top w:val="none" w:sz="0" w:space="0" w:color="auto"/>
        <w:left w:val="none" w:sz="0" w:space="0" w:color="auto"/>
        <w:bottom w:val="none" w:sz="0" w:space="0" w:color="auto"/>
        <w:right w:val="none" w:sz="0" w:space="0" w:color="auto"/>
      </w:divBdr>
    </w:div>
    <w:div w:id="67308128">
      <w:bodyDiv w:val="1"/>
      <w:marLeft w:val="0"/>
      <w:marRight w:val="0"/>
      <w:marTop w:val="0"/>
      <w:marBottom w:val="0"/>
      <w:divBdr>
        <w:top w:val="none" w:sz="0" w:space="0" w:color="auto"/>
        <w:left w:val="none" w:sz="0" w:space="0" w:color="auto"/>
        <w:bottom w:val="none" w:sz="0" w:space="0" w:color="auto"/>
        <w:right w:val="none" w:sz="0" w:space="0" w:color="auto"/>
      </w:divBdr>
    </w:div>
    <w:div w:id="120535504">
      <w:bodyDiv w:val="1"/>
      <w:marLeft w:val="0"/>
      <w:marRight w:val="0"/>
      <w:marTop w:val="0"/>
      <w:marBottom w:val="0"/>
      <w:divBdr>
        <w:top w:val="none" w:sz="0" w:space="0" w:color="auto"/>
        <w:left w:val="none" w:sz="0" w:space="0" w:color="auto"/>
        <w:bottom w:val="none" w:sz="0" w:space="0" w:color="auto"/>
        <w:right w:val="none" w:sz="0" w:space="0" w:color="auto"/>
      </w:divBdr>
    </w:div>
    <w:div w:id="126120666">
      <w:bodyDiv w:val="1"/>
      <w:marLeft w:val="0"/>
      <w:marRight w:val="0"/>
      <w:marTop w:val="0"/>
      <w:marBottom w:val="0"/>
      <w:divBdr>
        <w:top w:val="none" w:sz="0" w:space="0" w:color="auto"/>
        <w:left w:val="none" w:sz="0" w:space="0" w:color="auto"/>
        <w:bottom w:val="none" w:sz="0" w:space="0" w:color="auto"/>
        <w:right w:val="none" w:sz="0" w:space="0" w:color="auto"/>
      </w:divBdr>
    </w:div>
    <w:div w:id="135343907">
      <w:bodyDiv w:val="1"/>
      <w:marLeft w:val="0"/>
      <w:marRight w:val="0"/>
      <w:marTop w:val="0"/>
      <w:marBottom w:val="0"/>
      <w:divBdr>
        <w:top w:val="none" w:sz="0" w:space="0" w:color="auto"/>
        <w:left w:val="none" w:sz="0" w:space="0" w:color="auto"/>
        <w:bottom w:val="none" w:sz="0" w:space="0" w:color="auto"/>
        <w:right w:val="none" w:sz="0" w:space="0" w:color="auto"/>
      </w:divBdr>
    </w:div>
    <w:div w:id="150610252">
      <w:bodyDiv w:val="1"/>
      <w:marLeft w:val="0"/>
      <w:marRight w:val="0"/>
      <w:marTop w:val="0"/>
      <w:marBottom w:val="0"/>
      <w:divBdr>
        <w:top w:val="none" w:sz="0" w:space="0" w:color="auto"/>
        <w:left w:val="none" w:sz="0" w:space="0" w:color="auto"/>
        <w:bottom w:val="none" w:sz="0" w:space="0" w:color="auto"/>
        <w:right w:val="none" w:sz="0" w:space="0" w:color="auto"/>
      </w:divBdr>
      <w:divsChild>
        <w:div w:id="1991983692">
          <w:marLeft w:val="-225"/>
          <w:marRight w:val="-225"/>
          <w:marTop w:val="0"/>
          <w:marBottom w:val="0"/>
          <w:divBdr>
            <w:top w:val="none" w:sz="0" w:space="0" w:color="auto"/>
            <w:left w:val="none" w:sz="0" w:space="0" w:color="auto"/>
            <w:bottom w:val="none" w:sz="0" w:space="0" w:color="auto"/>
            <w:right w:val="none" w:sz="0" w:space="0" w:color="auto"/>
          </w:divBdr>
          <w:divsChild>
            <w:div w:id="6473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315">
      <w:bodyDiv w:val="1"/>
      <w:marLeft w:val="0"/>
      <w:marRight w:val="0"/>
      <w:marTop w:val="0"/>
      <w:marBottom w:val="0"/>
      <w:divBdr>
        <w:top w:val="none" w:sz="0" w:space="0" w:color="auto"/>
        <w:left w:val="none" w:sz="0" w:space="0" w:color="auto"/>
        <w:bottom w:val="none" w:sz="0" w:space="0" w:color="auto"/>
        <w:right w:val="none" w:sz="0" w:space="0" w:color="auto"/>
      </w:divBdr>
    </w:div>
    <w:div w:id="213851350">
      <w:bodyDiv w:val="1"/>
      <w:marLeft w:val="0"/>
      <w:marRight w:val="0"/>
      <w:marTop w:val="0"/>
      <w:marBottom w:val="0"/>
      <w:divBdr>
        <w:top w:val="none" w:sz="0" w:space="0" w:color="auto"/>
        <w:left w:val="none" w:sz="0" w:space="0" w:color="auto"/>
        <w:bottom w:val="none" w:sz="0" w:space="0" w:color="auto"/>
        <w:right w:val="none" w:sz="0" w:space="0" w:color="auto"/>
      </w:divBdr>
    </w:div>
    <w:div w:id="242766362">
      <w:bodyDiv w:val="1"/>
      <w:marLeft w:val="0"/>
      <w:marRight w:val="0"/>
      <w:marTop w:val="0"/>
      <w:marBottom w:val="0"/>
      <w:divBdr>
        <w:top w:val="none" w:sz="0" w:space="0" w:color="auto"/>
        <w:left w:val="none" w:sz="0" w:space="0" w:color="auto"/>
        <w:bottom w:val="none" w:sz="0" w:space="0" w:color="auto"/>
        <w:right w:val="none" w:sz="0" w:space="0" w:color="auto"/>
      </w:divBdr>
    </w:div>
    <w:div w:id="264004795">
      <w:bodyDiv w:val="1"/>
      <w:marLeft w:val="0"/>
      <w:marRight w:val="0"/>
      <w:marTop w:val="0"/>
      <w:marBottom w:val="0"/>
      <w:divBdr>
        <w:top w:val="none" w:sz="0" w:space="0" w:color="auto"/>
        <w:left w:val="none" w:sz="0" w:space="0" w:color="auto"/>
        <w:bottom w:val="none" w:sz="0" w:space="0" w:color="auto"/>
        <w:right w:val="none" w:sz="0" w:space="0" w:color="auto"/>
      </w:divBdr>
    </w:div>
    <w:div w:id="282660801">
      <w:bodyDiv w:val="1"/>
      <w:marLeft w:val="0"/>
      <w:marRight w:val="0"/>
      <w:marTop w:val="0"/>
      <w:marBottom w:val="0"/>
      <w:divBdr>
        <w:top w:val="none" w:sz="0" w:space="0" w:color="auto"/>
        <w:left w:val="none" w:sz="0" w:space="0" w:color="auto"/>
        <w:bottom w:val="none" w:sz="0" w:space="0" w:color="auto"/>
        <w:right w:val="none" w:sz="0" w:space="0" w:color="auto"/>
      </w:divBdr>
    </w:div>
    <w:div w:id="300502819">
      <w:bodyDiv w:val="1"/>
      <w:marLeft w:val="0"/>
      <w:marRight w:val="0"/>
      <w:marTop w:val="0"/>
      <w:marBottom w:val="0"/>
      <w:divBdr>
        <w:top w:val="none" w:sz="0" w:space="0" w:color="auto"/>
        <w:left w:val="none" w:sz="0" w:space="0" w:color="auto"/>
        <w:bottom w:val="none" w:sz="0" w:space="0" w:color="auto"/>
        <w:right w:val="none" w:sz="0" w:space="0" w:color="auto"/>
      </w:divBdr>
    </w:div>
    <w:div w:id="301815490">
      <w:bodyDiv w:val="1"/>
      <w:marLeft w:val="0"/>
      <w:marRight w:val="0"/>
      <w:marTop w:val="0"/>
      <w:marBottom w:val="0"/>
      <w:divBdr>
        <w:top w:val="none" w:sz="0" w:space="0" w:color="auto"/>
        <w:left w:val="none" w:sz="0" w:space="0" w:color="auto"/>
        <w:bottom w:val="none" w:sz="0" w:space="0" w:color="auto"/>
        <w:right w:val="none" w:sz="0" w:space="0" w:color="auto"/>
      </w:divBdr>
    </w:div>
    <w:div w:id="324631352">
      <w:bodyDiv w:val="1"/>
      <w:marLeft w:val="0"/>
      <w:marRight w:val="0"/>
      <w:marTop w:val="0"/>
      <w:marBottom w:val="0"/>
      <w:divBdr>
        <w:top w:val="none" w:sz="0" w:space="0" w:color="auto"/>
        <w:left w:val="none" w:sz="0" w:space="0" w:color="auto"/>
        <w:bottom w:val="none" w:sz="0" w:space="0" w:color="auto"/>
        <w:right w:val="none" w:sz="0" w:space="0" w:color="auto"/>
      </w:divBdr>
    </w:div>
    <w:div w:id="329258166">
      <w:bodyDiv w:val="1"/>
      <w:marLeft w:val="0"/>
      <w:marRight w:val="0"/>
      <w:marTop w:val="0"/>
      <w:marBottom w:val="0"/>
      <w:divBdr>
        <w:top w:val="none" w:sz="0" w:space="0" w:color="auto"/>
        <w:left w:val="none" w:sz="0" w:space="0" w:color="auto"/>
        <w:bottom w:val="none" w:sz="0" w:space="0" w:color="auto"/>
        <w:right w:val="none" w:sz="0" w:space="0" w:color="auto"/>
      </w:divBdr>
    </w:div>
    <w:div w:id="339360859">
      <w:bodyDiv w:val="1"/>
      <w:marLeft w:val="0"/>
      <w:marRight w:val="0"/>
      <w:marTop w:val="0"/>
      <w:marBottom w:val="0"/>
      <w:divBdr>
        <w:top w:val="none" w:sz="0" w:space="0" w:color="auto"/>
        <w:left w:val="none" w:sz="0" w:space="0" w:color="auto"/>
        <w:bottom w:val="none" w:sz="0" w:space="0" w:color="auto"/>
        <w:right w:val="none" w:sz="0" w:space="0" w:color="auto"/>
      </w:divBdr>
    </w:div>
    <w:div w:id="345717631">
      <w:bodyDiv w:val="1"/>
      <w:marLeft w:val="0"/>
      <w:marRight w:val="0"/>
      <w:marTop w:val="0"/>
      <w:marBottom w:val="0"/>
      <w:divBdr>
        <w:top w:val="none" w:sz="0" w:space="0" w:color="auto"/>
        <w:left w:val="none" w:sz="0" w:space="0" w:color="auto"/>
        <w:bottom w:val="none" w:sz="0" w:space="0" w:color="auto"/>
        <w:right w:val="none" w:sz="0" w:space="0" w:color="auto"/>
      </w:divBdr>
    </w:div>
    <w:div w:id="360518897">
      <w:bodyDiv w:val="1"/>
      <w:marLeft w:val="0"/>
      <w:marRight w:val="0"/>
      <w:marTop w:val="0"/>
      <w:marBottom w:val="0"/>
      <w:divBdr>
        <w:top w:val="none" w:sz="0" w:space="0" w:color="auto"/>
        <w:left w:val="none" w:sz="0" w:space="0" w:color="auto"/>
        <w:bottom w:val="none" w:sz="0" w:space="0" w:color="auto"/>
        <w:right w:val="none" w:sz="0" w:space="0" w:color="auto"/>
      </w:divBdr>
    </w:div>
    <w:div w:id="363557511">
      <w:bodyDiv w:val="1"/>
      <w:marLeft w:val="0"/>
      <w:marRight w:val="0"/>
      <w:marTop w:val="0"/>
      <w:marBottom w:val="0"/>
      <w:divBdr>
        <w:top w:val="none" w:sz="0" w:space="0" w:color="auto"/>
        <w:left w:val="none" w:sz="0" w:space="0" w:color="auto"/>
        <w:bottom w:val="none" w:sz="0" w:space="0" w:color="auto"/>
        <w:right w:val="none" w:sz="0" w:space="0" w:color="auto"/>
      </w:divBdr>
    </w:div>
    <w:div w:id="377625903">
      <w:bodyDiv w:val="1"/>
      <w:marLeft w:val="0"/>
      <w:marRight w:val="0"/>
      <w:marTop w:val="0"/>
      <w:marBottom w:val="0"/>
      <w:divBdr>
        <w:top w:val="none" w:sz="0" w:space="0" w:color="auto"/>
        <w:left w:val="none" w:sz="0" w:space="0" w:color="auto"/>
        <w:bottom w:val="none" w:sz="0" w:space="0" w:color="auto"/>
        <w:right w:val="none" w:sz="0" w:space="0" w:color="auto"/>
      </w:divBdr>
    </w:div>
    <w:div w:id="380911320">
      <w:bodyDiv w:val="1"/>
      <w:marLeft w:val="0"/>
      <w:marRight w:val="0"/>
      <w:marTop w:val="0"/>
      <w:marBottom w:val="0"/>
      <w:divBdr>
        <w:top w:val="none" w:sz="0" w:space="0" w:color="auto"/>
        <w:left w:val="none" w:sz="0" w:space="0" w:color="auto"/>
        <w:bottom w:val="none" w:sz="0" w:space="0" w:color="auto"/>
        <w:right w:val="none" w:sz="0" w:space="0" w:color="auto"/>
      </w:divBdr>
    </w:div>
    <w:div w:id="384254579">
      <w:bodyDiv w:val="1"/>
      <w:marLeft w:val="0"/>
      <w:marRight w:val="0"/>
      <w:marTop w:val="0"/>
      <w:marBottom w:val="0"/>
      <w:divBdr>
        <w:top w:val="none" w:sz="0" w:space="0" w:color="auto"/>
        <w:left w:val="none" w:sz="0" w:space="0" w:color="auto"/>
        <w:bottom w:val="none" w:sz="0" w:space="0" w:color="auto"/>
        <w:right w:val="none" w:sz="0" w:space="0" w:color="auto"/>
      </w:divBdr>
    </w:div>
    <w:div w:id="410737878">
      <w:bodyDiv w:val="1"/>
      <w:marLeft w:val="0"/>
      <w:marRight w:val="0"/>
      <w:marTop w:val="0"/>
      <w:marBottom w:val="0"/>
      <w:divBdr>
        <w:top w:val="none" w:sz="0" w:space="0" w:color="auto"/>
        <w:left w:val="none" w:sz="0" w:space="0" w:color="auto"/>
        <w:bottom w:val="none" w:sz="0" w:space="0" w:color="auto"/>
        <w:right w:val="none" w:sz="0" w:space="0" w:color="auto"/>
      </w:divBdr>
    </w:div>
    <w:div w:id="435832556">
      <w:bodyDiv w:val="1"/>
      <w:marLeft w:val="0"/>
      <w:marRight w:val="0"/>
      <w:marTop w:val="0"/>
      <w:marBottom w:val="0"/>
      <w:divBdr>
        <w:top w:val="none" w:sz="0" w:space="0" w:color="auto"/>
        <w:left w:val="none" w:sz="0" w:space="0" w:color="auto"/>
        <w:bottom w:val="none" w:sz="0" w:space="0" w:color="auto"/>
        <w:right w:val="none" w:sz="0" w:space="0" w:color="auto"/>
      </w:divBdr>
    </w:div>
    <w:div w:id="475729546">
      <w:bodyDiv w:val="1"/>
      <w:marLeft w:val="0"/>
      <w:marRight w:val="0"/>
      <w:marTop w:val="0"/>
      <w:marBottom w:val="0"/>
      <w:divBdr>
        <w:top w:val="none" w:sz="0" w:space="0" w:color="auto"/>
        <w:left w:val="none" w:sz="0" w:space="0" w:color="auto"/>
        <w:bottom w:val="none" w:sz="0" w:space="0" w:color="auto"/>
        <w:right w:val="none" w:sz="0" w:space="0" w:color="auto"/>
      </w:divBdr>
    </w:div>
    <w:div w:id="513879092">
      <w:bodyDiv w:val="1"/>
      <w:marLeft w:val="0"/>
      <w:marRight w:val="0"/>
      <w:marTop w:val="0"/>
      <w:marBottom w:val="0"/>
      <w:divBdr>
        <w:top w:val="none" w:sz="0" w:space="0" w:color="auto"/>
        <w:left w:val="none" w:sz="0" w:space="0" w:color="auto"/>
        <w:bottom w:val="none" w:sz="0" w:space="0" w:color="auto"/>
        <w:right w:val="none" w:sz="0" w:space="0" w:color="auto"/>
      </w:divBdr>
    </w:div>
    <w:div w:id="522018162">
      <w:bodyDiv w:val="1"/>
      <w:marLeft w:val="0"/>
      <w:marRight w:val="0"/>
      <w:marTop w:val="0"/>
      <w:marBottom w:val="0"/>
      <w:divBdr>
        <w:top w:val="none" w:sz="0" w:space="0" w:color="auto"/>
        <w:left w:val="none" w:sz="0" w:space="0" w:color="auto"/>
        <w:bottom w:val="none" w:sz="0" w:space="0" w:color="auto"/>
        <w:right w:val="none" w:sz="0" w:space="0" w:color="auto"/>
      </w:divBdr>
    </w:div>
    <w:div w:id="533930833">
      <w:bodyDiv w:val="1"/>
      <w:marLeft w:val="0"/>
      <w:marRight w:val="0"/>
      <w:marTop w:val="0"/>
      <w:marBottom w:val="0"/>
      <w:divBdr>
        <w:top w:val="none" w:sz="0" w:space="0" w:color="auto"/>
        <w:left w:val="none" w:sz="0" w:space="0" w:color="auto"/>
        <w:bottom w:val="none" w:sz="0" w:space="0" w:color="auto"/>
        <w:right w:val="none" w:sz="0" w:space="0" w:color="auto"/>
      </w:divBdr>
    </w:div>
    <w:div w:id="556362998">
      <w:bodyDiv w:val="1"/>
      <w:marLeft w:val="0"/>
      <w:marRight w:val="0"/>
      <w:marTop w:val="0"/>
      <w:marBottom w:val="0"/>
      <w:divBdr>
        <w:top w:val="none" w:sz="0" w:space="0" w:color="auto"/>
        <w:left w:val="none" w:sz="0" w:space="0" w:color="auto"/>
        <w:bottom w:val="none" w:sz="0" w:space="0" w:color="auto"/>
        <w:right w:val="none" w:sz="0" w:space="0" w:color="auto"/>
      </w:divBdr>
    </w:div>
    <w:div w:id="595134518">
      <w:bodyDiv w:val="1"/>
      <w:marLeft w:val="0"/>
      <w:marRight w:val="0"/>
      <w:marTop w:val="0"/>
      <w:marBottom w:val="0"/>
      <w:divBdr>
        <w:top w:val="none" w:sz="0" w:space="0" w:color="auto"/>
        <w:left w:val="none" w:sz="0" w:space="0" w:color="auto"/>
        <w:bottom w:val="none" w:sz="0" w:space="0" w:color="auto"/>
        <w:right w:val="none" w:sz="0" w:space="0" w:color="auto"/>
      </w:divBdr>
    </w:div>
    <w:div w:id="615913212">
      <w:bodyDiv w:val="1"/>
      <w:marLeft w:val="0"/>
      <w:marRight w:val="0"/>
      <w:marTop w:val="0"/>
      <w:marBottom w:val="0"/>
      <w:divBdr>
        <w:top w:val="none" w:sz="0" w:space="0" w:color="auto"/>
        <w:left w:val="none" w:sz="0" w:space="0" w:color="auto"/>
        <w:bottom w:val="none" w:sz="0" w:space="0" w:color="auto"/>
        <w:right w:val="none" w:sz="0" w:space="0" w:color="auto"/>
      </w:divBdr>
    </w:div>
    <w:div w:id="617642281">
      <w:bodyDiv w:val="1"/>
      <w:marLeft w:val="0"/>
      <w:marRight w:val="0"/>
      <w:marTop w:val="0"/>
      <w:marBottom w:val="0"/>
      <w:divBdr>
        <w:top w:val="none" w:sz="0" w:space="0" w:color="auto"/>
        <w:left w:val="none" w:sz="0" w:space="0" w:color="auto"/>
        <w:bottom w:val="none" w:sz="0" w:space="0" w:color="auto"/>
        <w:right w:val="none" w:sz="0" w:space="0" w:color="auto"/>
      </w:divBdr>
    </w:div>
    <w:div w:id="632835016">
      <w:bodyDiv w:val="1"/>
      <w:marLeft w:val="0"/>
      <w:marRight w:val="0"/>
      <w:marTop w:val="0"/>
      <w:marBottom w:val="0"/>
      <w:divBdr>
        <w:top w:val="none" w:sz="0" w:space="0" w:color="auto"/>
        <w:left w:val="none" w:sz="0" w:space="0" w:color="auto"/>
        <w:bottom w:val="none" w:sz="0" w:space="0" w:color="auto"/>
        <w:right w:val="none" w:sz="0" w:space="0" w:color="auto"/>
      </w:divBdr>
    </w:div>
    <w:div w:id="653798780">
      <w:bodyDiv w:val="1"/>
      <w:marLeft w:val="0"/>
      <w:marRight w:val="0"/>
      <w:marTop w:val="0"/>
      <w:marBottom w:val="0"/>
      <w:divBdr>
        <w:top w:val="none" w:sz="0" w:space="0" w:color="auto"/>
        <w:left w:val="none" w:sz="0" w:space="0" w:color="auto"/>
        <w:bottom w:val="none" w:sz="0" w:space="0" w:color="auto"/>
        <w:right w:val="none" w:sz="0" w:space="0" w:color="auto"/>
      </w:divBdr>
    </w:div>
    <w:div w:id="667640390">
      <w:bodyDiv w:val="1"/>
      <w:marLeft w:val="0"/>
      <w:marRight w:val="0"/>
      <w:marTop w:val="0"/>
      <w:marBottom w:val="0"/>
      <w:divBdr>
        <w:top w:val="none" w:sz="0" w:space="0" w:color="auto"/>
        <w:left w:val="none" w:sz="0" w:space="0" w:color="auto"/>
        <w:bottom w:val="none" w:sz="0" w:space="0" w:color="auto"/>
        <w:right w:val="none" w:sz="0" w:space="0" w:color="auto"/>
      </w:divBdr>
    </w:div>
    <w:div w:id="694505273">
      <w:bodyDiv w:val="1"/>
      <w:marLeft w:val="0"/>
      <w:marRight w:val="0"/>
      <w:marTop w:val="0"/>
      <w:marBottom w:val="0"/>
      <w:divBdr>
        <w:top w:val="none" w:sz="0" w:space="0" w:color="auto"/>
        <w:left w:val="none" w:sz="0" w:space="0" w:color="auto"/>
        <w:bottom w:val="none" w:sz="0" w:space="0" w:color="auto"/>
        <w:right w:val="none" w:sz="0" w:space="0" w:color="auto"/>
      </w:divBdr>
    </w:div>
    <w:div w:id="700666719">
      <w:bodyDiv w:val="1"/>
      <w:marLeft w:val="0"/>
      <w:marRight w:val="0"/>
      <w:marTop w:val="0"/>
      <w:marBottom w:val="0"/>
      <w:divBdr>
        <w:top w:val="none" w:sz="0" w:space="0" w:color="auto"/>
        <w:left w:val="none" w:sz="0" w:space="0" w:color="auto"/>
        <w:bottom w:val="none" w:sz="0" w:space="0" w:color="auto"/>
        <w:right w:val="none" w:sz="0" w:space="0" w:color="auto"/>
      </w:divBdr>
    </w:div>
    <w:div w:id="745567725">
      <w:bodyDiv w:val="1"/>
      <w:marLeft w:val="0"/>
      <w:marRight w:val="0"/>
      <w:marTop w:val="0"/>
      <w:marBottom w:val="0"/>
      <w:divBdr>
        <w:top w:val="none" w:sz="0" w:space="0" w:color="auto"/>
        <w:left w:val="none" w:sz="0" w:space="0" w:color="auto"/>
        <w:bottom w:val="none" w:sz="0" w:space="0" w:color="auto"/>
        <w:right w:val="none" w:sz="0" w:space="0" w:color="auto"/>
      </w:divBdr>
    </w:div>
    <w:div w:id="752360575">
      <w:bodyDiv w:val="1"/>
      <w:marLeft w:val="0"/>
      <w:marRight w:val="0"/>
      <w:marTop w:val="0"/>
      <w:marBottom w:val="0"/>
      <w:divBdr>
        <w:top w:val="none" w:sz="0" w:space="0" w:color="auto"/>
        <w:left w:val="none" w:sz="0" w:space="0" w:color="auto"/>
        <w:bottom w:val="none" w:sz="0" w:space="0" w:color="auto"/>
        <w:right w:val="none" w:sz="0" w:space="0" w:color="auto"/>
      </w:divBdr>
    </w:div>
    <w:div w:id="776632109">
      <w:bodyDiv w:val="1"/>
      <w:marLeft w:val="0"/>
      <w:marRight w:val="0"/>
      <w:marTop w:val="0"/>
      <w:marBottom w:val="0"/>
      <w:divBdr>
        <w:top w:val="none" w:sz="0" w:space="0" w:color="auto"/>
        <w:left w:val="none" w:sz="0" w:space="0" w:color="auto"/>
        <w:bottom w:val="none" w:sz="0" w:space="0" w:color="auto"/>
        <w:right w:val="none" w:sz="0" w:space="0" w:color="auto"/>
      </w:divBdr>
    </w:div>
    <w:div w:id="803039709">
      <w:bodyDiv w:val="1"/>
      <w:marLeft w:val="0"/>
      <w:marRight w:val="0"/>
      <w:marTop w:val="0"/>
      <w:marBottom w:val="0"/>
      <w:divBdr>
        <w:top w:val="none" w:sz="0" w:space="0" w:color="auto"/>
        <w:left w:val="none" w:sz="0" w:space="0" w:color="auto"/>
        <w:bottom w:val="none" w:sz="0" w:space="0" w:color="auto"/>
        <w:right w:val="none" w:sz="0" w:space="0" w:color="auto"/>
      </w:divBdr>
    </w:div>
    <w:div w:id="868949835">
      <w:bodyDiv w:val="1"/>
      <w:marLeft w:val="0"/>
      <w:marRight w:val="0"/>
      <w:marTop w:val="0"/>
      <w:marBottom w:val="0"/>
      <w:divBdr>
        <w:top w:val="none" w:sz="0" w:space="0" w:color="auto"/>
        <w:left w:val="none" w:sz="0" w:space="0" w:color="auto"/>
        <w:bottom w:val="none" w:sz="0" w:space="0" w:color="auto"/>
        <w:right w:val="none" w:sz="0" w:space="0" w:color="auto"/>
      </w:divBdr>
    </w:div>
    <w:div w:id="886717594">
      <w:bodyDiv w:val="1"/>
      <w:marLeft w:val="0"/>
      <w:marRight w:val="0"/>
      <w:marTop w:val="0"/>
      <w:marBottom w:val="0"/>
      <w:divBdr>
        <w:top w:val="none" w:sz="0" w:space="0" w:color="auto"/>
        <w:left w:val="none" w:sz="0" w:space="0" w:color="auto"/>
        <w:bottom w:val="none" w:sz="0" w:space="0" w:color="auto"/>
        <w:right w:val="none" w:sz="0" w:space="0" w:color="auto"/>
      </w:divBdr>
    </w:div>
    <w:div w:id="936599631">
      <w:bodyDiv w:val="1"/>
      <w:marLeft w:val="0"/>
      <w:marRight w:val="0"/>
      <w:marTop w:val="0"/>
      <w:marBottom w:val="0"/>
      <w:divBdr>
        <w:top w:val="none" w:sz="0" w:space="0" w:color="auto"/>
        <w:left w:val="none" w:sz="0" w:space="0" w:color="auto"/>
        <w:bottom w:val="none" w:sz="0" w:space="0" w:color="auto"/>
        <w:right w:val="none" w:sz="0" w:space="0" w:color="auto"/>
      </w:divBdr>
    </w:div>
    <w:div w:id="947548054">
      <w:bodyDiv w:val="1"/>
      <w:marLeft w:val="0"/>
      <w:marRight w:val="0"/>
      <w:marTop w:val="0"/>
      <w:marBottom w:val="0"/>
      <w:divBdr>
        <w:top w:val="none" w:sz="0" w:space="0" w:color="auto"/>
        <w:left w:val="none" w:sz="0" w:space="0" w:color="auto"/>
        <w:bottom w:val="none" w:sz="0" w:space="0" w:color="auto"/>
        <w:right w:val="none" w:sz="0" w:space="0" w:color="auto"/>
      </w:divBdr>
    </w:div>
    <w:div w:id="953750162">
      <w:bodyDiv w:val="1"/>
      <w:marLeft w:val="0"/>
      <w:marRight w:val="0"/>
      <w:marTop w:val="0"/>
      <w:marBottom w:val="0"/>
      <w:divBdr>
        <w:top w:val="none" w:sz="0" w:space="0" w:color="auto"/>
        <w:left w:val="none" w:sz="0" w:space="0" w:color="auto"/>
        <w:bottom w:val="none" w:sz="0" w:space="0" w:color="auto"/>
        <w:right w:val="none" w:sz="0" w:space="0" w:color="auto"/>
      </w:divBdr>
      <w:divsChild>
        <w:div w:id="1855462787">
          <w:marLeft w:val="480"/>
          <w:marRight w:val="0"/>
          <w:marTop w:val="0"/>
          <w:marBottom w:val="0"/>
          <w:divBdr>
            <w:top w:val="none" w:sz="0" w:space="0" w:color="auto"/>
            <w:left w:val="none" w:sz="0" w:space="0" w:color="auto"/>
            <w:bottom w:val="none" w:sz="0" w:space="0" w:color="auto"/>
            <w:right w:val="none" w:sz="0" w:space="0" w:color="auto"/>
          </w:divBdr>
          <w:divsChild>
            <w:div w:id="4827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47458">
      <w:bodyDiv w:val="1"/>
      <w:marLeft w:val="0"/>
      <w:marRight w:val="0"/>
      <w:marTop w:val="0"/>
      <w:marBottom w:val="0"/>
      <w:divBdr>
        <w:top w:val="none" w:sz="0" w:space="0" w:color="auto"/>
        <w:left w:val="none" w:sz="0" w:space="0" w:color="auto"/>
        <w:bottom w:val="none" w:sz="0" w:space="0" w:color="auto"/>
        <w:right w:val="none" w:sz="0" w:space="0" w:color="auto"/>
      </w:divBdr>
    </w:div>
    <w:div w:id="1092706259">
      <w:bodyDiv w:val="1"/>
      <w:marLeft w:val="0"/>
      <w:marRight w:val="0"/>
      <w:marTop w:val="0"/>
      <w:marBottom w:val="0"/>
      <w:divBdr>
        <w:top w:val="none" w:sz="0" w:space="0" w:color="auto"/>
        <w:left w:val="none" w:sz="0" w:space="0" w:color="auto"/>
        <w:bottom w:val="none" w:sz="0" w:space="0" w:color="auto"/>
        <w:right w:val="none" w:sz="0" w:space="0" w:color="auto"/>
      </w:divBdr>
    </w:div>
    <w:div w:id="1154489959">
      <w:bodyDiv w:val="1"/>
      <w:marLeft w:val="0"/>
      <w:marRight w:val="0"/>
      <w:marTop w:val="0"/>
      <w:marBottom w:val="0"/>
      <w:divBdr>
        <w:top w:val="none" w:sz="0" w:space="0" w:color="auto"/>
        <w:left w:val="none" w:sz="0" w:space="0" w:color="auto"/>
        <w:bottom w:val="none" w:sz="0" w:space="0" w:color="auto"/>
        <w:right w:val="none" w:sz="0" w:space="0" w:color="auto"/>
      </w:divBdr>
    </w:div>
    <w:div w:id="1174417488">
      <w:bodyDiv w:val="1"/>
      <w:marLeft w:val="0"/>
      <w:marRight w:val="0"/>
      <w:marTop w:val="0"/>
      <w:marBottom w:val="0"/>
      <w:divBdr>
        <w:top w:val="none" w:sz="0" w:space="0" w:color="auto"/>
        <w:left w:val="none" w:sz="0" w:space="0" w:color="auto"/>
        <w:bottom w:val="none" w:sz="0" w:space="0" w:color="auto"/>
        <w:right w:val="none" w:sz="0" w:space="0" w:color="auto"/>
      </w:divBdr>
    </w:div>
    <w:div w:id="1218204351">
      <w:bodyDiv w:val="1"/>
      <w:marLeft w:val="0"/>
      <w:marRight w:val="0"/>
      <w:marTop w:val="0"/>
      <w:marBottom w:val="0"/>
      <w:divBdr>
        <w:top w:val="none" w:sz="0" w:space="0" w:color="auto"/>
        <w:left w:val="none" w:sz="0" w:space="0" w:color="auto"/>
        <w:bottom w:val="none" w:sz="0" w:space="0" w:color="auto"/>
        <w:right w:val="none" w:sz="0" w:space="0" w:color="auto"/>
      </w:divBdr>
    </w:div>
    <w:div w:id="1229069402">
      <w:bodyDiv w:val="1"/>
      <w:marLeft w:val="0"/>
      <w:marRight w:val="0"/>
      <w:marTop w:val="0"/>
      <w:marBottom w:val="0"/>
      <w:divBdr>
        <w:top w:val="none" w:sz="0" w:space="0" w:color="auto"/>
        <w:left w:val="none" w:sz="0" w:space="0" w:color="auto"/>
        <w:bottom w:val="none" w:sz="0" w:space="0" w:color="auto"/>
        <w:right w:val="none" w:sz="0" w:space="0" w:color="auto"/>
      </w:divBdr>
      <w:divsChild>
        <w:div w:id="498232390">
          <w:marLeft w:val="0"/>
          <w:marRight w:val="0"/>
          <w:marTop w:val="0"/>
          <w:marBottom w:val="0"/>
          <w:divBdr>
            <w:top w:val="none" w:sz="0" w:space="0" w:color="auto"/>
            <w:left w:val="none" w:sz="0" w:space="0" w:color="auto"/>
            <w:bottom w:val="none" w:sz="0" w:space="0" w:color="auto"/>
            <w:right w:val="none" w:sz="0" w:space="0" w:color="auto"/>
          </w:divBdr>
        </w:div>
      </w:divsChild>
    </w:div>
    <w:div w:id="1234898580">
      <w:bodyDiv w:val="1"/>
      <w:marLeft w:val="0"/>
      <w:marRight w:val="0"/>
      <w:marTop w:val="0"/>
      <w:marBottom w:val="0"/>
      <w:divBdr>
        <w:top w:val="none" w:sz="0" w:space="0" w:color="auto"/>
        <w:left w:val="none" w:sz="0" w:space="0" w:color="auto"/>
        <w:bottom w:val="none" w:sz="0" w:space="0" w:color="auto"/>
        <w:right w:val="none" w:sz="0" w:space="0" w:color="auto"/>
      </w:divBdr>
    </w:div>
    <w:div w:id="1243836823">
      <w:bodyDiv w:val="1"/>
      <w:marLeft w:val="0"/>
      <w:marRight w:val="0"/>
      <w:marTop w:val="0"/>
      <w:marBottom w:val="0"/>
      <w:divBdr>
        <w:top w:val="none" w:sz="0" w:space="0" w:color="auto"/>
        <w:left w:val="none" w:sz="0" w:space="0" w:color="auto"/>
        <w:bottom w:val="none" w:sz="0" w:space="0" w:color="auto"/>
        <w:right w:val="none" w:sz="0" w:space="0" w:color="auto"/>
      </w:divBdr>
    </w:div>
    <w:div w:id="1261258248">
      <w:bodyDiv w:val="1"/>
      <w:marLeft w:val="0"/>
      <w:marRight w:val="0"/>
      <w:marTop w:val="0"/>
      <w:marBottom w:val="0"/>
      <w:divBdr>
        <w:top w:val="none" w:sz="0" w:space="0" w:color="auto"/>
        <w:left w:val="none" w:sz="0" w:space="0" w:color="auto"/>
        <w:bottom w:val="none" w:sz="0" w:space="0" w:color="auto"/>
        <w:right w:val="none" w:sz="0" w:space="0" w:color="auto"/>
      </w:divBdr>
    </w:div>
    <w:div w:id="1280910770">
      <w:bodyDiv w:val="1"/>
      <w:marLeft w:val="0"/>
      <w:marRight w:val="0"/>
      <w:marTop w:val="0"/>
      <w:marBottom w:val="0"/>
      <w:divBdr>
        <w:top w:val="none" w:sz="0" w:space="0" w:color="auto"/>
        <w:left w:val="none" w:sz="0" w:space="0" w:color="auto"/>
        <w:bottom w:val="none" w:sz="0" w:space="0" w:color="auto"/>
        <w:right w:val="none" w:sz="0" w:space="0" w:color="auto"/>
      </w:divBdr>
    </w:div>
    <w:div w:id="1282572038">
      <w:bodyDiv w:val="1"/>
      <w:marLeft w:val="0"/>
      <w:marRight w:val="0"/>
      <w:marTop w:val="0"/>
      <w:marBottom w:val="0"/>
      <w:divBdr>
        <w:top w:val="none" w:sz="0" w:space="0" w:color="auto"/>
        <w:left w:val="none" w:sz="0" w:space="0" w:color="auto"/>
        <w:bottom w:val="none" w:sz="0" w:space="0" w:color="auto"/>
        <w:right w:val="none" w:sz="0" w:space="0" w:color="auto"/>
      </w:divBdr>
    </w:div>
    <w:div w:id="1288051225">
      <w:bodyDiv w:val="1"/>
      <w:marLeft w:val="0"/>
      <w:marRight w:val="0"/>
      <w:marTop w:val="0"/>
      <w:marBottom w:val="0"/>
      <w:divBdr>
        <w:top w:val="none" w:sz="0" w:space="0" w:color="auto"/>
        <w:left w:val="none" w:sz="0" w:space="0" w:color="auto"/>
        <w:bottom w:val="none" w:sz="0" w:space="0" w:color="auto"/>
        <w:right w:val="none" w:sz="0" w:space="0" w:color="auto"/>
      </w:divBdr>
    </w:div>
    <w:div w:id="1294213638">
      <w:bodyDiv w:val="1"/>
      <w:marLeft w:val="0"/>
      <w:marRight w:val="0"/>
      <w:marTop w:val="0"/>
      <w:marBottom w:val="0"/>
      <w:divBdr>
        <w:top w:val="none" w:sz="0" w:space="0" w:color="auto"/>
        <w:left w:val="none" w:sz="0" w:space="0" w:color="auto"/>
        <w:bottom w:val="none" w:sz="0" w:space="0" w:color="auto"/>
        <w:right w:val="none" w:sz="0" w:space="0" w:color="auto"/>
      </w:divBdr>
    </w:div>
    <w:div w:id="1310095346">
      <w:bodyDiv w:val="1"/>
      <w:marLeft w:val="0"/>
      <w:marRight w:val="0"/>
      <w:marTop w:val="0"/>
      <w:marBottom w:val="0"/>
      <w:divBdr>
        <w:top w:val="none" w:sz="0" w:space="0" w:color="auto"/>
        <w:left w:val="none" w:sz="0" w:space="0" w:color="auto"/>
        <w:bottom w:val="none" w:sz="0" w:space="0" w:color="auto"/>
        <w:right w:val="none" w:sz="0" w:space="0" w:color="auto"/>
      </w:divBdr>
    </w:div>
    <w:div w:id="1314679020">
      <w:bodyDiv w:val="1"/>
      <w:marLeft w:val="0"/>
      <w:marRight w:val="0"/>
      <w:marTop w:val="0"/>
      <w:marBottom w:val="0"/>
      <w:divBdr>
        <w:top w:val="none" w:sz="0" w:space="0" w:color="auto"/>
        <w:left w:val="none" w:sz="0" w:space="0" w:color="auto"/>
        <w:bottom w:val="none" w:sz="0" w:space="0" w:color="auto"/>
        <w:right w:val="none" w:sz="0" w:space="0" w:color="auto"/>
      </w:divBdr>
    </w:div>
    <w:div w:id="1331521323">
      <w:bodyDiv w:val="1"/>
      <w:marLeft w:val="0"/>
      <w:marRight w:val="0"/>
      <w:marTop w:val="0"/>
      <w:marBottom w:val="0"/>
      <w:divBdr>
        <w:top w:val="none" w:sz="0" w:space="0" w:color="auto"/>
        <w:left w:val="none" w:sz="0" w:space="0" w:color="auto"/>
        <w:bottom w:val="none" w:sz="0" w:space="0" w:color="auto"/>
        <w:right w:val="none" w:sz="0" w:space="0" w:color="auto"/>
      </w:divBdr>
      <w:divsChild>
        <w:div w:id="248738732">
          <w:marLeft w:val="0"/>
          <w:marRight w:val="0"/>
          <w:marTop w:val="0"/>
          <w:marBottom w:val="0"/>
          <w:divBdr>
            <w:top w:val="none" w:sz="0" w:space="0" w:color="auto"/>
            <w:left w:val="none" w:sz="0" w:space="0" w:color="auto"/>
            <w:bottom w:val="none" w:sz="0" w:space="0" w:color="auto"/>
            <w:right w:val="none" w:sz="0" w:space="0" w:color="auto"/>
          </w:divBdr>
        </w:div>
        <w:div w:id="1783263641">
          <w:marLeft w:val="0"/>
          <w:marRight w:val="0"/>
          <w:marTop w:val="0"/>
          <w:marBottom w:val="0"/>
          <w:divBdr>
            <w:top w:val="none" w:sz="0" w:space="0" w:color="auto"/>
            <w:left w:val="none" w:sz="0" w:space="0" w:color="auto"/>
            <w:bottom w:val="none" w:sz="0" w:space="0" w:color="auto"/>
            <w:right w:val="none" w:sz="0" w:space="0" w:color="auto"/>
          </w:divBdr>
        </w:div>
      </w:divsChild>
    </w:div>
    <w:div w:id="1346589244">
      <w:bodyDiv w:val="1"/>
      <w:marLeft w:val="0"/>
      <w:marRight w:val="0"/>
      <w:marTop w:val="0"/>
      <w:marBottom w:val="0"/>
      <w:divBdr>
        <w:top w:val="none" w:sz="0" w:space="0" w:color="auto"/>
        <w:left w:val="none" w:sz="0" w:space="0" w:color="auto"/>
        <w:bottom w:val="none" w:sz="0" w:space="0" w:color="auto"/>
        <w:right w:val="none" w:sz="0" w:space="0" w:color="auto"/>
      </w:divBdr>
    </w:div>
    <w:div w:id="1351221393">
      <w:bodyDiv w:val="1"/>
      <w:marLeft w:val="0"/>
      <w:marRight w:val="0"/>
      <w:marTop w:val="0"/>
      <w:marBottom w:val="0"/>
      <w:divBdr>
        <w:top w:val="none" w:sz="0" w:space="0" w:color="auto"/>
        <w:left w:val="none" w:sz="0" w:space="0" w:color="auto"/>
        <w:bottom w:val="none" w:sz="0" w:space="0" w:color="auto"/>
        <w:right w:val="none" w:sz="0" w:space="0" w:color="auto"/>
      </w:divBdr>
    </w:div>
    <w:div w:id="1351761528">
      <w:bodyDiv w:val="1"/>
      <w:marLeft w:val="0"/>
      <w:marRight w:val="0"/>
      <w:marTop w:val="0"/>
      <w:marBottom w:val="0"/>
      <w:divBdr>
        <w:top w:val="none" w:sz="0" w:space="0" w:color="auto"/>
        <w:left w:val="none" w:sz="0" w:space="0" w:color="auto"/>
        <w:bottom w:val="none" w:sz="0" w:space="0" w:color="auto"/>
        <w:right w:val="none" w:sz="0" w:space="0" w:color="auto"/>
      </w:divBdr>
    </w:div>
    <w:div w:id="1354116008">
      <w:bodyDiv w:val="1"/>
      <w:marLeft w:val="0"/>
      <w:marRight w:val="0"/>
      <w:marTop w:val="0"/>
      <w:marBottom w:val="0"/>
      <w:divBdr>
        <w:top w:val="none" w:sz="0" w:space="0" w:color="auto"/>
        <w:left w:val="none" w:sz="0" w:space="0" w:color="auto"/>
        <w:bottom w:val="none" w:sz="0" w:space="0" w:color="auto"/>
        <w:right w:val="none" w:sz="0" w:space="0" w:color="auto"/>
      </w:divBdr>
    </w:div>
    <w:div w:id="1374694915">
      <w:bodyDiv w:val="1"/>
      <w:marLeft w:val="0"/>
      <w:marRight w:val="0"/>
      <w:marTop w:val="0"/>
      <w:marBottom w:val="0"/>
      <w:divBdr>
        <w:top w:val="none" w:sz="0" w:space="0" w:color="auto"/>
        <w:left w:val="none" w:sz="0" w:space="0" w:color="auto"/>
        <w:bottom w:val="none" w:sz="0" w:space="0" w:color="auto"/>
        <w:right w:val="none" w:sz="0" w:space="0" w:color="auto"/>
      </w:divBdr>
    </w:div>
    <w:div w:id="1384056974">
      <w:bodyDiv w:val="1"/>
      <w:marLeft w:val="0"/>
      <w:marRight w:val="0"/>
      <w:marTop w:val="0"/>
      <w:marBottom w:val="0"/>
      <w:divBdr>
        <w:top w:val="none" w:sz="0" w:space="0" w:color="auto"/>
        <w:left w:val="none" w:sz="0" w:space="0" w:color="auto"/>
        <w:bottom w:val="none" w:sz="0" w:space="0" w:color="auto"/>
        <w:right w:val="none" w:sz="0" w:space="0" w:color="auto"/>
      </w:divBdr>
    </w:div>
    <w:div w:id="1391463650">
      <w:bodyDiv w:val="1"/>
      <w:marLeft w:val="0"/>
      <w:marRight w:val="0"/>
      <w:marTop w:val="0"/>
      <w:marBottom w:val="0"/>
      <w:divBdr>
        <w:top w:val="none" w:sz="0" w:space="0" w:color="auto"/>
        <w:left w:val="none" w:sz="0" w:space="0" w:color="auto"/>
        <w:bottom w:val="none" w:sz="0" w:space="0" w:color="auto"/>
        <w:right w:val="none" w:sz="0" w:space="0" w:color="auto"/>
      </w:divBdr>
    </w:div>
    <w:div w:id="1398161478">
      <w:bodyDiv w:val="1"/>
      <w:marLeft w:val="0"/>
      <w:marRight w:val="0"/>
      <w:marTop w:val="0"/>
      <w:marBottom w:val="0"/>
      <w:divBdr>
        <w:top w:val="none" w:sz="0" w:space="0" w:color="auto"/>
        <w:left w:val="none" w:sz="0" w:space="0" w:color="auto"/>
        <w:bottom w:val="none" w:sz="0" w:space="0" w:color="auto"/>
        <w:right w:val="none" w:sz="0" w:space="0" w:color="auto"/>
      </w:divBdr>
    </w:div>
    <w:div w:id="1418400468">
      <w:bodyDiv w:val="1"/>
      <w:marLeft w:val="0"/>
      <w:marRight w:val="0"/>
      <w:marTop w:val="0"/>
      <w:marBottom w:val="0"/>
      <w:divBdr>
        <w:top w:val="none" w:sz="0" w:space="0" w:color="auto"/>
        <w:left w:val="none" w:sz="0" w:space="0" w:color="auto"/>
        <w:bottom w:val="none" w:sz="0" w:space="0" w:color="auto"/>
        <w:right w:val="none" w:sz="0" w:space="0" w:color="auto"/>
      </w:divBdr>
    </w:div>
    <w:div w:id="1423183216">
      <w:bodyDiv w:val="1"/>
      <w:marLeft w:val="0"/>
      <w:marRight w:val="0"/>
      <w:marTop w:val="0"/>
      <w:marBottom w:val="0"/>
      <w:divBdr>
        <w:top w:val="none" w:sz="0" w:space="0" w:color="auto"/>
        <w:left w:val="none" w:sz="0" w:space="0" w:color="auto"/>
        <w:bottom w:val="none" w:sz="0" w:space="0" w:color="auto"/>
        <w:right w:val="none" w:sz="0" w:space="0" w:color="auto"/>
      </w:divBdr>
    </w:div>
    <w:div w:id="1426874971">
      <w:bodyDiv w:val="1"/>
      <w:marLeft w:val="0"/>
      <w:marRight w:val="0"/>
      <w:marTop w:val="0"/>
      <w:marBottom w:val="0"/>
      <w:divBdr>
        <w:top w:val="none" w:sz="0" w:space="0" w:color="auto"/>
        <w:left w:val="none" w:sz="0" w:space="0" w:color="auto"/>
        <w:bottom w:val="none" w:sz="0" w:space="0" w:color="auto"/>
        <w:right w:val="none" w:sz="0" w:space="0" w:color="auto"/>
      </w:divBdr>
    </w:div>
    <w:div w:id="1495027377">
      <w:bodyDiv w:val="1"/>
      <w:marLeft w:val="0"/>
      <w:marRight w:val="0"/>
      <w:marTop w:val="0"/>
      <w:marBottom w:val="0"/>
      <w:divBdr>
        <w:top w:val="none" w:sz="0" w:space="0" w:color="auto"/>
        <w:left w:val="none" w:sz="0" w:space="0" w:color="auto"/>
        <w:bottom w:val="none" w:sz="0" w:space="0" w:color="auto"/>
        <w:right w:val="none" w:sz="0" w:space="0" w:color="auto"/>
      </w:divBdr>
    </w:div>
    <w:div w:id="1551764052">
      <w:bodyDiv w:val="1"/>
      <w:marLeft w:val="0"/>
      <w:marRight w:val="0"/>
      <w:marTop w:val="0"/>
      <w:marBottom w:val="0"/>
      <w:divBdr>
        <w:top w:val="none" w:sz="0" w:space="0" w:color="auto"/>
        <w:left w:val="none" w:sz="0" w:space="0" w:color="auto"/>
        <w:bottom w:val="none" w:sz="0" w:space="0" w:color="auto"/>
        <w:right w:val="none" w:sz="0" w:space="0" w:color="auto"/>
      </w:divBdr>
    </w:div>
    <w:div w:id="1563441344">
      <w:bodyDiv w:val="1"/>
      <w:marLeft w:val="0"/>
      <w:marRight w:val="0"/>
      <w:marTop w:val="0"/>
      <w:marBottom w:val="0"/>
      <w:divBdr>
        <w:top w:val="none" w:sz="0" w:space="0" w:color="auto"/>
        <w:left w:val="none" w:sz="0" w:space="0" w:color="auto"/>
        <w:bottom w:val="none" w:sz="0" w:space="0" w:color="auto"/>
        <w:right w:val="none" w:sz="0" w:space="0" w:color="auto"/>
      </w:divBdr>
    </w:div>
    <w:div w:id="1567104240">
      <w:bodyDiv w:val="1"/>
      <w:marLeft w:val="0"/>
      <w:marRight w:val="0"/>
      <w:marTop w:val="0"/>
      <w:marBottom w:val="0"/>
      <w:divBdr>
        <w:top w:val="none" w:sz="0" w:space="0" w:color="auto"/>
        <w:left w:val="none" w:sz="0" w:space="0" w:color="auto"/>
        <w:bottom w:val="none" w:sz="0" w:space="0" w:color="auto"/>
        <w:right w:val="none" w:sz="0" w:space="0" w:color="auto"/>
      </w:divBdr>
    </w:div>
    <w:div w:id="1591424193">
      <w:bodyDiv w:val="1"/>
      <w:marLeft w:val="0"/>
      <w:marRight w:val="0"/>
      <w:marTop w:val="0"/>
      <w:marBottom w:val="0"/>
      <w:divBdr>
        <w:top w:val="none" w:sz="0" w:space="0" w:color="auto"/>
        <w:left w:val="none" w:sz="0" w:space="0" w:color="auto"/>
        <w:bottom w:val="none" w:sz="0" w:space="0" w:color="auto"/>
        <w:right w:val="none" w:sz="0" w:space="0" w:color="auto"/>
      </w:divBdr>
    </w:div>
    <w:div w:id="1639719890">
      <w:bodyDiv w:val="1"/>
      <w:marLeft w:val="0"/>
      <w:marRight w:val="0"/>
      <w:marTop w:val="0"/>
      <w:marBottom w:val="0"/>
      <w:divBdr>
        <w:top w:val="none" w:sz="0" w:space="0" w:color="auto"/>
        <w:left w:val="none" w:sz="0" w:space="0" w:color="auto"/>
        <w:bottom w:val="none" w:sz="0" w:space="0" w:color="auto"/>
        <w:right w:val="none" w:sz="0" w:space="0" w:color="auto"/>
      </w:divBdr>
    </w:div>
    <w:div w:id="1656758532">
      <w:bodyDiv w:val="1"/>
      <w:marLeft w:val="0"/>
      <w:marRight w:val="0"/>
      <w:marTop w:val="0"/>
      <w:marBottom w:val="0"/>
      <w:divBdr>
        <w:top w:val="none" w:sz="0" w:space="0" w:color="auto"/>
        <w:left w:val="none" w:sz="0" w:space="0" w:color="auto"/>
        <w:bottom w:val="none" w:sz="0" w:space="0" w:color="auto"/>
        <w:right w:val="none" w:sz="0" w:space="0" w:color="auto"/>
      </w:divBdr>
    </w:div>
    <w:div w:id="1672369523">
      <w:bodyDiv w:val="1"/>
      <w:marLeft w:val="0"/>
      <w:marRight w:val="0"/>
      <w:marTop w:val="0"/>
      <w:marBottom w:val="0"/>
      <w:divBdr>
        <w:top w:val="none" w:sz="0" w:space="0" w:color="auto"/>
        <w:left w:val="none" w:sz="0" w:space="0" w:color="auto"/>
        <w:bottom w:val="none" w:sz="0" w:space="0" w:color="auto"/>
        <w:right w:val="none" w:sz="0" w:space="0" w:color="auto"/>
      </w:divBdr>
    </w:div>
    <w:div w:id="1674381043">
      <w:bodyDiv w:val="1"/>
      <w:marLeft w:val="0"/>
      <w:marRight w:val="0"/>
      <w:marTop w:val="0"/>
      <w:marBottom w:val="0"/>
      <w:divBdr>
        <w:top w:val="none" w:sz="0" w:space="0" w:color="auto"/>
        <w:left w:val="none" w:sz="0" w:space="0" w:color="auto"/>
        <w:bottom w:val="none" w:sz="0" w:space="0" w:color="auto"/>
        <w:right w:val="none" w:sz="0" w:space="0" w:color="auto"/>
      </w:divBdr>
    </w:div>
    <w:div w:id="1713575844">
      <w:bodyDiv w:val="1"/>
      <w:marLeft w:val="0"/>
      <w:marRight w:val="0"/>
      <w:marTop w:val="0"/>
      <w:marBottom w:val="0"/>
      <w:divBdr>
        <w:top w:val="none" w:sz="0" w:space="0" w:color="auto"/>
        <w:left w:val="none" w:sz="0" w:space="0" w:color="auto"/>
        <w:bottom w:val="none" w:sz="0" w:space="0" w:color="auto"/>
        <w:right w:val="none" w:sz="0" w:space="0" w:color="auto"/>
      </w:divBdr>
    </w:div>
    <w:div w:id="1776485808">
      <w:bodyDiv w:val="1"/>
      <w:marLeft w:val="0"/>
      <w:marRight w:val="0"/>
      <w:marTop w:val="0"/>
      <w:marBottom w:val="0"/>
      <w:divBdr>
        <w:top w:val="none" w:sz="0" w:space="0" w:color="auto"/>
        <w:left w:val="none" w:sz="0" w:space="0" w:color="auto"/>
        <w:bottom w:val="none" w:sz="0" w:space="0" w:color="auto"/>
        <w:right w:val="none" w:sz="0" w:space="0" w:color="auto"/>
      </w:divBdr>
    </w:div>
    <w:div w:id="1780252261">
      <w:bodyDiv w:val="1"/>
      <w:marLeft w:val="0"/>
      <w:marRight w:val="0"/>
      <w:marTop w:val="0"/>
      <w:marBottom w:val="0"/>
      <w:divBdr>
        <w:top w:val="none" w:sz="0" w:space="0" w:color="auto"/>
        <w:left w:val="none" w:sz="0" w:space="0" w:color="auto"/>
        <w:bottom w:val="none" w:sz="0" w:space="0" w:color="auto"/>
        <w:right w:val="none" w:sz="0" w:space="0" w:color="auto"/>
      </w:divBdr>
    </w:div>
    <w:div w:id="1789544302">
      <w:bodyDiv w:val="1"/>
      <w:marLeft w:val="0"/>
      <w:marRight w:val="0"/>
      <w:marTop w:val="0"/>
      <w:marBottom w:val="0"/>
      <w:divBdr>
        <w:top w:val="none" w:sz="0" w:space="0" w:color="auto"/>
        <w:left w:val="none" w:sz="0" w:space="0" w:color="auto"/>
        <w:bottom w:val="none" w:sz="0" w:space="0" w:color="auto"/>
        <w:right w:val="none" w:sz="0" w:space="0" w:color="auto"/>
      </w:divBdr>
    </w:div>
    <w:div w:id="1790473008">
      <w:bodyDiv w:val="1"/>
      <w:marLeft w:val="0"/>
      <w:marRight w:val="0"/>
      <w:marTop w:val="0"/>
      <w:marBottom w:val="0"/>
      <w:divBdr>
        <w:top w:val="none" w:sz="0" w:space="0" w:color="auto"/>
        <w:left w:val="none" w:sz="0" w:space="0" w:color="auto"/>
        <w:bottom w:val="none" w:sz="0" w:space="0" w:color="auto"/>
        <w:right w:val="none" w:sz="0" w:space="0" w:color="auto"/>
      </w:divBdr>
    </w:div>
    <w:div w:id="1800758380">
      <w:bodyDiv w:val="1"/>
      <w:marLeft w:val="0"/>
      <w:marRight w:val="0"/>
      <w:marTop w:val="0"/>
      <w:marBottom w:val="0"/>
      <w:divBdr>
        <w:top w:val="none" w:sz="0" w:space="0" w:color="auto"/>
        <w:left w:val="none" w:sz="0" w:space="0" w:color="auto"/>
        <w:bottom w:val="none" w:sz="0" w:space="0" w:color="auto"/>
        <w:right w:val="none" w:sz="0" w:space="0" w:color="auto"/>
      </w:divBdr>
    </w:div>
    <w:div w:id="1801415480">
      <w:bodyDiv w:val="1"/>
      <w:marLeft w:val="0"/>
      <w:marRight w:val="0"/>
      <w:marTop w:val="0"/>
      <w:marBottom w:val="0"/>
      <w:divBdr>
        <w:top w:val="none" w:sz="0" w:space="0" w:color="auto"/>
        <w:left w:val="none" w:sz="0" w:space="0" w:color="auto"/>
        <w:bottom w:val="none" w:sz="0" w:space="0" w:color="auto"/>
        <w:right w:val="none" w:sz="0" w:space="0" w:color="auto"/>
      </w:divBdr>
    </w:div>
    <w:div w:id="1833792191">
      <w:bodyDiv w:val="1"/>
      <w:marLeft w:val="0"/>
      <w:marRight w:val="0"/>
      <w:marTop w:val="0"/>
      <w:marBottom w:val="0"/>
      <w:divBdr>
        <w:top w:val="none" w:sz="0" w:space="0" w:color="auto"/>
        <w:left w:val="none" w:sz="0" w:space="0" w:color="auto"/>
        <w:bottom w:val="none" w:sz="0" w:space="0" w:color="auto"/>
        <w:right w:val="none" w:sz="0" w:space="0" w:color="auto"/>
      </w:divBdr>
    </w:div>
    <w:div w:id="1841002897">
      <w:bodyDiv w:val="1"/>
      <w:marLeft w:val="0"/>
      <w:marRight w:val="0"/>
      <w:marTop w:val="0"/>
      <w:marBottom w:val="0"/>
      <w:divBdr>
        <w:top w:val="none" w:sz="0" w:space="0" w:color="auto"/>
        <w:left w:val="none" w:sz="0" w:space="0" w:color="auto"/>
        <w:bottom w:val="none" w:sz="0" w:space="0" w:color="auto"/>
        <w:right w:val="none" w:sz="0" w:space="0" w:color="auto"/>
      </w:divBdr>
    </w:div>
    <w:div w:id="1844125186">
      <w:bodyDiv w:val="1"/>
      <w:marLeft w:val="0"/>
      <w:marRight w:val="0"/>
      <w:marTop w:val="0"/>
      <w:marBottom w:val="0"/>
      <w:divBdr>
        <w:top w:val="none" w:sz="0" w:space="0" w:color="auto"/>
        <w:left w:val="none" w:sz="0" w:space="0" w:color="auto"/>
        <w:bottom w:val="none" w:sz="0" w:space="0" w:color="auto"/>
        <w:right w:val="none" w:sz="0" w:space="0" w:color="auto"/>
      </w:divBdr>
    </w:div>
    <w:div w:id="1918780121">
      <w:bodyDiv w:val="1"/>
      <w:marLeft w:val="0"/>
      <w:marRight w:val="0"/>
      <w:marTop w:val="0"/>
      <w:marBottom w:val="0"/>
      <w:divBdr>
        <w:top w:val="none" w:sz="0" w:space="0" w:color="auto"/>
        <w:left w:val="none" w:sz="0" w:space="0" w:color="auto"/>
        <w:bottom w:val="none" w:sz="0" w:space="0" w:color="auto"/>
        <w:right w:val="none" w:sz="0" w:space="0" w:color="auto"/>
      </w:divBdr>
    </w:div>
    <w:div w:id="1959480909">
      <w:bodyDiv w:val="1"/>
      <w:marLeft w:val="0"/>
      <w:marRight w:val="0"/>
      <w:marTop w:val="0"/>
      <w:marBottom w:val="0"/>
      <w:divBdr>
        <w:top w:val="none" w:sz="0" w:space="0" w:color="auto"/>
        <w:left w:val="none" w:sz="0" w:space="0" w:color="auto"/>
        <w:bottom w:val="none" w:sz="0" w:space="0" w:color="auto"/>
        <w:right w:val="none" w:sz="0" w:space="0" w:color="auto"/>
      </w:divBdr>
    </w:div>
    <w:div w:id="1986543735">
      <w:bodyDiv w:val="1"/>
      <w:marLeft w:val="0"/>
      <w:marRight w:val="0"/>
      <w:marTop w:val="0"/>
      <w:marBottom w:val="0"/>
      <w:divBdr>
        <w:top w:val="none" w:sz="0" w:space="0" w:color="auto"/>
        <w:left w:val="none" w:sz="0" w:space="0" w:color="auto"/>
        <w:bottom w:val="none" w:sz="0" w:space="0" w:color="auto"/>
        <w:right w:val="none" w:sz="0" w:space="0" w:color="auto"/>
      </w:divBdr>
    </w:div>
    <w:div w:id="2000189153">
      <w:bodyDiv w:val="1"/>
      <w:marLeft w:val="0"/>
      <w:marRight w:val="0"/>
      <w:marTop w:val="0"/>
      <w:marBottom w:val="0"/>
      <w:divBdr>
        <w:top w:val="none" w:sz="0" w:space="0" w:color="auto"/>
        <w:left w:val="none" w:sz="0" w:space="0" w:color="auto"/>
        <w:bottom w:val="none" w:sz="0" w:space="0" w:color="auto"/>
        <w:right w:val="none" w:sz="0" w:space="0" w:color="auto"/>
      </w:divBdr>
    </w:div>
    <w:div w:id="2029913687">
      <w:bodyDiv w:val="1"/>
      <w:marLeft w:val="0"/>
      <w:marRight w:val="0"/>
      <w:marTop w:val="0"/>
      <w:marBottom w:val="0"/>
      <w:divBdr>
        <w:top w:val="none" w:sz="0" w:space="0" w:color="auto"/>
        <w:left w:val="none" w:sz="0" w:space="0" w:color="auto"/>
        <w:bottom w:val="none" w:sz="0" w:space="0" w:color="auto"/>
        <w:right w:val="none" w:sz="0" w:space="0" w:color="auto"/>
      </w:divBdr>
    </w:div>
    <w:div w:id="2043246352">
      <w:bodyDiv w:val="1"/>
      <w:marLeft w:val="0"/>
      <w:marRight w:val="0"/>
      <w:marTop w:val="0"/>
      <w:marBottom w:val="0"/>
      <w:divBdr>
        <w:top w:val="none" w:sz="0" w:space="0" w:color="auto"/>
        <w:left w:val="none" w:sz="0" w:space="0" w:color="auto"/>
        <w:bottom w:val="none" w:sz="0" w:space="0" w:color="auto"/>
        <w:right w:val="none" w:sz="0" w:space="0" w:color="auto"/>
      </w:divBdr>
    </w:div>
    <w:div w:id="2105568848">
      <w:bodyDiv w:val="1"/>
      <w:marLeft w:val="0"/>
      <w:marRight w:val="0"/>
      <w:marTop w:val="0"/>
      <w:marBottom w:val="0"/>
      <w:divBdr>
        <w:top w:val="none" w:sz="0" w:space="0" w:color="auto"/>
        <w:left w:val="none" w:sz="0" w:space="0" w:color="auto"/>
        <w:bottom w:val="none" w:sz="0" w:space="0" w:color="auto"/>
        <w:right w:val="none" w:sz="0" w:space="0" w:color="auto"/>
      </w:divBdr>
    </w:div>
    <w:div w:id="2138602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abre@essex.ac.uk" TargetMode="External"/><Relationship Id="rId13" Type="http://schemas.openxmlformats.org/officeDocument/2006/relationships/footer" Target="footer3.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hyperlink" Target="https://www.understandingsociety.ac.uk/documentation/mainstage/user-guides/main-survey-user-guide/individual-income-variables/" TargetMode="Externa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header" Target="head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3E729-E671-413D-AAF5-068130B55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6069</Words>
  <Characters>32596</Characters>
  <Application>Microsoft Office Word</Application>
  <DocSecurity>0</DocSecurity>
  <Lines>1715</Lines>
  <Paragraphs>1247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Cabrera Alvarez, Pablo</dc:creator>
  <cp:keywords/>
  <dc:description/>
  <cp:lastModifiedBy>Cabrera Alvarez, Pablo</cp:lastModifiedBy>
  <cp:revision>4</cp:revision>
  <cp:lastPrinted>2023-09-14T14:46:00Z</cp:lastPrinted>
  <dcterms:created xsi:type="dcterms:W3CDTF">2024-11-25T12:21:00Z</dcterms:created>
  <dcterms:modified xsi:type="dcterms:W3CDTF">2024-11-25T12:25:00Z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cd45f8fd-cec5-3d94-8343-4c2b48a85b54</vt:lpwstr>
  </property>
  <property fmtid="{D5CDD505-2E9C-101B-9397-08002B2CF9AE}" pid="24" name="Mendeley Citation Style_1">
    <vt:lpwstr>http://www.zotero.org/styles/apa</vt:lpwstr>
  </property>
  <property fmtid="{D5CDD505-2E9C-101B-9397-08002B2CF9AE}" pid="25" name="ZOTERO_PREF_1">
    <vt:lpwstr>&lt;data data-version="3" zotero-version="7.0.3-beta.2+10d27b8f6"&gt;&lt;session id="egXILKes"/&gt;&lt;style id="http://www.zotero.org/styles/american-statistical-association" hasBibliography="1" bibliographyStyleHasBeenSet="1"/&gt;&lt;prefs&gt;&lt;pref name="fieldType" value="Fiel</vt:lpwstr>
  </property>
  <property fmtid="{D5CDD505-2E9C-101B-9397-08002B2CF9AE}" pid="26" name="ZOTERO_PREF_2">
    <vt:lpwstr>d"/&gt;&lt;pref name="automaticJournalAbbreviations" value="true"/&gt;&lt;/prefs&gt;&lt;/data&gt;</vt:lpwstr>
  </property>
  <property fmtid="{D5CDD505-2E9C-101B-9397-08002B2CF9AE}" pid="27" name="GrammarlyDocumentId">
    <vt:lpwstr>67566386cd0864f24d52ff8c01a2c0fd26587c58a6102d97cd849eb5c30509a2</vt:lpwstr>
  </property>
</Properties>
</file>