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3EFCC" w14:textId="0F67A0E0" w:rsidR="003D2FD8" w:rsidRPr="003D2FD8" w:rsidRDefault="003D2FD8" w:rsidP="00834440">
      <w:pPr>
        <w:jc w:val="center"/>
        <w:rPr>
          <w:rFonts w:ascii="Calibri Light" w:hAnsi="Calibri Light" w:cs="Calibri Light"/>
          <w:sz w:val="40"/>
          <w:szCs w:val="40"/>
          <w:u w:val="single"/>
        </w:rPr>
      </w:pPr>
      <w:bookmarkStart w:id="0" w:name="_Hlk187073785"/>
      <w:bookmarkStart w:id="1" w:name="_Hlk200211761"/>
      <w:bookmarkEnd w:id="0"/>
      <w:bookmarkEnd w:id="1"/>
      <w:r w:rsidRPr="003D2FD8">
        <w:rPr>
          <w:rFonts w:ascii="Calibri Light" w:hAnsi="Calibri Light" w:cs="Calibri Light"/>
          <w:sz w:val="40"/>
          <w:szCs w:val="40"/>
          <w:u w:val="single"/>
        </w:rPr>
        <w:t>Supplementary material</w:t>
      </w:r>
    </w:p>
    <w:p w14:paraId="5234D501" w14:textId="77777777" w:rsidR="003D2FD8" w:rsidRDefault="003D2FD8" w:rsidP="00834440">
      <w:pPr>
        <w:jc w:val="center"/>
        <w:rPr>
          <w:rFonts w:ascii="Calibri Light" w:hAnsi="Calibri Light" w:cs="Calibri Light"/>
          <w:sz w:val="44"/>
          <w:szCs w:val="44"/>
        </w:rPr>
      </w:pPr>
    </w:p>
    <w:p w14:paraId="0CCCBD9A" w14:textId="7B3C0B8C" w:rsidR="00834440" w:rsidRPr="00834440" w:rsidRDefault="00834440" w:rsidP="00834440">
      <w:pPr>
        <w:jc w:val="center"/>
        <w:rPr>
          <w:rFonts w:ascii="Calibri Light" w:hAnsi="Calibri Light" w:cs="Calibri Light"/>
          <w:sz w:val="44"/>
          <w:szCs w:val="44"/>
        </w:rPr>
      </w:pPr>
      <w:r w:rsidRPr="00834440">
        <w:rPr>
          <w:rFonts w:ascii="Calibri Light" w:hAnsi="Calibri Light" w:cs="Calibri Light"/>
          <w:sz w:val="44"/>
          <w:szCs w:val="44"/>
        </w:rPr>
        <w:t>Neural representations of visual categories are dynamically tailored to the discrimination required by the task</w:t>
      </w:r>
    </w:p>
    <w:p w14:paraId="25927B83" w14:textId="77777777" w:rsidR="00834440" w:rsidRDefault="00834440" w:rsidP="00834440"/>
    <w:p w14:paraId="7BA41FDE" w14:textId="77777777" w:rsidR="003D2FD8" w:rsidRPr="008E0D63" w:rsidRDefault="003D2FD8" w:rsidP="00834440"/>
    <w:p w14:paraId="7F991DC3" w14:textId="1DFF0ACC" w:rsidR="00834440" w:rsidRPr="008E0D63" w:rsidRDefault="00834440" w:rsidP="00834440">
      <w:pPr>
        <w:rPr>
          <w:rFonts w:cs="Calibri"/>
          <w:sz w:val="32"/>
          <w:szCs w:val="32"/>
        </w:rPr>
      </w:pPr>
      <w:r w:rsidRPr="008E0D63">
        <w:rPr>
          <w:rFonts w:cs="Calibri"/>
          <w:sz w:val="32"/>
          <w:szCs w:val="32"/>
        </w:rPr>
        <w:t>Marlene Poncet</w:t>
      </w:r>
      <w:r w:rsidRPr="008E0D63">
        <w:rPr>
          <w:rFonts w:cs="Calibri"/>
          <w:sz w:val="32"/>
          <w:szCs w:val="32"/>
          <w:vertAlign w:val="superscript"/>
        </w:rPr>
        <w:t>1</w:t>
      </w:r>
      <w:r w:rsidR="003D2FD8">
        <w:rPr>
          <w:rFonts w:cs="Calibri"/>
          <w:sz w:val="32"/>
          <w:szCs w:val="32"/>
          <w:vertAlign w:val="superscript"/>
        </w:rPr>
        <w:t>*</w:t>
      </w:r>
      <w:r w:rsidRPr="008E0D63">
        <w:rPr>
          <w:rFonts w:cs="Calibri"/>
          <w:sz w:val="32"/>
          <w:szCs w:val="32"/>
        </w:rPr>
        <w:t>, Paraskevi Batziou</w:t>
      </w:r>
      <w:r w:rsidRPr="008E0D63">
        <w:rPr>
          <w:rFonts w:cs="Calibri"/>
          <w:sz w:val="32"/>
          <w:szCs w:val="32"/>
          <w:vertAlign w:val="superscript"/>
        </w:rPr>
        <w:t>2</w:t>
      </w:r>
      <w:r w:rsidRPr="008E0D63">
        <w:rPr>
          <w:rFonts w:cs="Calibri"/>
          <w:sz w:val="32"/>
          <w:szCs w:val="32"/>
        </w:rPr>
        <w:t xml:space="preserve"> and Ramakrishna Chakravarthi</w:t>
      </w:r>
      <w:r w:rsidRPr="008E0D63">
        <w:rPr>
          <w:rFonts w:cs="Calibri"/>
          <w:sz w:val="32"/>
          <w:szCs w:val="32"/>
          <w:vertAlign w:val="superscript"/>
        </w:rPr>
        <w:t>2</w:t>
      </w:r>
    </w:p>
    <w:p w14:paraId="3017C57D" w14:textId="75F9B283" w:rsidR="00834440" w:rsidRPr="008E0D63" w:rsidRDefault="00834440" w:rsidP="00834440">
      <w:pPr>
        <w:rPr>
          <w:rFonts w:cs="Calibri"/>
        </w:rPr>
      </w:pPr>
      <w:r w:rsidRPr="008E0D63">
        <w:rPr>
          <w:rFonts w:cs="Calibri"/>
          <w:vertAlign w:val="superscript"/>
        </w:rPr>
        <w:t>1</w:t>
      </w:r>
      <w:r w:rsidRPr="008E0D63">
        <w:rPr>
          <w:rFonts w:cs="Calibri"/>
        </w:rPr>
        <w:t xml:space="preserve"> Department of Psychology, University of Essex, </w:t>
      </w:r>
      <w:r w:rsidR="003D2FD8">
        <w:rPr>
          <w:rFonts w:cs="Calibri"/>
        </w:rPr>
        <w:t xml:space="preserve">Colchester, </w:t>
      </w:r>
      <w:r w:rsidRPr="008E0D63">
        <w:rPr>
          <w:rFonts w:cs="Calibri"/>
        </w:rPr>
        <w:t>UK</w:t>
      </w:r>
    </w:p>
    <w:p w14:paraId="1B002BCC" w14:textId="5CD622B9" w:rsidR="00834440" w:rsidRPr="008E0D63" w:rsidRDefault="00834440" w:rsidP="00834440">
      <w:pPr>
        <w:rPr>
          <w:rFonts w:cs="Calibri"/>
        </w:rPr>
      </w:pPr>
      <w:r w:rsidRPr="008E0D63">
        <w:rPr>
          <w:rFonts w:cs="Calibri"/>
          <w:vertAlign w:val="superscript"/>
        </w:rPr>
        <w:t>2</w:t>
      </w:r>
      <w:r w:rsidRPr="008E0D63">
        <w:rPr>
          <w:rFonts w:cs="Calibri"/>
        </w:rPr>
        <w:t xml:space="preserve"> School of Psychology, University of Aberdeen, </w:t>
      </w:r>
      <w:r w:rsidR="003D2FD8">
        <w:rPr>
          <w:rFonts w:cs="Calibri"/>
        </w:rPr>
        <w:t xml:space="preserve">Aberdeen, </w:t>
      </w:r>
      <w:r w:rsidRPr="008E0D63">
        <w:rPr>
          <w:rFonts w:cs="Calibri"/>
        </w:rPr>
        <w:t>UK</w:t>
      </w:r>
    </w:p>
    <w:p w14:paraId="709CED59" w14:textId="77777777" w:rsidR="00834440" w:rsidRPr="008E0D63" w:rsidRDefault="00834440" w:rsidP="00834440">
      <w:pPr>
        <w:rPr>
          <w:rFonts w:cs="Calibri"/>
        </w:rPr>
      </w:pPr>
    </w:p>
    <w:p w14:paraId="0D586A21" w14:textId="77777777" w:rsidR="00834440" w:rsidRPr="008E0D63" w:rsidRDefault="00834440" w:rsidP="00834440">
      <w:pPr>
        <w:rPr>
          <w:rFonts w:cs="Calibri"/>
        </w:rPr>
      </w:pPr>
    </w:p>
    <w:p w14:paraId="13EC1F3A" w14:textId="77777777" w:rsidR="00834440" w:rsidRPr="008E0D63" w:rsidRDefault="00834440" w:rsidP="00834440">
      <w:pPr>
        <w:spacing w:after="0" w:line="240" w:lineRule="auto"/>
        <w:rPr>
          <w:rFonts w:cs="Calibri"/>
        </w:rPr>
      </w:pPr>
      <w:r w:rsidRPr="008E0D63">
        <w:rPr>
          <w:rFonts w:cs="Calibri"/>
        </w:rPr>
        <w:t>Corresponding author: Marlene Poncet</w:t>
      </w:r>
    </w:p>
    <w:p w14:paraId="6476A020" w14:textId="77777777" w:rsidR="00834440" w:rsidRPr="008E0D63" w:rsidRDefault="00834440" w:rsidP="00834440">
      <w:pPr>
        <w:spacing w:after="0" w:line="240" w:lineRule="auto"/>
        <w:rPr>
          <w:rFonts w:cs="Calibri"/>
        </w:rPr>
      </w:pPr>
    </w:p>
    <w:p w14:paraId="35E9E456" w14:textId="77777777" w:rsidR="00834440" w:rsidRPr="008E0D63" w:rsidRDefault="00834440" w:rsidP="00834440">
      <w:pPr>
        <w:spacing w:after="0" w:line="240" w:lineRule="auto"/>
        <w:rPr>
          <w:rFonts w:cs="Calibri"/>
        </w:rPr>
      </w:pPr>
      <w:r w:rsidRPr="008E0D63">
        <w:rPr>
          <w:rFonts w:cs="Calibri"/>
        </w:rPr>
        <w:t xml:space="preserve">Current address: </w:t>
      </w:r>
    </w:p>
    <w:p w14:paraId="68E9829E" w14:textId="77777777" w:rsidR="00834440" w:rsidRPr="008E0D63" w:rsidRDefault="00834440" w:rsidP="00834440">
      <w:pPr>
        <w:spacing w:after="0" w:line="240" w:lineRule="auto"/>
        <w:rPr>
          <w:rFonts w:cs="Calibri"/>
        </w:rPr>
      </w:pPr>
      <w:r w:rsidRPr="008E0D63">
        <w:rPr>
          <w:rFonts w:cs="Calibri"/>
        </w:rPr>
        <w:t>Department of Psychology</w:t>
      </w:r>
    </w:p>
    <w:p w14:paraId="6144DD42" w14:textId="77777777" w:rsidR="00834440" w:rsidRPr="008E0D63" w:rsidRDefault="00834440" w:rsidP="00834440">
      <w:pPr>
        <w:spacing w:after="0" w:line="240" w:lineRule="auto"/>
        <w:rPr>
          <w:rFonts w:cs="Calibri"/>
        </w:rPr>
      </w:pPr>
      <w:r w:rsidRPr="008E0D63">
        <w:rPr>
          <w:rFonts w:cs="Calibri"/>
        </w:rPr>
        <w:t>University of Essex</w:t>
      </w:r>
    </w:p>
    <w:p w14:paraId="29E92277" w14:textId="77777777" w:rsidR="00834440" w:rsidRPr="008E0D63" w:rsidRDefault="00834440" w:rsidP="00834440">
      <w:pPr>
        <w:spacing w:after="0" w:line="240" w:lineRule="auto"/>
        <w:rPr>
          <w:rFonts w:cs="Calibri"/>
        </w:rPr>
      </w:pPr>
      <w:r w:rsidRPr="008E0D63">
        <w:rPr>
          <w:rFonts w:cs="Calibri"/>
        </w:rPr>
        <w:t>Wivenhoe Park</w:t>
      </w:r>
    </w:p>
    <w:p w14:paraId="6FDC01E0" w14:textId="77777777" w:rsidR="00834440" w:rsidRPr="008E0D63" w:rsidRDefault="00834440" w:rsidP="00834440">
      <w:pPr>
        <w:spacing w:after="0" w:line="240" w:lineRule="auto"/>
        <w:rPr>
          <w:rFonts w:cs="Calibri"/>
        </w:rPr>
      </w:pPr>
      <w:r w:rsidRPr="008E0D63">
        <w:rPr>
          <w:rFonts w:cs="Calibri"/>
        </w:rPr>
        <w:t>Colchester</w:t>
      </w:r>
    </w:p>
    <w:p w14:paraId="60504080" w14:textId="544F7DDC" w:rsidR="00834440" w:rsidRDefault="00834440" w:rsidP="003D2FD8">
      <w:pPr>
        <w:spacing w:after="0" w:line="240" w:lineRule="auto"/>
        <w:rPr>
          <w:rFonts w:cs="Calibri"/>
        </w:rPr>
      </w:pPr>
      <w:r w:rsidRPr="008E0D63">
        <w:rPr>
          <w:rFonts w:cs="Calibri"/>
        </w:rPr>
        <w:t>United Kingdom</w:t>
      </w:r>
    </w:p>
    <w:p w14:paraId="70B74C45" w14:textId="77777777" w:rsidR="003D2FD8" w:rsidRPr="008E0D63" w:rsidRDefault="003D2FD8" w:rsidP="003D2FD8">
      <w:pPr>
        <w:spacing w:after="0" w:line="240" w:lineRule="auto"/>
        <w:rPr>
          <w:rFonts w:cs="Calibri"/>
        </w:rPr>
      </w:pPr>
    </w:p>
    <w:p w14:paraId="01C7657E" w14:textId="77777777" w:rsidR="00834440" w:rsidRPr="008E0D63" w:rsidRDefault="00834440" w:rsidP="00834440">
      <w:pPr>
        <w:spacing w:line="240" w:lineRule="auto"/>
        <w:rPr>
          <w:rFonts w:cs="Calibri"/>
        </w:rPr>
      </w:pPr>
      <w:r w:rsidRPr="008E0D63">
        <w:rPr>
          <w:rFonts w:cs="Calibri"/>
        </w:rPr>
        <w:t>Contact: marlene.poncet@essex.ac.uk</w:t>
      </w:r>
    </w:p>
    <w:p w14:paraId="189C7BA8" w14:textId="77777777" w:rsidR="00834440" w:rsidRPr="008E0D63" w:rsidRDefault="00834440" w:rsidP="00834440">
      <w:pPr>
        <w:rPr>
          <w:rFonts w:asciiTheme="majorHAnsi" w:eastAsiaTheme="majorEastAsia" w:hAnsiTheme="majorHAnsi" w:cstheme="majorBidi"/>
          <w:sz w:val="32"/>
          <w:szCs w:val="32"/>
        </w:rPr>
      </w:pPr>
    </w:p>
    <w:p w14:paraId="54BEAA59" w14:textId="77777777" w:rsidR="003D2FD8" w:rsidRDefault="003D2FD8">
      <w:pPr>
        <w:rPr>
          <w:rFonts w:asciiTheme="majorHAnsi" w:eastAsiaTheme="majorEastAsia" w:hAnsiTheme="majorHAnsi" w:cstheme="majorBidi"/>
          <w:color w:val="000000" w:themeColor="text1"/>
          <w:sz w:val="36"/>
          <w:szCs w:val="40"/>
        </w:rPr>
      </w:pPr>
      <w:r>
        <w:br w:type="page"/>
      </w:r>
    </w:p>
    <w:p w14:paraId="28C7BEB2" w14:textId="1D5B5AFF" w:rsidR="001B015B" w:rsidRPr="00834440" w:rsidRDefault="00E738C4" w:rsidP="009E06E9">
      <w:pPr>
        <w:pStyle w:val="Heading1"/>
      </w:pPr>
      <w:r w:rsidRPr="00834440">
        <w:lastRenderedPageBreak/>
        <w:t>Supplementary method</w:t>
      </w:r>
      <w:r w:rsidR="0097515C" w:rsidRPr="00834440">
        <w:t>s: Data analysis</w:t>
      </w:r>
    </w:p>
    <w:p w14:paraId="630AA235" w14:textId="6897F610" w:rsidR="00E738C4" w:rsidRPr="00834440" w:rsidRDefault="00E738C4" w:rsidP="009E06E9">
      <w:pPr>
        <w:pStyle w:val="Heading2"/>
      </w:pPr>
      <w:r w:rsidRPr="00834440">
        <w:t>EEG pre-processing</w:t>
      </w:r>
    </w:p>
    <w:p w14:paraId="0DE12840" w14:textId="6E0A0434" w:rsidR="00E501B0" w:rsidRPr="00834440" w:rsidRDefault="00D91BD6">
      <w:pPr>
        <w:rPr>
          <w:rFonts w:cs="Calibri"/>
          <w:szCs w:val="24"/>
        </w:rPr>
      </w:pPr>
      <w:r w:rsidRPr="00834440">
        <w:rPr>
          <w:rFonts w:cs="Calibri"/>
          <w:szCs w:val="24"/>
        </w:rPr>
        <w:t xml:space="preserve">The </w:t>
      </w:r>
      <w:r w:rsidR="006C6423" w:rsidRPr="00834440">
        <w:rPr>
          <w:rFonts w:cs="Calibri"/>
          <w:szCs w:val="24"/>
        </w:rPr>
        <w:t xml:space="preserve">EEG </w:t>
      </w:r>
      <w:r w:rsidRPr="00834440">
        <w:rPr>
          <w:rFonts w:cs="Calibri"/>
          <w:szCs w:val="24"/>
        </w:rPr>
        <w:t xml:space="preserve">signal was filtered between 0.5 to 48 Hz using </w:t>
      </w:r>
      <w:proofErr w:type="spellStart"/>
      <w:r w:rsidRPr="00834440">
        <w:rPr>
          <w:rFonts w:cs="Calibri"/>
          <w:szCs w:val="24"/>
        </w:rPr>
        <w:t>pop_eegfiltnew</w:t>
      </w:r>
      <w:proofErr w:type="spellEnd"/>
      <w:r w:rsidR="006C6423" w:rsidRPr="00834440">
        <w:rPr>
          <w:rFonts w:cs="Calibri"/>
          <w:szCs w:val="24"/>
        </w:rPr>
        <w:t xml:space="preserve"> function. The function </w:t>
      </w:r>
      <w:r w:rsidR="00E501B0" w:rsidRPr="00834440">
        <w:rPr>
          <w:rFonts w:cs="Calibri"/>
          <w:szCs w:val="24"/>
        </w:rPr>
        <w:t xml:space="preserve">automatically determines the filter length based on the </w:t>
      </w:r>
      <w:proofErr w:type="spellStart"/>
      <w:r w:rsidR="00E501B0" w:rsidRPr="00834440">
        <w:rPr>
          <w:rFonts w:cs="Calibri"/>
          <w:szCs w:val="24"/>
        </w:rPr>
        <w:t>Firfilt</w:t>
      </w:r>
      <w:proofErr w:type="spellEnd"/>
      <w:r w:rsidR="00E501B0" w:rsidRPr="00834440">
        <w:rPr>
          <w:rFonts w:cs="Calibri"/>
          <w:szCs w:val="24"/>
        </w:rPr>
        <w:t xml:space="preserve"> plugin. It then filters the data using Hamming windowed </w:t>
      </w:r>
      <w:proofErr w:type="spellStart"/>
      <w:r w:rsidR="00E501B0" w:rsidRPr="00834440">
        <w:rPr>
          <w:rFonts w:cs="Calibri"/>
          <w:szCs w:val="24"/>
        </w:rPr>
        <w:t>sinc</w:t>
      </w:r>
      <w:proofErr w:type="spellEnd"/>
      <w:r w:rsidR="00E501B0" w:rsidRPr="00834440">
        <w:rPr>
          <w:rFonts w:cs="Calibri"/>
          <w:szCs w:val="24"/>
        </w:rPr>
        <w:t xml:space="preserve"> FIR filter. </w:t>
      </w:r>
    </w:p>
    <w:p w14:paraId="7C9ACE59" w14:textId="40E6E2CE" w:rsidR="001B015B" w:rsidRPr="00834440" w:rsidRDefault="006C6423">
      <w:pPr>
        <w:rPr>
          <w:rFonts w:cs="Calibri"/>
          <w:szCs w:val="24"/>
        </w:rPr>
      </w:pPr>
      <w:r w:rsidRPr="00834440">
        <w:rPr>
          <w:rFonts w:cs="Calibri"/>
          <w:szCs w:val="24"/>
        </w:rPr>
        <w:t>For the ‘</w:t>
      </w:r>
      <w:proofErr w:type="spellStart"/>
      <w:r w:rsidRPr="00834440">
        <w:rPr>
          <w:rFonts w:cs="Calibri"/>
          <w:i/>
          <w:iCs/>
          <w:szCs w:val="24"/>
        </w:rPr>
        <w:t>pop_clean_rawdata</w:t>
      </w:r>
      <w:proofErr w:type="spellEnd"/>
      <w:r w:rsidRPr="00834440">
        <w:rPr>
          <w:rFonts w:cs="Calibri"/>
          <w:i/>
          <w:iCs/>
          <w:szCs w:val="24"/>
        </w:rPr>
        <w:t>’</w:t>
      </w:r>
      <w:r w:rsidRPr="00834440">
        <w:rPr>
          <w:rFonts w:cs="Calibri"/>
          <w:szCs w:val="24"/>
        </w:rPr>
        <w:t xml:space="preserve"> function, </w:t>
      </w:r>
      <w:r w:rsidR="00E501B0" w:rsidRPr="00834440">
        <w:rPr>
          <w:rFonts w:cs="Calibri"/>
          <w:szCs w:val="24"/>
        </w:rPr>
        <w:t xml:space="preserve">channels were removed if </w:t>
      </w:r>
      <w:r w:rsidR="000F7A23" w:rsidRPr="00834440">
        <w:rPr>
          <w:rFonts w:cs="Calibri"/>
          <w:szCs w:val="24"/>
        </w:rPr>
        <w:t xml:space="preserve">a) </w:t>
      </w:r>
      <w:r w:rsidR="00E501B0" w:rsidRPr="00834440">
        <w:rPr>
          <w:rFonts w:cs="Calibri"/>
          <w:szCs w:val="24"/>
        </w:rPr>
        <w:t>they were flat for more than 5 s</w:t>
      </w:r>
      <w:r w:rsidR="000F7A23" w:rsidRPr="00834440">
        <w:rPr>
          <w:rFonts w:cs="Calibri"/>
          <w:szCs w:val="24"/>
        </w:rPr>
        <w:t xml:space="preserve"> b) had a high-frequency noise standard deviation above 6 c) a correlation with nearby channels that was less than 0.8. Data periods with more than 40 standard deviation burst correction for 0.5 s were removed, as well as periods for which the channel power was outside -Inf to 7 range.</w:t>
      </w:r>
    </w:p>
    <w:p w14:paraId="0F01DC2B" w14:textId="572D36C3" w:rsidR="00E738C4" w:rsidRPr="00834440" w:rsidRDefault="00E738C4" w:rsidP="006C126E">
      <w:pPr>
        <w:pStyle w:val="Heading2"/>
        <w:rPr>
          <w:rFonts w:ascii="Calibri" w:hAnsi="Calibri" w:cs="Calibri"/>
        </w:rPr>
      </w:pPr>
      <w:r w:rsidRPr="00834440">
        <w:rPr>
          <w:rFonts w:ascii="Calibri" w:hAnsi="Calibri" w:cs="Calibri"/>
        </w:rPr>
        <w:t xml:space="preserve">HDDM </w:t>
      </w:r>
    </w:p>
    <w:p w14:paraId="1A983807" w14:textId="13D909C8" w:rsidR="005C0DA1" w:rsidRPr="00834440" w:rsidRDefault="00752A0C" w:rsidP="00752A0C">
      <w:pPr>
        <w:rPr>
          <w:rFonts w:cs="Calibri"/>
          <w:szCs w:val="24"/>
        </w:rPr>
      </w:pPr>
      <w:r w:rsidRPr="00834440">
        <w:rPr>
          <w:rFonts w:cs="Calibri"/>
          <w:szCs w:val="24"/>
        </w:rPr>
        <w:t xml:space="preserve">We generated 20,000 posterior samples and discarded the first 2,000 samples as burn-in. In addition to inspecting the output of the model and using the Gelman–Rubin diagnostic, we also evaluated the convergence of the model by performing posterior predictive checks, which consist of simulating new data from the fitted model and comparing it to the original data. The observed and predicted RT distributions for correct and incorrect responses in the different conditions are shown in </w:t>
      </w:r>
      <w:r w:rsidR="00D91BD6" w:rsidRPr="00834440">
        <w:rPr>
          <w:rFonts w:cs="Calibri"/>
          <w:szCs w:val="24"/>
        </w:rPr>
        <w:t>Supp Fig 1 and t</w:t>
      </w:r>
      <w:r w:rsidRPr="00834440">
        <w:rPr>
          <w:rFonts w:cs="Calibri"/>
          <w:szCs w:val="24"/>
        </w:rPr>
        <w:t xml:space="preserve">he summary statistics of the posterior predictive checks can be found in </w:t>
      </w:r>
      <w:r w:rsidR="00D91BD6" w:rsidRPr="00834440">
        <w:rPr>
          <w:rFonts w:cs="Calibri"/>
          <w:szCs w:val="24"/>
        </w:rPr>
        <w:t xml:space="preserve">Supp Table 1. </w:t>
      </w:r>
      <w:r w:rsidRPr="00834440">
        <w:rPr>
          <w:rFonts w:cs="Calibri"/>
          <w:szCs w:val="24"/>
        </w:rPr>
        <w:t xml:space="preserve">They confirm that the predicted RT distribution falls within the 95% credible interval of the observed RT distribution. That is, the model produces data that closely mimics the observed data, indicating that the model fit was excellent. </w:t>
      </w:r>
    </w:p>
    <w:p w14:paraId="2AC1E904" w14:textId="00713D67" w:rsidR="001274F2" w:rsidRPr="00834440" w:rsidRDefault="001274F2">
      <w:pPr>
        <w:rPr>
          <w:rFonts w:cs="Calibri"/>
          <w:sz w:val="22"/>
        </w:rPr>
      </w:pPr>
      <w:r w:rsidRPr="00834440">
        <w:rPr>
          <w:rFonts w:cs="Calibri"/>
          <w:noProof/>
        </w:rPr>
        <w:drawing>
          <wp:inline distT="0" distB="0" distL="0" distR="0" wp14:anchorId="404E3575" wp14:editId="5B763982">
            <wp:extent cx="4909962" cy="2802194"/>
            <wp:effectExtent l="0" t="0" r="0" b="0"/>
            <wp:docPr id="877922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18588" cy="2807117"/>
                    </a:xfrm>
                    <a:prstGeom prst="rect">
                      <a:avLst/>
                    </a:prstGeom>
                    <a:noFill/>
                    <a:ln>
                      <a:noFill/>
                    </a:ln>
                  </pic:spPr>
                </pic:pic>
              </a:graphicData>
            </a:graphic>
          </wp:inline>
        </w:drawing>
      </w:r>
    </w:p>
    <w:p w14:paraId="0A6EB3F4" w14:textId="77777777" w:rsidR="003B28B5" w:rsidRPr="00834440" w:rsidRDefault="003B28B5" w:rsidP="003B28B5">
      <w:pPr>
        <w:rPr>
          <w:rFonts w:ascii="Garamond" w:hAnsi="Garamond" w:cs="Calibri"/>
          <w:szCs w:val="24"/>
        </w:rPr>
      </w:pPr>
      <w:r w:rsidRPr="00834440">
        <w:rPr>
          <w:rFonts w:ascii="Garamond" w:hAnsi="Garamond" w:cs="Calibri"/>
          <w:szCs w:val="24"/>
        </w:rPr>
        <w:t>Supplementary Figure 1. Histograms of posterior predictive checks. Observed (red histograms) and HDDM predicted (blue histograms) RT distributions for the different image categories in the superordinate and basic categorisation tasks. Incorrect responses are represented with negative RTs.</w:t>
      </w:r>
    </w:p>
    <w:tbl>
      <w:tblPr>
        <w:tblStyle w:val="ListTable4"/>
        <w:tblW w:w="9257" w:type="dxa"/>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firstRow="1" w:lastRow="0" w:firstColumn="1" w:lastColumn="0" w:noHBand="0" w:noVBand="1"/>
      </w:tblPr>
      <w:tblGrid>
        <w:gridCol w:w="1668"/>
        <w:gridCol w:w="1134"/>
        <w:gridCol w:w="1134"/>
        <w:gridCol w:w="708"/>
        <w:gridCol w:w="772"/>
        <w:gridCol w:w="708"/>
        <w:gridCol w:w="1701"/>
        <w:gridCol w:w="1432"/>
      </w:tblGrid>
      <w:tr w:rsidR="00DA1B81" w:rsidRPr="00834440" w14:paraId="07625B17" w14:textId="77777777" w:rsidTr="00314F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tcBorders>
              <w:top w:val="none" w:sz="0" w:space="0" w:color="auto"/>
              <w:left w:val="none" w:sz="0" w:space="0" w:color="auto"/>
              <w:bottom w:val="none" w:sz="0" w:space="0" w:color="auto"/>
            </w:tcBorders>
            <w:shd w:val="clear" w:color="auto" w:fill="A6A6A6" w:themeFill="background1" w:themeFillShade="A6"/>
          </w:tcPr>
          <w:p w14:paraId="53831668" w14:textId="77777777" w:rsidR="00EF64FA" w:rsidRPr="00834440" w:rsidRDefault="00EF64FA" w:rsidP="00EF64FA">
            <w:pPr>
              <w:rPr>
                <w:rFonts w:cs="Calibri"/>
                <w:b w:val="0"/>
                <w:bCs w:val="0"/>
                <w:sz w:val="18"/>
                <w:szCs w:val="18"/>
              </w:rPr>
            </w:pPr>
          </w:p>
        </w:tc>
        <w:tc>
          <w:tcPr>
            <w:tcW w:w="1134" w:type="dxa"/>
            <w:tcBorders>
              <w:top w:val="none" w:sz="0" w:space="0" w:color="auto"/>
              <w:bottom w:val="none" w:sz="0" w:space="0" w:color="auto"/>
            </w:tcBorders>
            <w:shd w:val="clear" w:color="auto" w:fill="A6A6A6" w:themeFill="background1" w:themeFillShade="A6"/>
          </w:tcPr>
          <w:p w14:paraId="66FF80BA" w14:textId="244A4242" w:rsidR="00EF64FA" w:rsidRPr="00834440" w:rsidRDefault="00EF64FA" w:rsidP="00314FEE">
            <w:pPr>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Observed</w:t>
            </w:r>
          </w:p>
        </w:tc>
        <w:tc>
          <w:tcPr>
            <w:tcW w:w="1134" w:type="dxa"/>
            <w:tcBorders>
              <w:top w:val="none" w:sz="0" w:space="0" w:color="auto"/>
              <w:bottom w:val="none" w:sz="0" w:space="0" w:color="auto"/>
            </w:tcBorders>
            <w:shd w:val="clear" w:color="auto" w:fill="A6A6A6" w:themeFill="background1" w:themeFillShade="A6"/>
          </w:tcPr>
          <w:p w14:paraId="72FA3D74" w14:textId="4FDC950C" w:rsidR="00EF64FA" w:rsidRPr="00834440" w:rsidRDefault="00EF64FA" w:rsidP="00314FEE">
            <w:pPr>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Simulated</w:t>
            </w:r>
          </w:p>
        </w:tc>
        <w:tc>
          <w:tcPr>
            <w:tcW w:w="708" w:type="dxa"/>
            <w:tcBorders>
              <w:top w:val="none" w:sz="0" w:space="0" w:color="auto"/>
              <w:bottom w:val="none" w:sz="0" w:space="0" w:color="auto"/>
            </w:tcBorders>
            <w:shd w:val="clear" w:color="auto" w:fill="A6A6A6" w:themeFill="background1" w:themeFillShade="A6"/>
          </w:tcPr>
          <w:p w14:paraId="05147BD6" w14:textId="5C4EDA9A" w:rsidR="00EF64FA" w:rsidRPr="00834440" w:rsidRDefault="00EF64FA" w:rsidP="00314FEE">
            <w:pPr>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STD</w:t>
            </w:r>
          </w:p>
        </w:tc>
        <w:tc>
          <w:tcPr>
            <w:tcW w:w="772" w:type="dxa"/>
            <w:tcBorders>
              <w:top w:val="none" w:sz="0" w:space="0" w:color="auto"/>
              <w:bottom w:val="none" w:sz="0" w:space="0" w:color="auto"/>
            </w:tcBorders>
            <w:shd w:val="clear" w:color="auto" w:fill="A6A6A6" w:themeFill="background1" w:themeFillShade="A6"/>
          </w:tcPr>
          <w:p w14:paraId="7DDF7B68" w14:textId="58253FB4" w:rsidR="00EF64FA" w:rsidRPr="00834440" w:rsidRDefault="00EF64FA" w:rsidP="00314FEE">
            <w:pPr>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SEM</w:t>
            </w:r>
          </w:p>
        </w:tc>
        <w:tc>
          <w:tcPr>
            <w:tcW w:w="708" w:type="dxa"/>
            <w:tcBorders>
              <w:top w:val="none" w:sz="0" w:space="0" w:color="auto"/>
              <w:bottom w:val="none" w:sz="0" w:space="0" w:color="auto"/>
            </w:tcBorders>
            <w:shd w:val="clear" w:color="auto" w:fill="A6A6A6" w:themeFill="background1" w:themeFillShade="A6"/>
          </w:tcPr>
          <w:p w14:paraId="018E4D9B" w14:textId="2809BC9A" w:rsidR="00EF64FA" w:rsidRPr="00834440" w:rsidRDefault="00EF64FA" w:rsidP="00314FEE">
            <w:pPr>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MSE</w:t>
            </w:r>
          </w:p>
        </w:tc>
        <w:tc>
          <w:tcPr>
            <w:tcW w:w="1701" w:type="dxa"/>
            <w:tcBorders>
              <w:top w:val="none" w:sz="0" w:space="0" w:color="auto"/>
              <w:bottom w:val="none" w:sz="0" w:space="0" w:color="auto"/>
            </w:tcBorders>
            <w:shd w:val="clear" w:color="auto" w:fill="A6A6A6" w:themeFill="background1" w:themeFillShade="A6"/>
          </w:tcPr>
          <w:p w14:paraId="4B43DA7F" w14:textId="18951C1E" w:rsidR="00EF64FA" w:rsidRPr="00834440" w:rsidRDefault="00EF64FA" w:rsidP="00314FEE">
            <w:pPr>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 xml:space="preserve">within 95% credible </w:t>
            </w:r>
            <w:r w:rsidRPr="00834440">
              <w:rPr>
                <w:rFonts w:cs="Calibri"/>
                <w:color w:val="000000"/>
                <w:sz w:val="18"/>
                <w:szCs w:val="18"/>
              </w:rPr>
              <w:lastRenderedPageBreak/>
              <w:t>interval</w:t>
            </w:r>
          </w:p>
        </w:tc>
        <w:tc>
          <w:tcPr>
            <w:tcW w:w="1432" w:type="dxa"/>
            <w:tcBorders>
              <w:top w:val="none" w:sz="0" w:space="0" w:color="auto"/>
              <w:bottom w:val="none" w:sz="0" w:space="0" w:color="auto"/>
              <w:right w:val="none" w:sz="0" w:space="0" w:color="auto"/>
            </w:tcBorders>
            <w:shd w:val="clear" w:color="auto" w:fill="A6A6A6" w:themeFill="background1" w:themeFillShade="A6"/>
          </w:tcPr>
          <w:p w14:paraId="052213E8" w14:textId="2B6458E8" w:rsidR="00EF64FA" w:rsidRPr="00834440" w:rsidRDefault="00EF64FA" w:rsidP="00314FEE">
            <w:pPr>
              <w:jc w:val="center"/>
              <w:cnfStyle w:val="100000000000" w:firstRow="1" w:lastRow="0" w:firstColumn="0" w:lastColumn="0" w:oddVBand="0" w:evenVBand="0" w:oddHBand="0" w:evenHBand="0" w:firstRowFirstColumn="0" w:firstRowLastColumn="0" w:lastRowFirstColumn="0" w:lastRowLastColumn="0"/>
              <w:rPr>
                <w:rFonts w:cs="Calibri"/>
                <w:sz w:val="18"/>
                <w:szCs w:val="18"/>
              </w:rPr>
            </w:pPr>
            <w:proofErr w:type="spellStart"/>
            <w:r w:rsidRPr="00834440">
              <w:rPr>
                <w:rFonts w:cs="Calibri"/>
                <w:color w:val="000000"/>
                <w:sz w:val="18"/>
                <w:szCs w:val="18"/>
              </w:rPr>
              <w:lastRenderedPageBreak/>
              <w:t>Mahalanobis</w:t>
            </w:r>
            <w:proofErr w:type="spellEnd"/>
            <w:r w:rsidRPr="00834440">
              <w:rPr>
                <w:rFonts w:cs="Calibri"/>
                <w:color w:val="000000"/>
                <w:sz w:val="18"/>
                <w:szCs w:val="18"/>
              </w:rPr>
              <w:t xml:space="preserve"> </w:t>
            </w:r>
            <w:r w:rsidRPr="00834440">
              <w:rPr>
                <w:rFonts w:cs="Calibri"/>
                <w:color w:val="000000"/>
                <w:sz w:val="18"/>
                <w:szCs w:val="18"/>
              </w:rPr>
              <w:lastRenderedPageBreak/>
              <w:t>distance</w:t>
            </w:r>
          </w:p>
        </w:tc>
      </w:tr>
      <w:tr w:rsidR="00DA1B81" w:rsidRPr="00834440" w14:paraId="2A2DA61C" w14:textId="77777777" w:rsidTr="00314F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tcPr>
          <w:p w14:paraId="634D307C" w14:textId="43B383FD" w:rsidR="00EF64FA" w:rsidRPr="00834440" w:rsidRDefault="00EF64FA" w:rsidP="00EF64FA">
            <w:pPr>
              <w:rPr>
                <w:rFonts w:cs="Calibri"/>
                <w:b w:val="0"/>
                <w:bCs w:val="0"/>
                <w:sz w:val="18"/>
                <w:szCs w:val="18"/>
              </w:rPr>
            </w:pPr>
            <w:r w:rsidRPr="00834440">
              <w:rPr>
                <w:rFonts w:cs="Calibri"/>
                <w:b w:val="0"/>
                <w:bCs w:val="0"/>
                <w:color w:val="000000"/>
                <w:sz w:val="18"/>
                <w:szCs w:val="18"/>
              </w:rPr>
              <w:lastRenderedPageBreak/>
              <w:t>mean accuracy</w:t>
            </w:r>
          </w:p>
        </w:tc>
        <w:tc>
          <w:tcPr>
            <w:tcW w:w="1134" w:type="dxa"/>
            <w:shd w:val="clear" w:color="auto" w:fill="D9D9D9" w:themeFill="background1" w:themeFillShade="D9"/>
          </w:tcPr>
          <w:p w14:paraId="2349E88E" w14:textId="58DB543B"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0.96</w:t>
            </w:r>
          </w:p>
        </w:tc>
        <w:tc>
          <w:tcPr>
            <w:tcW w:w="1134" w:type="dxa"/>
            <w:shd w:val="clear" w:color="auto" w:fill="D9D9D9" w:themeFill="background1" w:themeFillShade="D9"/>
          </w:tcPr>
          <w:p w14:paraId="656B4B74" w14:textId="713B34AC"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0.98</w:t>
            </w:r>
          </w:p>
        </w:tc>
        <w:tc>
          <w:tcPr>
            <w:tcW w:w="708" w:type="dxa"/>
            <w:shd w:val="clear" w:color="auto" w:fill="D9D9D9" w:themeFill="background1" w:themeFillShade="D9"/>
          </w:tcPr>
          <w:p w14:paraId="603A8000" w14:textId="07609124"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0.03</w:t>
            </w:r>
          </w:p>
        </w:tc>
        <w:tc>
          <w:tcPr>
            <w:tcW w:w="772" w:type="dxa"/>
            <w:shd w:val="clear" w:color="auto" w:fill="D9D9D9" w:themeFill="background1" w:themeFillShade="D9"/>
          </w:tcPr>
          <w:p w14:paraId="3F4D5831" w14:textId="1EACBFDD"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&lt;.001</w:t>
            </w:r>
          </w:p>
        </w:tc>
        <w:tc>
          <w:tcPr>
            <w:tcW w:w="708" w:type="dxa"/>
            <w:shd w:val="clear" w:color="auto" w:fill="D9D9D9" w:themeFill="background1" w:themeFillShade="D9"/>
          </w:tcPr>
          <w:p w14:paraId="153D21A0" w14:textId="64493416"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0.001</w:t>
            </w:r>
          </w:p>
        </w:tc>
        <w:tc>
          <w:tcPr>
            <w:tcW w:w="1701" w:type="dxa"/>
            <w:shd w:val="clear" w:color="auto" w:fill="D9D9D9" w:themeFill="background1" w:themeFillShade="D9"/>
          </w:tcPr>
          <w:p w14:paraId="653FB816" w14:textId="67600FAC"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TRUE</w:t>
            </w:r>
          </w:p>
        </w:tc>
        <w:tc>
          <w:tcPr>
            <w:tcW w:w="1432" w:type="dxa"/>
            <w:shd w:val="clear" w:color="auto" w:fill="D9D9D9" w:themeFill="background1" w:themeFillShade="D9"/>
          </w:tcPr>
          <w:p w14:paraId="58861056" w14:textId="6B4637F6"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0.75</w:t>
            </w:r>
          </w:p>
        </w:tc>
      </w:tr>
      <w:tr w:rsidR="00DA1B81" w:rsidRPr="00834440" w14:paraId="278C76B8" w14:textId="77777777" w:rsidTr="00DA1B81">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344A451B" w14:textId="7FDDC995" w:rsidR="00EF64FA" w:rsidRPr="00834440" w:rsidRDefault="00EF64FA" w:rsidP="00EF64FA">
            <w:pPr>
              <w:rPr>
                <w:rFonts w:cs="Calibri"/>
                <w:b w:val="0"/>
                <w:bCs w:val="0"/>
                <w:sz w:val="18"/>
                <w:szCs w:val="18"/>
              </w:rPr>
            </w:pPr>
            <w:r w:rsidRPr="00834440">
              <w:rPr>
                <w:rFonts w:cs="Calibri"/>
                <w:b w:val="0"/>
                <w:bCs w:val="0"/>
                <w:color w:val="000000"/>
                <w:sz w:val="18"/>
                <w:szCs w:val="18"/>
              </w:rPr>
              <w:t>mean RT upper boundary</w:t>
            </w:r>
          </w:p>
        </w:tc>
        <w:tc>
          <w:tcPr>
            <w:tcW w:w="1134" w:type="dxa"/>
          </w:tcPr>
          <w:p w14:paraId="2049FAD9" w14:textId="7A8B44A6"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0.61</w:t>
            </w:r>
          </w:p>
        </w:tc>
        <w:tc>
          <w:tcPr>
            <w:tcW w:w="1134" w:type="dxa"/>
          </w:tcPr>
          <w:p w14:paraId="512908BC" w14:textId="4BD58752"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0.63</w:t>
            </w:r>
          </w:p>
        </w:tc>
        <w:tc>
          <w:tcPr>
            <w:tcW w:w="708" w:type="dxa"/>
          </w:tcPr>
          <w:p w14:paraId="2E40ED17" w14:textId="59B527BC"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0.07</w:t>
            </w:r>
          </w:p>
        </w:tc>
        <w:tc>
          <w:tcPr>
            <w:tcW w:w="772" w:type="dxa"/>
          </w:tcPr>
          <w:p w14:paraId="0BD44833" w14:textId="15C23410"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&lt;.001</w:t>
            </w:r>
          </w:p>
        </w:tc>
        <w:tc>
          <w:tcPr>
            <w:tcW w:w="708" w:type="dxa"/>
          </w:tcPr>
          <w:p w14:paraId="69E292E2" w14:textId="5653F858"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0.005</w:t>
            </w:r>
          </w:p>
        </w:tc>
        <w:tc>
          <w:tcPr>
            <w:tcW w:w="1701" w:type="dxa"/>
          </w:tcPr>
          <w:p w14:paraId="3429D772" w14:textId="6E6B1A16"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TRUE</w:t>
            </w:r>
          </w:p>
        </w:tc>
        <w:tc>
          <w:tcPr>
            <w:tcW w:w="1432" w:type="dxa"/>
          </w:tcPr>
          <w:p w14:paraId="443B071B" w14:textId="1DD4C132"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0.28</w:t>
            </w:r>
          </w:p>
        </w:tc>
      </w:tr>
      <w:tr w:rsidR="00DA1B81" w:rsidRPr="00834440" w14:paraId="060DE872" w14:textId="77777777" w:rsidTr="00DA1B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tcPr>
          <w:p w14:paraId="52B33780" w14:textId="060450BE" w:rsidR="00EF64FA" w:rsidRPr="00834440" w:rsidRDefault="00EF64FA" w:rsidP="00EF64FA">
            <w:pPr>
              <w:rPr>
                <w:rFonts w:cs="Calibri"/>
                <w:b w:val="0"/>
                <w:bCs w:val="0"/>
                <w:sz w:val="18"/>
                <w:szCs w:val="18"/>
              </w:rPr>
            </w:pPr>
            <w:r w:rsidRPr="00834440">
              <w:rPr>
                <w:rFonts w:cs="Calibri"/>
                <w:b w:val="0"/>
                <w:bCs w:val="0"/>
                <w:color w:val="000000"/>
                <w:sz w:val="18"/>
                <w:szCs w:val="18"/>
              </w:rPr>
              <w:t>std upper boundary</w:t>
            </w:r>
          </w:p>
        </w:tc>
        <w:tc>
          <w:tcPr>
            <w:tcW w:w="1134" w:type="dxa"/>
            <w:shd w:val="clear" w:color="auto" w:fill="D9D9D9" w:themeFill="background1" w:themeFillShade="D9"/>
          </w:tcPr>
          <w:p w14:paraId="40650E5B" w14:textId="6E9A37A0"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0.15</w:t>
            </w:r>
          </w:p>
        </w:tc>
        <w:tc>
          <w:tcPr>
            <w:tcW w:w="1134" w:type="dxa"/>
            <w:shd w:val="clear" w:color="auto" w:fill="D9D9D9" w:themeFill="background1" w:themeFillShade="D9"/>
          </w:tcPr>
          <w:p w14:paraId="7FE47F43" w14:textId="2D54F494"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0.19</w:t>
            </w:r>
          </w:p>
        </w:tc>
        <w:tc>
          <w:tcPr>
            <w:tcW w:w="708" w:type="dxa"/>
            <w:shd w:val="clear" w:color="auto" w:fill="D9D9D9" w:themeFill="background1" w:themeFillShade="D9"/>
          </w:tcPr>
          <w:p w14:paraId="7BF3351B" w14:textId="2F37AA8F"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0.06</w:t>
            </w:r>
          </w:p>
        </w:tc>
        <w:tc>
          <w:tcPr>
            <w:tcW w:w="772" w:type="dxa"/>
            <w:shd w:val="clear" w:color="auto" w:fill="D9D9D9" w:themeFill="background1" w:themeFillShade="D9"/>
          </w:tcPr>
          <w:p w14:paraId="3C49521B" w14:textId="0596ECCB"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0.001</w:t>
            </w:r>
          </w:p>
        </w:tc>
        <w:tc>
          <w:tcPr>
            <w:tcW w:w="708" w:type="dxa"/>
            <w:shd w:val="clear" w:color="auto" w:fill="D9D9D9" w:themeFill="background1" w:themeFillShade="D9"/>
          </w:tcPr>
          <w:p w14:paraId="63DFB50A" w14:textId="0A06EE1B"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0.005</w:t>
            </w:r>
          </w:p>
        </w:tc>
        <w:tc>
          <w:tcPr>
            <w:tcW w:w="1701" w:type="dxa"/>
            <w:shd w:val="clear" w:color="auto" w:fill="D9D9D9" w:themeFill="background1" w:themeFillShade="D9"/>
          </w:tcPr>
          <w:p w14:paraId="18313BAB" w14:textId="46E94ACA"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TRUE</w:t>
            </w:r>
          </w:p>
        </w:tc>
        <w:tc>
          <w:tcPr>
            <w:tcW w:w="1432" w:type="dxa"/>
            <w:shd w:val="clear" w:color="auto" w:fill="D9D9D9" w:themeFill="background1" w:themeFillShade="D9"/>
          </w:tcPr>
          <w:p w14:paraId="33CACC57" w14:textId="7EE6FE12"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0.66</w:t>
            </w:r>
          </w:p>
        </w:tc>
      </w:tr>
      <w:tr w:rsidR="00DA1B81" w:rsidRPr="00834440" w14:paraId="1A1C3630" w14:textId="77777777" w:rsidTr="00DA1B81">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5E9B11CA" w14:textId="7EADFECF" w:rsidR="00EF64FA" w:rsidRPr="00834440" w:rsidRDefault="00EF64FA" w:rsidP="00EF64FA">
            <w:pPr>
              <w:rPr>
                <w:rFonts w:cs="Calibri"/>
                <w:b w:val="0"/>
                <w:bCs w:val="0"/>
                <w:sz w:val="18"/>
                <w:szCs w:val="18"/>
              </w:rPr>
            </w:pPr>
            <w:r w:rsidRPr="00834440">
              <w:rPr>
                <w:rFonts w:cs="Calibri"/>
                <w:b w:val="0"/>
                <w:bCs w:val="0"/>
                <w:color w:val="000000"/>
                <w:sz w:val="18"/>
                <w:szCs w:val="18"/>
              </w:rPr>
              <w:t>10 quartile upper boundary</w:t>
            </w:r>
          </w:p>
        </w:tc>
        <w:tc>
          <w:tcPr>
            <w:tcW w:w="1134" w:type="dxa"/>
          </w:tcPr>
          <w:p w14:paraId="7E064AF2" w14:textId="74153838"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0.46</w:t>
            </w:r>
          </w:p>
        </w:tc>
        <w:tc>
          <w:tcPr>
            <w:tcW w:w="1134" w:type="dxa"/>
          </w:tcPr>
          <w:p w14:paraId="52761A94" w14:textId="6D1AA145"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0.45</w:t>
            </w:r>
          </w:p>
        </w:tc>
        <w:tc>
          <w:tcPr>
            <w:tcW w:w="708" w:type="dxa"/>
          </w:tcPr>
          <w:p w14:paraId="17E67290" w14:textId="31A9C7AF"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0.05</w:t>
            </w:r>
          </w:p>
        </w:tc>
        <w:tc>
          <w:tcPr>
            <w:tcW w:w="772" w:type="dxa"/>
          </w:tcPr>
          <w:p w14:paraId="7EC5CD22" w14:textId="595E428A"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&lt;.001</w:t>
            </w:r>
          </w:p>
        </w:tc>
        <w:tc>
          <w:tcPr>
            <w:tcW w:w="708" w:type="dxa"/>
          </w:tcPr>
          <w:p w14:paraId="055B94DB" w14:textId="102B8A4B"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0.003</w:t>
            </w:r>
          </w:p>
        </w:tc>
        <w:tc>
          <w:tcPr>
            <w:tcW w:w="1701" w:type="dxa"/>
          </w:tcPr>
          <w:p w14:paraId="256A40A5" w14:textId="716510C5"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TRUE</w:t>
            </w:r>
          </w:p>
        </w:tc>
        <w:tc>
          <w:tcPr>
            <w:tcW w:w="1432" w:type="dxa"/>
          </w:tcPr>
          <w:p w14:paraId="783EBE6C" w14:textId="4D41583E"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0.20</w:t>
            </w:r>
          </w:p>
        </w:tc>
      </w:tr>
      <w:tr w:rsidR="00DA1B81" w:rsidRPr="00834440" w14:paraId="7FAE1F1D" w14:textId="77777777" w:rsidTr="00DA1B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tcPr>
          <w:p w14:paraId="47579A24" w14:textId="5EE313F8" w:rsidR="00EF64FA" w:rsidRPr="00834440" w:rsidRDefault="00EF64FA" w:rsidP="00EF64FA">
            <w:pPr>
              <w:rPr>
                <w:rFonts w:cs="Calibri"/>
                <w:b w:val="0"/>
                <w:bCs w:val="0"/>
                <w:sz w:val="18"/>
                <w:szCs w:val="18"/>
              </w:rPr>
            </w:pPr>
            <w:r w:rsidRPr="00834440">
              <w:rPr>
                <w:rFonts w:cs="Calibri"/>
                <w:b w:val="0"/>
                <w:bCs w:val="0"/>
                <w:color w:val="000000"/>
                <w:sz w:val="18"/>
                <w:szCs w:val="18"/>
              </w:rPr>
              <w:t>30 quartile upper boundary</w:t>
            </w:r>
          </w:p>
        </w:tc>
        <w:tc>
          <w:tcPr>
            <w:tcW w:w="1134" w:type="dxa"/>
            <w:shd w:val="clear" w:color="auto" w:fill="D9D9D9" w:themeFill="background1" w:themeFillShade="D9"/>
          </w:tcPr>
          <w:p w14:paraId="06C13498" w14:textId="4881FBF1"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0.53</w:t>
            </w:r>
          </w:p>
        </w:tc>
        <w:tc>
          <w:tcPr>
            <w:tcW w:w="1134" w:type="dxa"/>
            <w:shd w:val="clear" w:color="auto" w:fill="D9D9D9" w:themeFill="background1" w:themeFillShade="D9"/>
          </w:tcPr>
          <w:p w14:paraId="3D0B52B5" w14:textId="3DAB2724"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0.51</w:t>
            </w:r>
          </w:p>
        </w:tc>
        <w:tc>
          <w:tcPr>
            <w:tcW w:w="708" w:type="dxa"/>
            <w:shd w:val="clear" w:color="auto" w:fill="D9D9D9" w:themeFill="background1" w:themeFillShade="D9"/>
          </w:tcPr>
          <w:p w14:paraId="7670B906" w14:textId="6A095AB4"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0.05</w:t>
            </w:r>
          </w:p>
        </w:tc>
        <w:tc>
          <w:tcPr>
            <w:tcW w:w="772" w:type="dxa"/>
            <w:shd w:val="clear" w:color="auto" w:fill="D9D9D9" w:themeFill="background1" w:themeFillShade="D9"/>
          </w:tcPr>
          <w:p w14:paraId="5D772220" w14:textId="03E9A84D"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&lt;.001</w:t>
            </w:r>
          </w:p>
        </w:tc>
        <w:tc>
          <w:tcPr>
            <w:tcW w:w="708" w:type="dxa"/>
            <w:shd w:val="clear" w:color="auto" w:fill="D9D9D9" w:themeFill="background1" w:themeFillShade="D9"/>
          </w:tcPr>
          <w:p w14:paraId="3E6504B6" w14:textId="35EA3D95"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0.003</w:t>
            </w:r>
          </w:p>
        </w:tc>
        <w:tc>
          <w:tcPr>
            <w:tcW w:w="1701" w:type="dxa"/>
            <w:shd w:val="clear" w:color="auto" w:fill="D9D9D9" w:themeFill="background1" w:themeFillShade="D9"/>
          </w:tcPr>
          <w:p w14:paraId="447280D9" w14:textId="76494C07"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TRUE</w:t>
            </w:r>
          </w:p>
        </w:tc>
        <w:tc>
          <w:tcPr>
            <w:tcW w:w="1432" w:type="dxa"/>
            <w:shd w:val="clear" w:color="auto" w:fill="D9D9D9" w:themeFill="background1" w:themeFillShade="D9"/>
          </w:tcPr>
          <w:p w14:paraId="77C5F0A7" w14:textId="74F68CA5"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0.27</w:t>
            </w:r>
          </w:p>
        </w:tc>
      </w:tr>
      <w:tr w:rsidR="00DA1B81" w:rsidRPr="00834440" w14:paraId="46025330" w14:textId="77777777" w:rsidTr="00DA1B81">
        <w:trPr>
          <w:jc w:val="center"/>
        </w:trPr>
        <w:tc>
          <w:tcPr>
            <w:cnfStyle w:val="001000000000" w:firstRow="0" w:lastRow="0" w:firstColumn="1" w:lastColumn="0" w:oddVBand="0" w:evenVBand="0" w:oddHBand="0" w:evenHBand="0" w:firstRowFirstColumn="0" w:firstRowLastColumn="0" w:lastRowFirstColumn="0" w:lastRowLastColumn="0"/>
            <w:tcW w:w="1668" w:type="dxa"/>
          </w:tcPr>
          <w:p w14:paraId="55ECA3D4" w14:textId="317E898F" w:rsidR="00EF64FA" w:rsidRPr="00834440" w:rsidRDefault="00EF64FA" w:rsidP="00EF64FA">
            <w:pPr>
              <w:rPr>
                <w:rFonts w:cs="Calibri"/>
                <w:b w:val="0"/>
                <w:bCs w:val="0"/>
                <w:sz w:val="18"/>
                <w:szCs w:val="18"/>
              </w:rPr>
            </w:pPr>
            <w:r w:rsidRPr="00834440">
              <w:rPr>
                <w:rFonts w:cs="Calibri"/>
                <w:b w:val="0"/>
                <w:bCs w:val="0"/>
                <w:color w:val="000000"/>
                <w:sz w:val="18"/>
                <w:szCs w:val="18"/>
              </w:rPr>
              <w:t>50 quartile upper boundary</w:t>
            </w:r>
          </w:p>
        </w:tc>
        <w:tc>
          <w:tcPr>
            <w:tcW w:w="1134" w:type="dxa"/>
          </w:tcPr>
          <w:p w14:paraId="7255E570" w14:textId="5E6FF0EA"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0.58</w:t>
            </w:r>
          </w:p>
        </w:tc>
        <w:tc>
          <w:tcPr>
            <w:tcW w:w="1134" w:type="dxa"/>
          </w:tcPr>
          <w:p w14:paraId="644FE954" w14:textId="077A232B"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0.58</w:t>
            </w:r>
          </w:p>
        </w:tc>
        <w:tc>
          <w:tcPr>
            <w:tcW w:w="708" w:type="dxa"/>
          </w:tcPr>
          <w:p w14:paraId="68B72E3B" w14:textId="73A3DA25"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0.06</w:t>
            </w:r>
          </w:p>
        </w:tc>
        <w:tc>
          <w:tcPr>
            <w:tcW w:w="772" w:type="dxa"/>
          </w:tcPr>
          <w:p w14:paraId="56756ACB" w14:textId="6FF4C01D"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&lt;.001</w:t>
            </w:r>
          </w:p>
        </w:tc>
        <w:tc>
          <w:tcPr>
            <w:tcW w:w="708" w:type="dxa"/>
          </w:tcPr>
          <w:p w14:paraId="718ED405" w14:textId="1B7B1059"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0.004</w:t>
            </w:r>
          </w:p>
        </w:tc>
        <w:tc>
          <w:tcPr>
            <w:tcW w:w="1701" w:type="dxa"/>
          </w:tcPr>
          <w:p w14:paraId="0F68C1B3" w14:textId="5B2EEAE4"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TRUE</w:t>
            </w:r>
          </w:p>
        </w:tc>
        <w:tc>
          <w:tcPr>
            <w:tcW w:w="1432" w:type="dxa"/>
          </w:tcPr>
          <w:p w14:paraId="40DBA97F" w14:textId="31F60E63" w:rsidR="00EF64FA" w:rsidRPr="00834440" w:rsidRDefault="00EF64FA" w:rsidP="00DA1B81">
            <w:pPr>
              <w:jc w:val="center"/>
              <w:cnfStyle w:val="000000000000" w:firstRow="0" w:lastRow="0" w:firstColumn="0" w:lastColumn="0" w:oddVBand="0" w:evenVBand="0" w:oddHBand="0" w:evenHBand="0" w:firstRowFirstColumn="0" w:firstRowLastColumn="0" w:lastRowFirstColumn="0" w:lastRowLastColumn="0"/>
              <w:rPr>
                <w:rFonts w:cs="Calibri"/>
                <w:sz w:val="18"/>
                <w:szCs w:val="18"/>
              </w:rPr>
            </w:pPr>
            <w:r w:rsidRPr="00834440">
              <w:rPr>
                <w:rFonts w:cs="Calibri"/>
                <w:color w:val="000000"/>
                <w:sz w:val="18"/>
                <w:szCs w:val="18"/>
              </w:rPr>
              <w:t>0.03</w:t>
            </w:r>
          </w:p>
        </w:tc>
      </w:tr>
      <w:tr w:rsidR="00DA1B81" w:rsidRPr="00834440" w14:paraId="7E909E3C" w14:textId="77777777" w:rsidTr="00DA1B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tcPr>
          <w:p w14:paraId="623E4169" w14:textId="4792B279" w:rsidR="00EF64FA" w:rsidRPr="00834440" w:rsidRDefault="00EF64FA" w:rsidP="00EF64FA">
            <w:pPr>
              <w:rPr>
                <w:rFonts w:cs="Calibri"/>
                <w:b w:val="0"/>
                <w:bCs w:val="0"/>
                <w:sz w:val="18"/>
                <w:szCs w:val="18"/>
              </w:rPr>
            </w:pPr>
            <w:r w:rsidRPr="00834440">
              <w:rPr>
                <w:rFonts w:cs="Calibri"/>
                <w:b w:val="0"/>
                <w:bCs w:val="0"/>
                <w:color w:val="000000"/>
                <w:sz w:val="18"/>
                <w:szCs w:val="18"/>
              </w:rPr>
              <w:t>70 quartile upper boundary</w:t>
            </w:r>
          </w:p>
        </w:tc>
        <w:tc>
          <w:tcPr>
            <w:tcW w:w="1134" w:type="dxa"/>
            <w:shd w:val="clear" w:color="auto" w:fill="D9D9D9" w:themeFill="background1" w:themeFillShade="D9"/>
          </w:tcPr>
          <w:p w14:paraId="09604558" w14:textId="61D5A2DF"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0.65</w:t>
            </w:r>
          </w:p>
        </w:tc>
        <w:tc>
          <w:tcPr>
            <w:tcW w:w="1134" w:type="dxa"/>
            <w:shd w:val="clear" w:color="auto" w:fill="D9D9D9" w:themeFill="background1" w:themeFillShade="D9"/>
          </w:tcPr>
          <w:p w14:paraId="4D50FF89" w14:textId="5BD639D3"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0.68</w:t>
            </w:r>
          </w:p>
        </w:tc>
        <w:tc>
          <w:tcPr>
            <w:tcW w:w="708" w:type="dxa"/>
            <w:shd w:val="clear" w:color="auto" w:fill="D9D9D9" w:themeFill="background1" w:themeFillShade="D9"/>
          </w:tcPr>
          <w:p w14:paraId="3767F7F2" w14:textId="4475344F"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0.08</w:t>
            </w:r>
          </w:p>
        </w:tc>
        <w:tc>
          <w:tcPr>
            <w:tcW w:w="772" w:type="dxa"/>
            <w:shd w:val="clear" w:color="auto" w:fill="D9D9D9" w:themeFill="background1" w:themeFillShade="D9"/>
          </w:tcPr>
          <w:p w14:paraId="2A9FDC34" w14:textId="5F64A0AD"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0.001</w:t>
            </w:r>
          </w:p>
        </w:tc>
        <w:tc>
          <w:tcPr>
            <w:tcW w:w="708" w:type="dxa"/>
            <w:shd w:val="clear" w:color="auto" w:fill="D9D9D9" w:themeFill="background1" w:themeFillShade="D9"/>
          </w:tcPr>
          <w:p w14:paraId="51CF6FD6" w14:textId="3274EEDB"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0.007</w:t>
            </w:r>
          </w:p>
        </w:tc>
        <w:tc>
          <w:tcPr>
            <w:tcW w:w="1701" w:type="dxa"/>
            <w:shd w:val="clear" w:color="auto" w:fill="D9D9D9" w:themeFill="background1" w:themeFillShade="D9"/>
          </w:tcPr>
          <w:p w14:paraId="1E024062" w14:textId="4AFC1183"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sz w:val="18"/>
                <w:szCs w:val="18"/>
              </w:rPr>
            </w:pPr>
            <w:r w:rsidRPr="00834440">
              <w:rPr>
                <w:rFonts w:cs="Calibri"/>
                <w:color w:val="000000"/>
                <w:sz w:val="18"/>
                <w:szCs w:val="18"/>
              </w:rPr>
              <w:t>TRUE</w:t>
            </w:r>
          </w:p>
        </w:tc>
        <w:tc>
          <w:tcPr>
            <w:tcW w:w="1432" w:type="dxa"/>
            <w:shd w:val="clear" w:color="auto" w:fill="D9D9D9" w:themeFill="background1" w:themeFillShade="D9"/>
          </w:tcPr>
          <w:p w14:paraId="72049B70" w14:textId="77777777" w:rsidR="00EF64FA" w:rsidRPr="00834440" w:rsidRDefault="00EF64FA" w:rsidP="00DA1B81">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0.37</w:t>
            </w:r>
          </w:p>
          <w:p w14:paraId="576CA8B2" w14:textId="4338B325" w:rsidR="00DA1B81" w:rsidRPr="00834440" w:rsidRDefault="00DA1B81" w:rsidP="00DA1B81">
            <w:pPr>
              <w:cnfStyle w:val="000000100000" w:firstRow="0" w:lastRow="0" w:firstColumn="0" w:lastColumn="0" w:oddVBand="0" w:evenVBand="0" w:oddHBand="1" w:evenHBand="0" w:firstRowFirstColumn="0" w:firstRowLastColumn="0" w:lastRowFirstColumn="0" w:lastRowLastColumn="0"/>
              <w:rPr>
                <w:rFonts w:cs="Calibri"/>
                <w:sz w:val="18"/>
                <w:szCs w:val="18"/>
              </w:rPr>
            </w:pPr>
          </w:p>
        </w:tc>
      </w:tr>
      <w:tr w:rsidR="000F5ABC" w:rsidRPr="00834440" w14:paraId="7070D3D6" w14:textId="77777777" w:rsidTr="005C553F">
        <w:trPr>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bottom"/>
          </w:tcPr>
          <w:p w14:paraId="29530B21" w14:textId="14A839F3" w:rsidR="000F5ABC" w:rsidRPr="00834440" w:rsidRDefault="000F5ABC" w:rsidP="000F5ABC">
            <w:pPr>
              <w:rPr>
                <w:rFonts w:cs="Calibri"/>
                <w:b w:val="0"/>
                <w:bCs w:val="0"/>
                <w:color w:val="000000"/>
                <w:sz w:val="18"/>
                <w:szCs w:val="18"/>
              </w:rPr>
            </w:pPr>
            <w:r w:rsidRPr="00834440">
              <w:rPr>
                <w:rFonts w:cs="Calibri"/>
                <w:b w:val="0"/>
                <w:bCs w:val="0"/>
                <w:color w:val="000000"/>
                <w:sz w:val="18"/>
                <w:szCs w:val="18"/>
              </w:rPr>
              <w:t>90 quartile upper boundary</w:t>
            </w:r>
          </w:p>
        </w:tc>
        <w:tc>
          <w:tcPr>
            <w:tcW w:w="1134" w:type="dxa"/>
            <w:shd w:val="clear" w:color="auto" w:fill="auto"/>
            <w:vAlign w:val="bottom"/>
          </w:tcPr>
          <w:p w14:paraId="71DEC5BB" w14:textId="14C3ED48"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0.79</w:t>
            </w:r>
          </w:p>
        </w:tc>
        <w:tc>
          <w:tcPr>
            <w:tcW w:w="1134" w:type="dxa"/>
            <w:shd w:val="clear" w:color="auto" w:fill="auto"/>
            <w:vAlign w:val="bottom"/>
          </w:tcPr>
          <w:p w14:paraId="0A54817C" w14:textId="3B729A01"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0.87</w:t>
            </w:r>
          </w:p>
        </w:tc>
        <w:tc>
          <w:tcPr>
            <w:tcW w:w="708" w:type="dxa"/>
            <w:shd w:val="clear" w:color="auto" w:fill="auto"/>
            <w:vAlign w:val="bottom"/>
          </w:tcPr>
          <w:p w14:paraId="66F830E9" w14:textId="368AF0B4"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0.13</w:t>
            </w:r>
          </w:p>
        </w:tc>
        <w:tc>
          <w:tcPr>
            <w:tcW w:w="772" w:type="dxa"/>
            <w:shd w:val="clear" w:color="auto" w:fill="auto"/>
            <w:vAlign w:val="bottom"/>
          </w:tcPr>
          <w:p w14:paraId="5A7943B1" w14:textId="0B410927"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0.006</w:t>
            </w:r>
          </w:p>
        </w:tc>
        <w:tc>
          <w:tcPr>
            <w:tcW w:w="708" w:type="dxa"/>
            <w:shd w:val="clear" w:color="auto" w:fill="auto"/>
            <w:vAlign w:val="bottom"/>
          </w:tcPr>
          <w:p w14:paraId="7926D076" w14:textId="5908D5E3"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0.024</w:t>
            </w:r>
          </w:p>
        </w:tc>
        <w:tc>
          <w:tcPr>
            <w:tcW w:w="1701" w:type="dxa"/>
            <w:shd w:val="clear" w:color="auto" w:fill="auto"/>
            <w:vAlign w:val="bottom"/>
          </w:tcPr>
          <w:p w14:paraId="61184609" w14:textId="43025290"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TRUE</w:t>
            </w:r>
          </w:p>
        </w:tc>
        <w:tc>
          <w:tcPr>
            <w:tcW w:w="1432" w:type="dxa"/>
            <w:shd w:val="clear" w:color="auto" w:fill="auto"/>
            <w:vAlign w:val="bottom"/>
          </w:tcPr>
          <w:p w14:paraId="7B43BB2E" w14:textId="4B2623C5"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0.61</w:t>
            </w:r>
          </w:p>
        </w:tc>
      </w:tr>
      <w:tr w:rsidR="000F5ABC" w:rsidRPr="00834440" w14:paraId="0F8A29B9" w14:textId="77777777" w:rsidTr="000F7A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vAlign w:val="bottom"/>
          </w:tcPr>
          <w:p w14:paraId="337BA9F6" w14:textId="11372505" w:rsidR="000F5ABC" w:rsidRPr="00834440" w:rsidRDefault="000F5ABC" w:rsidP="000F5ABC">
            <w:pPr>
              <w:rPr>
                <w:rFonts w:cs="Calibri"/>
                <w:b w:val="0"/>
                <w:bCs w:val="0"/>
                <w:color w:val="000000"/>
                <w:sz w:val="18"/>
                <w:szCs w:val="18"/>
              </w:rPr>
            </w:pPr>
            <w:r w:rsidRPr="00834440">
              <w:rPr>
                <w:rFonts w:cs="Calibri"/>
                <w:b w:val="0"/>
                <w:bCs w:val="0"/>
                <w:color w:val="000000"/>
                <w:sz w:val="18"/>
                <w:szCs w:val="18"/>
              </w:rPr>
              <w:t>mean RT lower boundary</w:t>
            </w:r>
          </w:p>
        </w:tc>
        <w:tc>
          <w:tcPr>
            <w:tcW w:w="1134" w:type="dxa"/>
            <w:shd w:val="clear" w:color="auto" w:fill="D9D9D9" w:themeFill="background1" w:themeFillShade="D9"/>
            <w:vAlign w:val="bottom"/>
          </w:tcPr>
          <w:p w14:paraId="2A340787" w14:textId="0B93EC3D"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-0.62</w:t>
            </w:r>
          </w:p>
        </w:tc>
        <w:tc>
          <w:tcPr>
            <w:tcW w:w="1134" w:type="dxa"/>
            <w:shd w:val="clear" w:color="auto" w:fill="D9D9D9" w:themeFill="background1" w:themeFillShade="D9"/>
            <w:vAlign w:val="bottom"/>
          </w:tcPr>
          <w:p w14:paraId="2911929F" w14:textId="44DA9536"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-0.64</w:t>
            </w:r>
          </w:p>
        </w:tc>
        <w:tc>
          <w:tcPr>
            <w:tcW w:w="708" w:type="dxa"/>
            <w:shd w:val="clear" w:color="auto" w:fill="D9D9D9" w:themeFill="background1" w:themeFillShade="D9"/>
            <w:vAlign w:val="bottom"/>
          </w:tcPr>
          <w:p w14:paraId="2232A9AB" w14:textId="109B032D"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0.13</w:t>
            </w:r>
          </w:p>
        </w:tc>
        <w:tc>
          <w:tcPr>
            <w:tcW w:w="772" w:type="dxa"/>
            <w:shd w:val="clear" w:color="auto" w:fill="D9D9D9" w:themeFill="background1" w:themeFillShade="D9"/>
            <w:vAlign w:val="bottom"/>
          </w:tcPr>
          <w:p w14:paraId="0CA3B8AD" w14:textId="25D57E8F"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&lt;.001</w:t>
            </w:r>
          </w:p>
        </w:tc>
        <w:tc>
          <w:tcPr>
            <w:tcW w:w="708" w:type="dxa"/>
            <w:shd w:val="clear" w:color="auto" w:fill="D9D9D9" w:themeFill="background1" w:themeFillShade="D9"/>
            <w:vAlign w:val="bottom"/>
          </w:tcPr>
          <w:p w14:paraId="7FF0771F" w14:textId="0A650A0C"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0.017</w:t>
            </w:r>
          </w:p>
        </w:tc>
        <w:tc>
          <w:tcPr>
            <w:tcW w:w="1701" w:type="dxa"/>
            <w:shd w:val="clear" w:color="auto" w:fill="D9D9D9" w:themeFill="background1" w:themeFillShade="D9"/>
            <w:vAlign w:val="bottom"/>
          </w:tcPr>
          <w:p w14:paraId="4716DBE5" w14:textId="613F1685"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TRUE</w:t>
            </w:r>
          </w:p>
        </w:tc>
        <w:tc>
          <w:tcPr>
            <w:tcW w:w="1432" w:type="dxa"/>
            <w:shd w:val="clear" w:color="auto" w:fill="D9D9D9" w:themeFill="background1" w:themeFillShade="D9"/>
            <w:vAlign w:val="bottom"/>
          </w:tcPr>
          <w:p w14:paraId="52FEAEF1" w14:textId="4C4FD3F1"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0.12</w:t>
            </w:r>
          </w:p>
        </w:tc>
      </w:tr>
      <w:tr w:rsidR="000F5ABC" w:rsidRPr="00834440" w14:paraId="34C3BB36" w14:textId="77777777" w:rsidTr="000F7A24">
        <w:trPr>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bottom"/>
          </w:tcPr>
          <w:p w14:paraId="426F4D56" w14:textId="2D82A669" w:rsidR="000F5ABC" w:rsidRPr="00834440" w:rsidRDefault="000F5ABC" w:rsidP="000F5ABC">
            <w:pPr>
              <w:rPr>
                <w:rFonts w:cs="Calibri"/>
                <w:b w:val="0"/>
                <w:bCs w:val="0"/>
                <w:color w:val="000000"/>
                <w:sz w:val="18"/>
                <w:szCs w:val="18"/>
              </w:rPr>
            </w:pPr>
            <w:r w:rsidRPr="00834440">
              <w:rPr>
                <w:rFonts w:cs="Calibri"/>
                <w:b w:val="0"/>
                <w:bCs w:val="0"/>
                <w:color w:val="000000"/>
                <w:sz w:val="18"/>
                <w:szCs w:val="18"/>
              </w:rPr>
              <w:t>std lower boundary</w:t>
            </w:r>
          </w:p>
        </w:tc>
        <w:tc>
          <w:tcPr>
            <w:tcW w:w="1134" w:type="dxa"/>
            <w:shd w:val="clear" w:color="auto" w:fill="auto"/>
            <w:vAlign w:val="bottom"/>
          </w:tcPr>
          <w:p w14:paraId="42F6BFBF" w14:textId="0836C62A"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0.21</w:t>
            </w:r>
          </w:p>
        </w:tc>
        <w:tc>
          <w:tcPr>
            <w:tcW w:w="1134" w:type="dxa"/>
            <w:shd w:val="clear" w:color="auto" w:fill="auto"/>
            <w:vAlign w:val="bottom"/>
          </w:tcPr>
          <w:p w14:paraId="0F26E49F" w14:textId="385CFFB1"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0.15</w:t>
            </w:r>
          </w:p>
        </w:tc>
        <w:tc>
          <w:tcPr>
            <w:tcW w:w="708" w:type="dxa"/>
            <w:shd w:val="clear" w:color="auto" w:fill="auto"/>
            <w:vAlign w:val="bottom"/>
          </w:tcPr>
          <w:p w14:paraId="621D6042" w14:textId="62C9F93F"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0.11</w:t>
            </w:r>
          </w:p>
        </w:tc>
        <w:tc>
          <w:tcPr>
            <w:tcW w:w="772" w:type="dxa"/>
            <w:shd w:val="clear" w:color="auto" w:fill="auto"/>
            <w:vAlign w:val="bottom"/>
          </w:tcPr>
          <w:p w14:paraId="1C029C2B" w14:textId="796BDED1"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0.004</w:t>
            </w:r>
          </w:p>
        </w:tc>
        <w:tc>
          <w:tcPr>
            <w:tcW w:w="708" w:type="dxa"/>
            <w:shd w:val="clear" w:color="auto" w:fill="auto"/>
            <w:vAlign w:val="bottom"/>
          </w:tcPr>
          <w:p w14:paraId="2B2DEF72" w14:textId="3A4FFE93"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0.017</w:t>
            </w:r>
          </w:p>
        </w:tc>
        <w:tc>
          <w:tcPr>
            <w:tcW w:w="1701" w:type="dxa"/>
            <w:shd w:val="clear" w:color="auto" w:fill="auto"/>
            <w:vAlign w:val="bottom"/>
          </w:tcPr>
          <w:p w14:paraId="1C47A961" w14:textId="29E6109D"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TRUE</w:t>
            </w:r>
          </w:p>
        </w:tc>
        <w:tc>
          <w:tcPr>
            <w:tcW w:w="1432" w:type="dxa"/>
            <w:shd w:val="clear" w:color="auto" w:fill="auto"/>
            <w:vAlign w:val="bottom"/>
          </w:tcPr>
          <w:p w14:paraId="0439B43A" w14:textId="7A182E40"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0.56</w:t>
            </w:r>
          </w:p>
        </w:tc>
      </w:tr>
      <w:tr w:rsidR="000F5ABC" w:rsidRPr="00834440" w14:paraId="093C1265" w14:textId="77777777" w:rsidTr="005C5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vAlign w:val="bottom"/>
          </w:tcPr>
          <w:p w14:paraId="53F1CB8D" w14:textId="0CB33794" w:rsidR="000F5ABC" w:rsidRPr="00834440" w:rsidRDefault="000F5ABC" w:rsidP="000F5ABC">
            <w:pPr>
              <w:rPr>
                <w:rFonts w:cs="Calibri"/>
                <w:b w:val="0"/>
                <w:bCs w:val="0"/>
                <w:color w:val="000000"/>
                <w:sz w:val="18"/>
                <w:szCs w:val="18"/>
              </w:rPr>
            </w:pPr>
            <w:r w:rsidRPr="00834440">
              <w:rPr>
                <w:rFonts w:cs="Calibri"/>
                <w:b w:val="0"/>
                <w:bCs w:val="0"/>
                <w:color w:val="000000"/>
                <w:sz w:val="18"/>
                <w:szCs w:val="18"/>
              </w:rPr>
              <w:t>10 quartile lower boundary</w:t>
            </w:r>
          </w:p>
        </w:tc>
        <w:tc>
          <w:tcPr>
            <w:tcW w:w="1134" w:type="dxa"/>
            <w:shd w:val="clear" w:color="auto" w:fill="D9D9D9" w:themeFill="background1" w:themeFillShade="D9"/>
            <w:vAlign w:val="bottom"/>
          </w:tcPr>
          <w:p w14:paraId="7E1ABE41" w14:textId="5267D2A6"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0.41</w:t>
            </w:r>
          </w:p>
        </w:tc>
        <w:tc>
          <w:tcPr>
            <w:tcW w:w="1134" w:type="dxa"/>
            <w:shd w:val="clear" w:color="auto" w:fill="D9D9D9" w:themeFill="background1" w:themeFillShade="D9"/>
            <w:vAlign w:val="bottom"/>
          </w:tcPr>
          <w:p w14:paraId="6301C23E" w14:textId="740918BF"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0.51</w:t>
            </w:r>
          </w:p>
        </w:tc>
        <w:tc>
          <w:tcPr>
            <w:tcW w:w="708" w:type="dxa"/>
            <w:shd w:val="clear" w:color="auto" w:fill="D9D9D9" w:themeFill="background1" w:themeFillShade="D9"/>
            <w:vAlign w:val="bottom"/>
          </w:tcPr>
          <w:p w14:paraId="55859D76" w14:textId="1C074D8D"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0.12</w:t>
            </w:r>
          </w:p>
        </w:tc>
        <w:tc>
          <w:tcPr>
            <w:tcW w:w="772" w:type="dxa"/>
            <w:shd w:val="clear" w:color="auto" w:fill="D9D9D9" w:themeFill="background1" w:themeFillShade="D9"/>
            <w:vAlign w:val="bottom"/>
          </w:tcPr>
          <w:p w14:paraId="01F6A903" w14:textId="5F36DEEE"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0.008</w:t>
            </w:r>
          </w:p>
        </w:tc>
        <w:tc>
          <w:tcPr>
            <w:tcW w:w="708" w:type="dxa"/>
            <w:shd w:val="clear" w:color="auto" w:fill="D9D9D9" w:themeFill="background1" w:themeFillShade="D9"/>
            <w:vAlign w:val="bottom"/>
          </w:tcPr>
          <w:p w14:paraId="6EBE9634" w14:textId="57133FF4"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0.022</w:t>
            </w:r>
          </w:p>
        </w:tc>
        <w:tc>
          <w:tcPr>
            <w:tcW w:w="1701" w:type="dxa"/>
            <w:shd w:val="clear" w:color="auto" w:fill="D9D9D9" w:themeFill="background1" w:themeFillShade="D9"/>
            <w:vAlign w:val="bottom"/>
          </w:tcPr>
          <w:p w14:paraId="209538FD" w14:textId="18895846"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TRUE</w:t>
            </w:r>
          </w:p>
        </w:tc>
        <w:tc>
          <w:tcPr>
            <w:tcW w:w="1432" w:type="dxa"/>
            <w:shd w:val="clear" w:color="auto" w:fill="D9D9D9" w:themeFill="background1" w:themeFillShade="D9"/>
            <w:vAlign w:val="bottom"/>
          </w:tcPr>
          <w:p w14:paraId="17B80247" w14:textId="680C26BB"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0.78</w:t>
            </w:r>
          </w:p>
        </w:tc>
      </w:tr>
      <w:tr w:rsidR="000F5ABC" w:rsidRPr="00834440" w14:paraId="069806B4" w14:textId="77777777" w:rsidTr="000F7A24">
        <w:trPr>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bottom"/>
          </w:tcPr>
          <w:p w14:paraId="609A73CC" w14:textId="3536C1B4" w:rsidR="000F5ABC" w:rsidRPr="00834440" w:rsidRDefault="000F5ABC" w:rsidP="000F5ABC">
            <w:pPr>
              <w:rPr>
                <w:rFonts w:cs="Calibri"/>
                <w:b w:val="0"/>
                <w:bCs w:val="0"/>
                <w:color w:val="000000"/>
                <w:sz w:val="18"/>
                <w:szCs w:val="18"/>
              </w:rPr>
            </w:pPr>
            <w:r w:rsidRPr="00834440">
              <w:rPr>
                <w:rFonts w:cs="Calibri"/>
                <w:b w:val="0"/>
                <w:bCs w:val="0"/>
                <w:color w:val="000000"/>
                <w:sz w:val="18"/>
                <w:szCs w:val="18"/>
              </w:rPr>
              <w:t>30 quartile lower boundary</w:t>
            </w:r>
          </w:p>
        </w:tc>
        <w:tc>
          <w:tcPr>
            <w:tcW w:w="1134" w:type="dxa"/>
            <w:shd w:val="clear" w:color="auto" w:fill="auto"/>
            <w:vAlign w:val="bottom"/>
          </w:tcPr>
          <w:p w14:paraId="20594169" w14:textId="10B1F434"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0.50</w:t>
            </w:r>
          </w:p>
        </w:tc>
        <w:tc>
          <w:tcPr>
            <w:tcW w:w="1134" w:type="dxa"/>
            <w:shd w:val="clear" w:color="auto" w:fill="auto"/>
            <w:vAlign w:val="bottom"/>
          </w:tcPr>
          <w:p w14:paraId="1B2F2CFE" w14:textId="15F23241"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0.55</w:t>
            </w:r>
          </w:p>
        </w:tc>
        <w:tc>
          <w:tcPr>
            <w:tcW w:w="708" w:type="dxa"/>
            <w:shd w:val="clear" w:color="auto" w:fill="auto"/>
            <w:vAlign w:val="bottom"/>
          </w:tcPr>
          <w:p w14:paraId="7BDDC990" w14:textId="077EA668"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0.11</w:t>
            </w:r>
          </w:p>
        </w:tc>
        <w:tc>
          <w:tcPr>
            <w:tcW w:w="772" w:type="dxa"/>
            <w:shd w:val="clear" w:color="auto" w:fill="auto"/>
            <w:vAlign w:val="bottom"/>
          </w:tcPr>
          <w:p w14:paraId="068A897C" w14:textId="20C29F80"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0.003</w:t>
            </w:r>
          </w:p>
        </w:tc>
        <w:tc>
          <w:tcPr>
            <w:tcW w:w="708" w:type="dxa"/>
            <w:shd w:val="clear" w:color="auto" w:fill="auto"/>
            <w:vAlign w:val="bottom"/>
          </w:tcPr>
          <w:p w14:paraId="0BC90A61" w14:textId="656DC26C"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0.016</w:t>
            </w:r>
          </w:p>
        </w:tc>
        <w:tc>
          <w:tcPr>
            <w:tcW w:w="1701" w:type="dxa"/>
            <w:shd w:val="clear" w:color="auto" w:fill="auto"/>
            <w:vAlign w:val="bottom"/>
          </w:tcPr>
          <w:p w14:paraId="3A9FE4C9" w14:textId="3EC889AB"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TRUE</w:t>
            </w:r>
          </w:p>
        </w:tc>
        <w:tc>
          <w:tcPr>
            <w:tcW w:w="1432" w:type="dxa"/>
            <w:shd w:val="clear" w:color="auto" w:fill="auto"/>
            <w:vAlign w:val="bottom"/>
          </w:tcPr>
          <w:p w14:paraId="2318B9AE" w14:textId="2E563632"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0.49</w:t>
            </w:r>
          </w:p>
        </w:tc>
      </w:tr>
      <w:tr w:rsidR="000F5ABC" w:rsidRPr="00834440" w14:paraId="7F8E0371" w14:textId="77777777" w:rsidTr="005C5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vAlign w:val="bottom"/>
          </w:tcPr>
          <w:p w14:paraId="1145ED9A" w14:textId="3C69E42C" w:rsidR="000F5ABC" w:rsidRPr="00834440" w:rsidRDefault="000F5ABC" w:rsidP="000F5ABC">
            <w:pPr>
              <w:rPr>
                <w:rFonts w:cs="Calibri"/>
                <w:b w:val="0"/>
                <w:bCs w:val="0"/>
                <w:color w:val="000000"/>
                <w:sz w:val="18"/>
                <w:szCs w:val="18"/>
              </w:rPr>
            </w:pPr>
            <w:r w:rsidRPr="00834440">
              <w:rPr>
                <w:rFonts w:cs="Calibri"/>
                <w:b w:val="0"/>
                <w:bCs w:val="0"/>
                <w:color w:val="000000"/>
                <w:sz w:val="18"/>
                <w:szCs w:val="18"/>
              </w:rPr>
              <w:t>50 quartile lower boundary</w:t>
            </w:r>
          </w:p>
        </w:tc>
        <w:tc>
          <w:tcPr>
            <w:tcW w:w="1134" w:type="dxa"/>
            <w:shd w:val="clear" w:color="auto" w:fill="D9D9D9" w:themeFill="background1" w:themeFillShade="D9"/>
            <w:vAlign w:val="bottom"/>
          </w:tcPr>
          <w:p w14:paraId="42B8E7FD" w14:textId="456334D1"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0.58</w:t>
            </w:r>
          </w:p>
        </w:tc>
        <w:tc>
          <w:tcPr>
            <w:tcW w:w="1134" w:type="dxa"/>
            <w:shd w:val="clear" w:color="auto" w:fill="D9D9D9" w:themeFill="background1" w:themeFillShade="D9"/>
            <w:vAlign w:val="bottom"/>
          </w:tcPr>
          <w:p w14:paraId="4AA8B3D8" w14:textId="09EDFEAF"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0.60</w:t>
            </w:r>
          </w:p>
        </w:tc>
        <w:tc>
          <w:tcPr>
            <w:tcW w:w="708" w:type="dxa"/>
            <w:shd w:val="clear" w:color="auto" w:fill="D9D9D9" w:themeFill="background1" w:themeFillShade="D9"/>
            <w:vAlign w:val="bottom"/>
          </w:tcPr>
          <w:p w14:paraId="450844A1" w14:textId="0A50415D"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0.12</w:t>
            </w:r>
          </w:p>
        </w:tc>
        <w:tc>
          <w:tcPr>
            <w:tcW w:w="772" w:type="dxa"/>
            <w:shd w:val="clear" w:color="auto" w:fill="D9D9D9" w:themeFill="background1" w:themeFillShade="D9"/>
            <w:vAlign w:val="bottom"/>
          </w:tcPr>
          <w:p w14:paraId="693DA230" w14:textId="43E852B1"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0.001</w:t>
            </w:r>
          </w:p>
        </w:tc>
        <w:tc>
          <w:tcPr>
            <w:tcW w:w="708" w:type="dxa"/>
            <w:shd w:val="clear" w:color="auto" w:fill="D9D9D9" w:themeFill="background1" w:themeFillShade="D9"/>
            <w:vAlign w:val="bottom"/>
          </w:tcPr>
          <w:p w14:paraId="7C83F323" w14:textId="42B93C33"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0.016</w:t>
            </w:r>
          </w:p>
        </w:tc>
        <w:tc>
          <w:tcPr>
            <w:tcW w:w="1701" w:type="dxa"/>
            <w:shd w:val="clear" w:color="auto" w:fill="D9D9D9" w:themeFill="background1" w:themeFillShade="D9"/>
            <w:vAlign w:val="bottom"/>
          </w:tcPr>
          <w:p w14:paraId="6D136E89" w14:textId="57473995"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TRUE</w:t>
            </w:r>
          </w:p>
        </w:tc>
        <w:tc>
          <w:tcPr>
            <w:tcW w:w="1432" w:type="dxa"/>
            <w:shd w:val="clear" w:color="auto" w:fill="D9D9D9" w:themeFill="background1" w:themeFillShade="D9"/>
            <w:vAlign w:val="bottom"/>
          </w:tcPr>
          <w:p w14:paraId="1D848278" w14:textId="6278E6CA"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0.24</w:t>
            </w:r>
          </w:p>
        </w:tc>
      </w:tr>
      <w:tr w:rsidR="000F5ABC" w:rsidRPr="00834440" w14:paraId="706A53A7" w14:textId="77777777" w:rsidTr="000F7A24">
        <w:trPr>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bottom"/>
          </w:tcPr>
          <w:p w14:paraId="0626FBB1" w14:textId="533AAF2B" w:rsidR="000F5ABC" w:rsidRPr="00834440" w:rsidRDefault="000F5ABC" w:rsidP="000F5ABC">
            <w:pPr>
              <w:rPr>
                <w:rFonts w:cs="Calibri"/>
                <w:b w:val="0"/>
                <w:bCs w:val="0"/>
                <w:color w:val="000000"/>
                <w:sz w:val="18"/>
                <w:szCs w:val="18"/>
              </w:rPr>
            </w:pPr>
            <w:r w:rsidRPr="00834440">
              <w:rPr>
                <w:rFonts w:cs="Calibri"/>
                <w:b w:val="0"/>
                <w:bCs w:val="0"/>
                <w:color w:val="000000"/>
                <w:sz w:val="18"/>
                <w:szCs w:val="18"/>
              </w:rPr>
              <w:t>70 quartile lower boundary</w:t>
            </w:r>
          </w:p>
        </w:tc>
        <w:tc>
          <w:tcPr>
            <w:tcW w:w="1134" w:type="dxa"/>
            <w:shd w:val="clear" w:color="auto" w:fill="auto"/>
            <w:vAlign w:val="bottom"/>
          </w:tcPr>
          <w:p w14:paraId="20926FAC" w14:textId="0D5EF205"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0.69</w:t>
            </w:r>
          </w:p>
        </w:tc>
        <w:tc>
          <w:tcPr>
            <w:tcW w:w="1134" w:type="dxa"/>
            <w:shd w:val="clear" w:color="auto" w:fill="auto"/>
            <w:vAlign w:val="bottom"/>
          </w:tcPr>
          <w:p w14:paraId="2CD2E011" w14:textId="0E7764CA"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0.68</w:t>
            </w:r>
          </w:p>
        </w:tc>
        <w:tc>
          <w:tcPr>
            <w:tcW w:w="708" w:type="dxa"/>
            <w:shd w:val="clear" w:color="auto" w:fill="auto"/>
            <w:vAlign w:val="bottom"/>
          </w:tcPr>
          <w:p w14:paraId="30EACA10" w14:textId="15624AFD"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0.15</w:t>
            </w:r>
          </w:p>
        </w:tc>
        <w:tc>
          <w:tcPr>
            <w:tcW w:w="772" w:type="dxa"/>
            <w:shd w:val="clear" w:color="auto" w:fill="auto"/>
            <w:vAlign w:val="bottom"/>
          </w:tcPr>
          <w:p w14:paraId="3A569224" w14:textId="76E388D3"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&lt;.001</w:t>
            </w:r>
          </w:p>
        </w:tc>
        <w:tc>
          <w:tcPr>
            <w:tcW w:w="708" w:type="dxa"/>
            <w:shd w:val="clear" w:color="auto" w:fill="auto"/>
            <w:vAlign w:val="bottom"/>
          </w:tcPr>
          <w:p w14:paraId="2631501D" w14:textId="1204FA58"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0.023</w:t>
            </w:r>
          </w:p>
        </w:tc>
        <w:tc>
          <w:tcPr>
            <w:tcW w:w="1701" w:type="dxa"/>
            <w:shd w:val="clear" w:color="auto" w:fill="auto"/>
            <w:vAlign w:val="bottom"/>
          </w:tcPr>
          <w:p w14:paraId="4CDB24A1" w14:textId="6404C6D3"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TRUE</w:t>
            </w:r>
          </w:p>
        </w:tc>
        <w:tc>
          <w:tcPr>
            <w:tcW w:w="1432" w:type="dxa"/>
            <w:shd w:val="clear" w:color="auto" w:fill="auto"/>
            <w:vAlign w:val="bottom"/>
          </w:tcPr>
          <w:p w14:paraId="0E1901E5" w14:textId="264C8A16" w:rsidR="000F5ABC" w:rsidRPr="00834440" w:rsidRDefault="000F5ABC" w:rsidP="000F5ABC">
            <w:pPr>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834440">
              <w:rPr>
                <w:rFonts w:cs="Calibri"/>
                <w:color w:val="000000"/>
                <w:sz w:val="18"/>
                <w:szCs w:val="18"/>
              </w:rPr>
              <w:t>0.05</w:t>
            </w:r>
          </w:p>
        </w:tc>
      </w:tr>
      <w:tr w:rsidR="000F5ABC" w:rsidRPr="00834440" w14:paraId="38A59F9D" w14:textId="77777777" w:rsidTr="005C55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D9D9D9" w:themeFill="background1" w:themeFillShade="D9"/>
            <w:vAlign w:val="bottom"/>
          </w:tcPr>
          <w:p w14:paraId="496E4715" w14:textId="615A2404" w:rsidR="000F5ABC" w:rsidRPr="00834440" w:rsidRDefault="000F5ABC" w:rsidP="000F5ABC">
            <w:pPr>
              <w:rPr>
                <w:rFonts w:cs="Calibri"/>
                <w:b w:val="0"/>
                <w:bCs w:val="0"/>
                <w:color w:val="000000"/>
                <w:sz w:val="18"/>
                <w:szCs w:val="18"/>
              </w:rPr>
            </w:pPr>
            <w:r w:rsidRPr="00834440">
              <w:rPr>
                <w:rFonts w:cs="Calibri"/>
                <w:b w:val="0"/>
                <w:bCs w:val="0"/>
                <w:color w:val="000000"/>
                <w:sz w:val="18"/>
                <w:szCs w:val="18"/>
              </w:rPr>
              <w:t>90 quartile lower boundary</w:t>
            </w:r>
          </w:p>
        </w:tc>
        <w:tc>
          <w:tcPr>
            <w:tcW w:w="1134" w:type="dxa"/>
            <w:shd w:val="clear" w:color="auto" w:fill="D9D9D9" w:themeFill="background1" w:themeFillShade="D9"/>
            <w:vAlign w:val="bottom"/>
          </w:tcPr>
          <w:p w14:paraId="26A9DCD4" w14:textId="5A2485DE"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0.90</w:t>
            </w:r>
          </w:p>
        </w:tc>
        <w:tc>
          <w:tcPr>
            <w:tcW w:w="1134" w:type="dxa"/>
            <w:shd w:val="clear" w:color="auto" w:fill="D9D9D9" w:themeFill="background1" w:themeFillShade="D9"/>
            <w:vAlign w:val="bottom"/>
          </w:tcPr>
          <w:p w14:paraId="5D896F94" w14:textId="46307C60"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0.81</w:t>
            </w:r>
          </w:p>
        </w:tc>
        <w:tc>
          <w:tcPr>
            <w:tcW w:w="708" w:type="dxa"/>
            <w:shd w:val="clear" w:color="auto" w:fill="D9D9D9" w:themeFill="background1" w:themeFillShade="D9"/>
            <w:vAlign w:val="bottom"/>
          </w:tcPr>
          <w:p w14:paraId="7C8A744D" w14:textId="4D2049D6"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0.23</w:t>
            </w:r>
          </w:p>
        </w:tc>
        <w:tc>
          <w:tcPr>
            <w:tcW w:w="772" w:type="dxa"/>
            <w:shd w:val="clear" w:color="auto" w:fill="D9D9D9" w:themeFill="background1" w:themeFillShade="D9"/>
            <w:vAlign w:val="bottom"/>
          </w:tcPr>
          <w:p w14:paraId="669CB19F" w14:textId="6ABD8436"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0.008</w:t>
            </w:r>
          </w:p>
        </w:tc>
        <w:tc>
          <w:tcPr>
            <w:tcW w:w="708" w:type="dxa"/>
            <w:shd w:val="clear" w:color="auto" w:fill="D9D9D9" w:themeFill="background1" w:themeFillShade="D9"/>
            <w:vAlign w:val="bottom"/>
          </w:tcPr>
          <w:p w14:paraId="24570026" w14:textId="0385F3EC"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0.062</w:t>
            </w:r>
          </w:p>
        </w:tc>
        <w:tc>
          <w:tcPr>
            <w:tcW w:w="1701" w:type="dxa"/>
            <w:shd w:val="clear" w:color="auto" w:fill="D9D9D9" w:themeFill="background1" w:themeFillShade="D9"/>
            <w:vAlign w:val="bottom"/>
          </w:tcPr>
          <w:p w14:paraId="38AD6E0C" w14:textId="44EB5237"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TRUE</w:t>
            </w:r>
          </w:p>
        </w:tc>
        <w:tc>
          <w:tcPr>
            <w:tcW w:w="1432" w:type="dxa"/>
            <w:shd w:val="clear" w:color="auto" w:fill="D9D9D9" w:themeFill="background1" w:themeFillShade="D9"/>
            <w:vAlign w:val="bottom"/>
          </w:tcPr>
          <w:p w14:paraId="70639DB2" w14:textId="12BDEBA3" w:rsidR="000F5ABC" w:rsidRPr="00834440" w:rsidRDefault="000F5ABC" w:rsidP="000F5ABC">
            <w:pPr>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834440">
              <w:rPr>
                <w:rFonts w:cs="Calibri"/>
                <w:color w:val="000000"/>
                <w:sz w:val="18"/>
                <w:szCs w:val="18"/>
              </w:rPr>
              <w:t>0.39</w:t>
            </w:r>
          </w:p>
        </w:tc>
      </w:tr>
    </w:tbl>
    <w:p w14:paraId="7BCC9249" w14:textId="52CCB8EA" w:rsidR="00065397" w:rsidRPr="00834440" w:rsidRDefault="003B28B5">
      <w:r w:rsidRPr="00834440">
        <w:rPr>
          <w:rFonts w:ascii="Garamond" w:hAnsi="Garamond" w:cs="Calibri"/>
          <w:szCs w:val="24"/>
        </w:rPr>
        <w:t>Supplementary Table 1. Summary statistics of the posterior predictive checks. The first and second columns represent the observed and simulated mean values for each measure indicated by the row name. The upper boundary represents correct responses while the lower boundary represents incorrect responses. STD is a measure of how much variation is produced in the summary statistics. The rest of the columns are various measures of the extent of deviation between the simulated and the observed data (SEM is the standard error from the mean, MSE is the mean-squared error).</w:t>
      </w:r>
      <w:r w:rsidR="00065397" w:rsidRPr="00834440">
        <w:br w:type="page"/>
      </w:r>
    </w:p>
    <w:p w14:paraId="0012F120" w14:textId="5E5847EF" w:rsidR="00A42515" w:rsidRPr="00834440" w:rsidRDefault="00A42515" w:rsidP="00065397">
      <w:pPr>
        <w:pStyle w:val="Heading1"/>
      </w:pPr>
      <w:r w:rsidRPr="00834440">
        <w:lastRenderedPageBreak/>
        <w:t>Supplementary results</w:t>
      </w:r>
    </w:p>
    <w:p w14:paraId="720212BA" w14:textId="545BEE61" w:rsidR="00807620" w:rsidRPr="00834440" w:rsidRDefault="00807620" w:rsidP="00065397">
      <w:pPr>
        <w:pStyle w:val="Heading2"/>
      </w:pPr>
      <w:r w:rsidRPr="00834440">
        <w:t>Sensitivity analyses</w:t>
      </w:r>
      <w:r w:rsidR="00B939CF" w:rsidRPr="00834440">
        <w:t xml:space="preserve"> for the EEG results</w:t>
      </w:r>
    </w:p>
    <w:p w14:paraId="1F57BEB0" w14:textId="39DB9035" w:rsidR="006C126E" w:rsidRPr="00834440" w:rsidRDefault="006C126E" w:rsidP="00065397">
      <w:pPr>
        <w:pStyle w:val="Heading3"/>
      </w:pPr>
      <w:r w:rsidRPr="00834440">
        <w:t xml:space="preserve">Alternative statistical </w:t>
      </w:r>
      <w:r w:rsidR="00807620" w:rsidRPr="00834440">
        <w:t>test</w:t>
      </w:r>
    </w:p>
    <w:p w14:paraId="6AE3F41F" w14:textId="2D67AA75" w:rsidR="008E696B" w:rsidRPr="00834440" w:rsidRDefault="00027D7C" w:rsidP="00027D7C">
      <w:pPr>
        <w:spacing w:after="120"/>
        <w:rPr>
          <w:rFonts w:cs="Calibri"/>
          <w:szCs w:val="24"/>
        </w:rPr>
      </w:pPr>
      <w:r w:rsidRPr="00834440">
        <w:rPr>
          <w:rFonts w:cs="Calibri"/>
          <w:szCs w:val="24"/>
        </w:rPr>
        <w:t xml:space="preserve">In this additional analysis, we tested the statistical significance of the differential responses between pairs of categories using paired t-tests. To correct for multiple comparisons while being able to accurately report the latency of a potential effect </w:t>
      </w:r>
      <w:r w:rsidRPr="00834440">
        <w:rPr>
          <w:rFonts w:cs="Calibri"/>
          <w:szCs w:val="24"/>
        </w:rPr>
        <w:fldChar w:fldCharType="begin"/>
      </w:r>
      <w:r w:rsidR="00BB4AEA">
        <w:rPr>
          <w:rFonts w:cs="Calibri"/>
          <w:szCs w:val="24"/>
        </w:rPr>
        <w:instrText xml:space="preserve"> ADDIN ZOTERO_ITEM CSL_CITATION {"citationID":"vCcHEpnJ","properties":{"unsorted":true,"formattedCitation":"(Sassenhagen and Draschkow 2019; but see Rousselet 2025)","plainCitation":"(Sassenhagen and Draschkow 2019; but see Rousselet 2025)","noteIndex":0},"citationItems":[{"id":9931,"uris":["http://zotero.org/users/1515460/items/SE6YTP8R"],"itemData":{"id":9931,"type":"article-journal","abstract":"Cluster-based permutation tests are gaining an almost universal acceptance as inferential procedures in cognitive neuroscience. They elegantly handle the multiple comparisons problem in high-dimensional magnetoencephalographic and EEG data. Unfortunately, the power of this procedure comes hand in hand with the allure for unwarranted interpretations of the inferential output, the most prominent of which is the overestimation of the temporal, spatial, and frequency precision of statistical claims. This leads researchers to statements about the onset or offset of a certain effect that is not supported by the permutation test. In this article, we outline problems and common pitfalls of using and interpreting cluster-based permutation tests. We illustrate these with simulated data in order to promote a more intuitive understanding of the method. We hope that raising awareness about these issues will be beneficial to common scientific practices, while at the same time increasing the popularity of cluster-based permutation procedures.","container-title":"Psychophysiology","DOI":"10.1111/psyp.13335","ISSN":"1469-8986","issue":"6","journalAbbreviation":"Psychophysiology","language":"eng","note":"PMID: 30657176","page":"e13335","source":"PubMed","title":"Cluster-based permutation tests of MEG/EEG data do not establish significance of effect latency or location","volume":"56","author":[{"family":"Sassenhagen","given":"Jona"},{"family":"Draschkow","given":"Dejan"}],"issued":{"date-parts":[["2019",6]]}}},{"id":9862,"uris":["http://zotero.org/users/1515460/items/L6N9JJUU"],"itemData":{"id":9862,"type":"article-journal","abstract":"Localising effects in space, time and other dimensions is a fundamental goal of magneto- and electroencephalography (EEG) research. A popular exploratory approach applies mass-univariate statistics followed by cluster-sum inferences, an effective way to correct for multiple comparisons while preserving high statistical power by pooling together neighbouring effects. Yet, these cluster-based methods have an important limitation: each cluster is associated with a unique p-value, such that there is no error control at individual timepoints, and one must be cautious about interpreting when and where effects start and end. Sassenhagen and Draschkow (2019) provided an important reminder of this limitation. They also reported results from a simulation, suggesting that onsets estimated from EEG data are both positively biased and very variable. However, the simulation lacked comparisons to other methods. Here, I report such comparisons in a new simulation, replicating the positive bias of the cluster-sum method, but also demonstrating that it performs relatively well, in terms of bias and variability, compared to other methods that provide pointwise p-values: two methods that control the false discovery rate and two methods that control the familywise error rate (cluster-depth and maximum statistic methods). I also present several strategies to reduce estimation bias, including group calibration, group comparison and using binary segmentation, a simple change point detection algorithm that outperformed mass-univariate methods in simulations. Finally, I demonstrate how to generate onset hierarchical bootstrap confidence intervals that integrate variability over trials and participants, a substantial improvement over standard group approaches that ignore measurement uncertainty.","container-title":"The European Journal of Neuroscience","DOI":"10.1111/ejn.16618","ISSN":"1460-9568","issue":"1","journalAbbreviation":"Eur J Neurosci","language":"eng","note":"PMID: 39617724\nPMCID: PMC11670281","page":"e16618","source":"PubMed","title":"Using cluster-based permutation tests to estimate MEG/EEG onsets: How bad is it?","title-short":"Using cluster-based permutation tests to estimate MEG/EEG onsets","volume":"61","author":[{"family":"Rousselet","given":"Guillaume A."}],"issued":{"date-parts":[["2025",1]]}},"label":"page","prefix":"but see"}],"schema":"https://github.com/citation-style-language/schema/raw/master/csl-citation.json"} </w:instrText>
      </w:r>
      <w:r w:rsidRPr="00834440">
        <w:rPr>
          <w:rFonts w:cs="Calibri"/>
          <w:szCs w:val="24"/>
        </w:rPr>
        <w:fldChar w:fldCharType="separate"/>
      </w:r>
      <w:r w:rsidR="00BB4AEA">
        <w:rPr>
          <w:rFonts w:cs="Calibri"/>
        </w:rPr>
        <w:t>(</w:t>
      </w:r>
      <w:proofErr w:type="spellStart"/>
      <w:r w:rsidR="00BB4AEA">
        <w:rPr>
          <w:rFonts w:cs="Calibri"/>
        </w:rPr>
        <w:t>Sassenhagen</w:t>
      </w:r>
      <w:proofErr w:type="spellEnd"/>
      <w:r w:rsidR="00BB4AEA">
        <w:rPr>
          <w:rFonts w:cs="Calibri"/>
        </w:rPr>
        <w:t xml:space="preserve"> and </w:t>
      </w:r>
      <w:proofErr w:type="spellStart"/>
      <w:r w:rsidR="00BB4AEA">
        <w:rPr>
          <w:rFonts w:cs="Calibri"/>
        </w:rPr>
        <w:t>Draschkow</w:t>
      </w:r>
      <w:proofErr w:type="spellEnd"/>
      <w:r w:rsidR="00BB4AEA">
        <w:rPr>
          <w:rFonts w:cs="Calibri"/>
        </w:rPr>
        <w:t xml:space="preserve"> 2019; but see </w:t>
      </w:r>
      <w:proofErr w:type="spellStart"/>
      <w:r w:rsidR="00BB4AEA">
        <w:rPr>
          <w:rFonts w:cs="Calibri"/>
        </w:rPr>
        <w:t>Rousselet</w:t>
      </w:r>
      <w:proofErr w:type="spellEnd"/>
      <w:r w:rsidR="00BB4AEA">
        <w:rPr>
          <w:rFonts w:cs="Calibri"/>
        </w:rPr>
        <w:t xml:space="preserve"> 2025)</w:t>
      </w:r>
      <w:r w:rsidRPr="00834440">
        <w:rPr>
          <w:rFonts w:cs="Calibri"/>
          <w:szCs w:val="24"/>
        </w:rPr>
        <w:fldChar w:fldCharType="end"/>
      </w:r>
      <w:r w:rsidRPr="00834440">
        <w:rPr>
          <w:rFonts w:cs="Calibri"/>
          <w:szCs w:val="24"/>
        </w:rPr>
        <w:t xml:space="preserve">, we consider any difference with p&lt;.005 </w:t>
      </w:r>
      <w:r w:rsidRPr="00834440">
        <w:rPr>
          <w:rFonts w:cs="Calibri"/>
          <w:szCs w:val="24"/>
        </w:rPr>
        <w:fldChar w:fldCharType="begin"/>
      </w:r>
      <w:r w:rsidR="00BB4AEA">
        <w:rPr>
          <w:rFonts w:cs="Calibri"/>
          <w:szCs w:val="24"/>
        </w:rPr>
        <w:instrText xml:space="preserve"> ADDIN ZOTERO_ITEM CSL_CITATION {"citationID":"xJ34CW2D","properties":{"formattedCitation":"(Benjamin et al. 2018)","plainCitation":"(Benjamin et al. 2018)","noteIndex":0},"citationItems":[{"id":10183,"uris":["http://zotero.org/users/1515460/items/GGCVAGTU"],"itemData":{"id":10183,"type":"article-journal","abstract":"We propose to change the default P-value threshold for statistical significance from 0.05 to 0.005 for claims of new discoveries.","container-title":"Nature Human Behaviour","DOI":"10.1038/s41562-017-0189-z","ISSN":"2397-3374","issue":"1","journalAbbreviation":"Nat Hum Behav","language":"en","license":"2017 The Author(s)","note":"publisher: Nature Publishing Group","page":"6-10","source":"www.nature.com","title":"Redefine statistical significance","volume":"2","author":[{"family":"Benjamin","given":"Daniel J."},{"family":"Berger","given":"James O."},{"family":"Johannesson","given":"Magnus"},{"family":"Nosek","given":"Brian A."},{"family":"Wagenmakers","given":"E.-J."},{"family":"Berk","given":"Richard"},{"family":"Bollen","given":"Kenneth A."},{"family":"Brembs","given":"Björn"},{"family":"Brown","given":"Lawrence"},{"family":"Camerer","given":"Colin"},{"family":"Cesarini","given":"David"},{"family":"Chambers","given":"Christopher D."},{"family":"Clyde","given":"Merlise"},{"family":"Cook","given":"Thomas D."},{"family":"De Boeck","given":"Paul"},{"family":"Dienes","given":"Zoltan"},{"family":"Dreber","given":"Anna"},{"family":"Easwaran","given":"Kenny"},{"family":"Efferson","given":"Charles"},{"family":"Fehr","given":"Ernst"},{"family":"Fidler","given":"Fiona"},{"family":"Field","given":"Andy P."},{"family":"Forster","given":"Malcolm"},{"family":"George","given":"Edward I."},{"family":"Gonzalez","given":"Richard"},{"family":"Goodman","given":"Steven"},{"family":"Green","given":"Edwin"},{"family":"Green","given":"Donald P."},{"family":"Greenwald","given":"Anthony G."},{"family":"Hadfield","given":"Jarrod D."},{"family":"Hedges","given":"Larry V."},{"family":"Held","given":"Leonhard"},{"family":"Hua Ho","given":"Teck"},{"family":"Hoijtink","given":"Herbert"},{"family":"Hruschka","given":"Daniel J."},{"family":"Imai","given":"Kosuke"},{"family":"Imbens","given":"Guido"},{"family":"Ioannidis","given":"John P. A."},{"family":"Jeon","given":"Minjeong"},{"family":"Jones","given":"James Holland"},{"family":"Kirchler","given":"Michael"},{"family":"Laibson","given":"David"},{"family":"List","given":"John"},{"family":"Little","given":"Roderick"},{"family":"Lupia","given":"Arthur"},{"family":"Machery","given":"Edouard"},{"family":"Maxwell","given":"Scott E."},{"family":"McCarthy","given":"Michael"},{"family":"Moore","given":"Don A."},{"family":"Morgan","given":"Stephen L."},{"family":"Munafó","given":"Marcus"},{"family":"Nakagawa","given":"Shinichi"},{"family":"Nyhan","given":"Brendan"},{"family":"Parker","given":"Timothy H."},{"family":"Pericchi","given":"Luis"},{"family":"Perugini","given":"Marco"},{"family":"Rouder","given":"Jeff"},{"family":"Rousseau","given":"Judith"},{"family":"Savalei","given":"Victoria"},{"family":"Schönbrodt","given":"Felix D."},{"family":"Sellke","given":"Thomas"},{"family":"Sinclair","given":"Betsy"},{"family":"Tingley","given":"Dustin"},{"family":"Van Zandt","given":"Trisha"},{"family":"Vazire","given":"Simine"},{"family":"Watts","given":"Duncan J."},{"family":"Winship","given":"Christopher"},{"family":"Wolpert","given":"Robert L."},{"family":"Xie","given":"Yu"},{"family":"Young","given":"Cristobal"},{"family":"Zinman","given":"Jonathan"},{"family":"Johnson","given":"Valen E."}],"issued":{"date-parts":[["2018",1]]}}}],"schema":"https://github.com/citation-style-language/schema/raw/master/csl-citation.json"} </w:instrText>
      </w:r>
      <w:r w:rsidRPr="00834440">
        <w:rPr>
          <w:rFonts w:cs="Calibri"/>
          <w:szCs w:val="24"/>
        </w:rPr>
        <w:fldChar w:fldCharType="separate"/>
      </w:r>
      <w:r w:rsidR="00BB4AEA">
        <w:rPr>
          <w:rFonts w:cs="Calibri"/>
          <w:szCs w:val="24"/>
        </w:rPr>
        <w:t>(Benjamin et al. 2018)</w:t>
      </w:r>
      <w:r w:rsidRPr="00834440">
        <w:rPr>
          <w:rFonts w:cs="Calibri"/>
          <w:szCs w:val="24"/>
        </w:rPr>
        <w:fldChar w:fldCharType="end"/>
      </w:r>
      <w:r w:rsidRPr="00834440">
        <w:rPr>
          <w:rFonts w:cs="Calibri"/>
          <w:szCs w:val="24"/>
        </w:rPr>
        <w:t xml:space="preserve"> for at least 15 </w:t>
      </w:r>
      <w:proofErr w:type="spellStart"/>
      <w:r w:rsidRPr="00834440">
        <w:rPr>
          <w:rFonts w:cs="Calibri"/>
          <w:szCs w:val="24"/>
        </w:rPr>
        <w:t>ms</w:t>
      </w:r>
      <w:proofErr w:type="spellEnd"/>
      <w:r w:rsidRPr="00834440">
        <w:rPr>
          <w:rFonts w:cs="Calibri"/>
          <w:szCs w:val="24"/>
        </w:rPr>
        <w:t xml:space="preserve"> as statistically significant. </w:t>
      </w:r>
    </w:p>
    <w:p w14:paraId="6C727E96" w14:textId="7DB37877" w:rsidR="00A42515" w:rsidRPr="00834440" w:rsidRDefault="00027D7C" w:rsidP="00027D7C">
      <w:pPr>
        <w:spacing w:after="120"/>
        <w:rPr>
          <w:rFonts w:cs="Calibri"/>
          <w:szCs w:val="24"/>
        </w:rPr>
      </w:pPr>
      <w:r w:rsidRPr="00834440">
        <w:rPr>
          <w:rFonts w:cs="Calibri"/>
          <w:szCs w:val="24"/>
        </w:rPr>
        <w:t xml:space="preserve">This is a relatively conservative measure: there only needs one data point </w:t>
      </w:r>
      <w:r w:rsidR="00FA1F52" w:rsidRPr="00834440">
        <w:rPr>
          <w:rFonts w:cs="Calibri"/>
          <w:szCs w:val="24"/>
        </w:rPr>
        <w:t>with p&gt;</w:t>
      </w:r>
      <w:r w:rsidR="00C81020" w:rsidRPr="00834440">
        <w:rPr>
          <w:rFonts w:cs="Calibri"/>
          <w:szCs w:val="24"/>
        </w:rPr>
        <w:t xml:space="preserve"> </w:t>
      </w:r>
      <w:r w:rsidRPr="00834440">
        <w:rPr>
          <w:rFonts w:cs="Calibri"/>
          <w:szCs w:val="24"/>
        </w:rPr>
        <w:t xml:space="preserve">.005 within 15 </w:t>
      </w:r>
      <w:proofErr w:type="spellStart"/>
      <w:r w:rsidRPr="00834440">
        <w:rPr>
          <w:rFonts w:cs="Calibri"/>
          <w:szCs w:val="24"/>
        </w:rPr>
        <w:t>ms</w:t>
      </w:r>
      <w:proofErr w:type="spellEnd"/>
      <w:r w:rsidRPr="00834440">
        <w:rPr>
          <w:rFonts w:cs="Calibri"/>
          <w:szCs w:val="24"/>
        </w:rPr>
        <w:t xml:space="preserve"> for the significant p-values to not be reported. A good example of this is when comparing decoding performance between non-bird animal and vehicle images in </w:t>
      </w:r>
      <w:r w:rsidR="008E7610" w:rsidRPr="00834440">
        <w:rPr>
          <w:rFonts w:cs="Calibri"/>
          <w:szCs w:val="24"/>
        </w:rPr>
        <w:t>Fig. S</w:t>
      </w:r>
      <w:r w:rsidR="00BD02D8" w:rsidRPr="00834440">
        <w:rPr>
          <w:rFonts w:cs="Calibri"/>
          <w:szCs w:val="24"/>
        </w:rPr>
        <w:t>3</w:t>
      </w:r>
      <w:r w:rsidRPr="00834440">
        <w:rPr>
          <w:rFonts w:cs="Calibri"/>
          <w:szCs w:val="24"/>
        </w:rPr>
        <w:t>. Although decoding performance</w:t>
      </w:r>
      <w:r w:rsidR="000C565D" w:rsidRPr="00834440">
        <w:rPr>
          <w:rFonts w:cs="Calibri"/>
          <w:szCs w:val="24"/>
        </w:rPr>
        <w:t>s</w:t>
      </w:r>
      <w:r w:rsidRPr="00834440">
        <w:rPr>
          <w:rFonts w:cs="Calibri"/>
          <w:szCs w:val="24"/>
        </w:rPr>
        <w:t xml:space="preserve"> are similar for the two tasks, they fluctuate more in the basic task such that significant p-values </w:t>
      </w:r>
      <w:r w:rsidR="00F0197F" w:rsidRPr="00834440">
        <w:rPr>
          <w:rFonts w:cs="Calibri"/>
          <w:szCs w:val="24"/>
        </w:rPr>
        <w:t>(</w:t>
      </w:r>
      <w:r w:rsidRPr="00834440">
        <w:rPr>
          <w:rFonts w:cs="Calibri"/>
          <w:szCs w:val="24"/>
        </w:rPr>
        <w:t>compared to baseline</w:t>
      </w:r>
      <w:r w:rsidR="00F0197F" w:rsidRPr="00834440">
        <w:rPr>
          <w:rFonts w:cs="Calibri"/>
          <w:szCs w:val="24"/>
        </w:rPr>
        <w:t>)</w:t>
      </w:r>
      <w:r w:rsidRPr="00834440">
        <w:rPr>
          <w:rFonts w:cs="Calibri"/>
          <w:szCs w:val="24"/>
        </w:rPr>
        <w:t xml:space="preserve"> are only reported at 250, </w:t>
      </w:r>
      <w:r w:rsidR="00F0197F" w:rsidRPr="00834440">
        <w:rPr>
          <w:rFonts w:cs="Calibri"/>
          <w:szCs w:val="24"/>
        </w:rPr>
        <w:t xml:space="preserve">and then at </w:t>
      </w:r>
      <w:r w:rsidRPr="00834440">
        <w:rPr>
          <w:rFonts w:cs="Calibri"/>
          <w:szCs w:val="24"/>
        </w:rPr>
        <w:t xml:space="preserve">300 </w:t>
      </w:r>
      <w:proofErr w:type="spellStart"/>
      <w:r w:rsidRPr="00834440">
        <w:rPr>
          <w:rFonts w:cs="Calibri"/>
          <w:szCs w:val="24"/>
        </w:rPr>
        <w:t>ms</w:t>
      </w:r>
      <w:proofErr w:type="spellEnd"/>
      <w:r w:rsidRPr="00834440">
        <w:rPr>
          <w:rFonts w:cs="Calibri"/>
          <w:szCs w:val="24"/>
        </w:rPr>
        <w:t xml:space="preserve"> while they are reported at around 150 </w:t>
      </w:r>
      <w:proofErr w:type="spellStart"/>
      <w:r w:rsidRPr="00834440">
        <w:rPr>
          <w:rFonts w:cs="Calibri"/>
          <w:szCs w:val="24"/>
        </w:rPr>
        <w:t>ms</w:t>
      </w:r>
      <w:proofErr w:type="spellEnd"/>
      <w:r w:rsidRPr="00834440">
        <w:rPr>
          <w:rFonts w:cs="Calibri"/>
          <w:szCs w:val="24"/>
        </w:rPr>
        <w:t xml:space="preserve"> in the superordinate task. </w:t>
      </w:r>
    </w:p>
    <w:p w14:paraId="00564E0E" w14:textId="45B0C3D0" w:rsidR="00392AEC" w:rsidRPr="00834440" w:rsidRDefault="008E7610" w:rsidP="00027D7C">
      <w:pPr>
        <w:spacing w:after="120"/>
        <w:rPr>
          <w:rFonts w:cs="Calibri"/>
          <w:szCs w:val="24"/>
        </w:rPr>
      </w:pPr>
      <w:r w:rsidRPr="00834440">
        <w:rPr>
          <w:rFonts w:cs="Calibri"/>
          <w:szCs w:val="24"/>
        </w:rPr>
        <w:t xml:space="preserve">Overall, the statistical results are </w:t>
      </w:r>
      <w:proofErr w:type="gramStart"/>
      <w:r w:rsidRPr="00834440">
        <w:rPr>
          <w:rFonts w:cs="Calibri"/>
          <w:szCs w:val="24"/>
        </w:rPr>
        <w:t>similar to</w:t>
      </w:r>
      <w:proofErr w:type="gramEnd"/>
      <w:r w:rsidRPr="00834440">
        <w:rPr>
          <w:rFonts w:cs="Calibri"/>
          <w:szCs w:val="24"/>
        </w:rPr>
        <w:t xml:space="preserve"> the ones found with </w:t>
      </w:r>
      <w:r w:rsidR="00FA1F52" w:rsidRPr="00834440">
        <w:rPr>
          <w:rFonts w:cs="Calibri"/>
          <w:szCs w:val="24"/>
        </w:rPr>
        <w:t xml:space="preserve">cluster-based </w:t>
      </w:r>
      <w:r w:rsidRPr="00834440">
        <w:rPr>
          <w:rFonts w:cs="Calibri"/>
          <w:szCs w:val="24"/>
        </w:rPr>
        <w:t xml:space="preserve">permutation tests. Categorical differences in ERPs are visible around 125-160 </w:t>
      </w:r>
      <w:proofErr w:type="spellStart"/>
      <w:r w:rsidRPr="00834440">
        <w:rPr>
          <w:rFonts w:cs="Calibri"/>
          <w:szCs w:val="24"/>
        </w:rPr>
        <w:t>ms</w:t>
      </w:r>
      <w:proofErr w:type="spellEnd"/>
      <w:r w:rsidRPr="00834440">
        <w:rPr>
          <w:rFonts w:cs="Calibri"/>
          <w:szCs w:val="24"/>
        </w:rPr>
        <w:t xml:space="preserve"> in most electrodes and for all tasks</w:t>
      </w:r>
      <w:r w:rsidR="00BD02D8" w:rsidRPr="00834440">
        <w:rPr>
          <w:rFonts w:cs="Calibri"/>
          <w:szCs w:val="24"/>
        </w:rPr>
        <w:t xml:space="preserve"> (Fig. S2)</w:t>
      </w:r>
      <w:r w:rsidRPr="00834440">
        <w:rPr>
          <w:rFonts w:cs="Calibri"/>
          <w:szCs w:val="24"/>
        </w:rPr>
        <w:t xml:space="preserve">. These differences are weaker when comparing non-bird animal and vehicle categories and later when comparing bird to vehicle categories. </w:t>
      </w:r>
      <w:r w:rsidR="008E696B" w:rsidRPr="00834440">
        <w:rPr>
          <w:rFonts w:cs="Calibri"/>
          <w:szCs w:val="24"/>
        </w:rPr>
        <w:t xml:space="preserve">Latencies of the decoding performance are later when comparing bird and non-bird animal category representations, </w:t>
      </w:r>
      <w:r w:rsidR="002F41F9" w:rsidRPr="00834440">
        <w:rPr>
          <w:rFonts w:cs="Calibri"/>
          <w:szCs w:val="24"/>
        </w:rPr>
        <w:t>and</w:t>
      </w:r>
      <w:r w:rsidR="008E696B" w:rsidRPr="00834440">
        <w:rPr>
          <w:rFonts w:cs="Calibri"/>
          <w:szCs w:val="24"/>
        </w:rPr>
        <w:t xml:space="preserve"> in the basic task between non-bird animal and vehicle categories</w:t>
      </w:r>
      <w:r w:rsidR="00BD02D8" w:rsidRPr="00834440">
        <w:rPr>
          <w:rFonts w:cs="Calibri"/>
          <w:szCs w:val="24"/>
        </w:rPr>
        <w:t xml:space="preserve"> (Fig. S</w:t>
      </w:r>
      <w:r w:rsidR="00043CF3" w:rsidRPr="00834440">
        <w:rPr>
          <w:rFonts w:cs="Calibri"/>
          <w:szCs w:val="24"/>
        </w:rPr>
        <w:t>2</w:t>
      </w:r>
      <w:r w:rsidR="00BD02D8" w:rsidRPr="00834440">
        <w:rPr>
          <w:rFonts w:cs="Calibri"/>
          <w:szCs w:val="24"/>
        </w:rPr>
        <w:t>)</w:t>
      </w:r>
      <w:r w:rsidR="008E696B" w:rsidRPr="00834440">
        <w:rPr>
          <w:rFonts w:cs="Calibri"/>
          <w:szCs w:val="24"/>
        </w:rPr>
        <w:t xml:space="preserve">. </w:t>
      </w:r>
      <w:r w:rsidR="00FA1F52" w:rsidRPr="00834440">
        <w:rPr>
          <w:rFonts w:cs="Calibri"/>
          <w:szCs w:val="24"/>
        </w:rPr>
        <w:t xml:space="preserve">RSA </w:t>
      </w:r>
      <w:r w:rsidR="008E696B" w:rsidRPr="00834440">
        <w:rPr>
          <w:rFonts w:cs="Calibri"/>
          <w:szCs w:val="24"/>
        </w:rPr>
        <w:t xml:space="preserve">results are </w:t>
      </w:r>
      <w:proofErr w:type="gramStart"/>
      <w:r w:rsidR="008E696B" w:rsidRPr="00834440">
        <w:rPr>
          <w:rFonts w:cs="Calibri"/>
          <w:szCs w:val="24"/>
        </w:rPr>
        <w:t>similar to</w:t>
      </w:r>
      <w:proofErr w:type="gramEnd"/>
      <w:r w:rsidR="00430A4D" w:rsidRPr="00834440">
        <w:rPr>
          <w:rFonts w:cs="Calibri"/>
          <w:szCs w:val="24"/>
        </w:rPr>
        <w:t xml:space="preserve"> that in</w:t>
      </w:r>
      <w:r w:rsidR="008E696B" w:rsidRPr="00834440">
        <w:rPr>
          <w:rFonts w:cs="Calibri"/>
          <w:szCs w:val="24"/>
        </w:rPr>
        <w:t xml:space="preserve"> the main analyses with only some additional significant differences between bird and non-bird animal categories </w:t>
      </w:r>
      <w:r w:rsidR="002F41F9" w:rsidRPr="00834440">
        <w:rPr>
          <w:rFonts w:cs="Calibri"/>
          <w:szCs w:val="24"/>
        </w:rPr>
        <w:t>at</w:t>
      </w:r>
      <w:r w:rsidR="008E696B" w:rsidRPr="00834440">
        <w:rPr>
          <w:rFonts w:cs="Calibri"/>
          <w:szCs w:val="24"/>
        </w:rPr>
        <w:t xml:space="preserve"> earlier timepoints</w:t>
      </w:r>
      <w:r w:rsidR="00BD02D8" w:rsidRPr="00834440">
        <w:rPr>
          <w:rFonts w:cs="Calibri"/>
          <w:szCs w:val="24"/>
        </w:rPr>
        <w:t xml:space="preserve"> (Fig. S3)</w:t>
      </w:r>
      <w:r w:rsidR="008E696B" w:rsidRPr="00834440">
        <w:rPr>
          <w:rFonts w:cs="Calibri"/>
          <w:szCs w:val="24"/>
        </w:rPr>
        <w:t xml:space="preserve">. </w:t>
      </w:r>
    </w:p>
    <w:p w14:paraId="238598E4" w14:textId="1EA411CE" w:rsidR="00A42515" w:rsidRPr="00834440" w:rsidRDefault="003D1B0A" w:rsidP="005C0DA1">
      <w:pPr>
        <w:rPr>
          <w:rFonts w:cs="Calibri"/>
        </w:rPr>
      </w:pPr>
      <w:r w:rsidRPr="00834440">
        <w:rPr>
          <w:rFonts w:cs="Calibri"/>
          <w:noProof/>
        </w:rPr>
        <w:drawing>
          <wp:inline distT="0" distB="0" distL="0" distR="0" wp14:anchorId="33F13077" wp14:editId="079E408F">
            <wp:extent cx="5703229" cy="1630017"/>
            <wp:effectExtent l="0" t="0" r="0" b="0"/>
            <wp:docPr id="1647926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8378"/>
                    <a:stretch>
                      <a:fillRect/>
                    </a:stretch>
                  </pic:blipFill>
                  <pic:spPr bwMode="auto">
                    <a:xfrm>
                      <a:off x="0" y="0"/>
                      <a:ext cx="5712410" cy="1632641"/>
                    </a:xfrm>
                    <a:prstGeom prst="rect">
                      <a:avLst/>
                    </a:prstGeom>
                    <a:noFill/>
                    <a:ln>
                      <a:noFill/>
                    </a:ln>
                    <a:extLst>
                      <a:ext uri="{53640926-AAD7-44D8-BBD7-CCE9431645EC}">
                        <a14:shadowObscured xmlns:a14="http://schemas.microsoft.com/office/drawing/2010/main"/>
                      </a:ext>
                    </a:extLst>
                  </pic:spPr>
                </pic:pic>
              </a:graphicData>
            </a:graphic>
          </wp:inline>
        </w:drawing>
      </w:r>
    </w:p>
    <w:p w14:paraId="066F55E3" w14:textId="614D8D01" w:rsidR="00392AEC" w:rsidRPr="00834440" w:rsidRDefault="00392AEC" w:rsidP="005C0DA1">
      <w:pPr>
        <w:rPr>
          <w:rFonts w:ascii="Garamond" w:hAnsi="Garamond"/>
          <w:szCs w:val="24"/>
        </w:rPr>
      </w:pPr>
      <w:r w:rsidRPr="00834440">
        <w:rPr>
          <w:rFonts w:ascii="Garamond" w:hAnsi="Garamond" w:cs="Calibri"/>
          <w:szCs w:val="24"/>
        </w:rPr>
        <w:t xml:space="preserve">Supplementary Figure 2. Alternative statistical results using significant differences for p&lt;.005 for at least 15 </w:t>
      </w:r>
      <w:proofErr w:type="spellStart"/>
      <w:r w:rsidRPr="00834440">
        <w:rPr>
          <w:rFonts w:ascii="Garamond" w:hAnsi="Garamond" w:cs="Calibri"/>
          <w:szCs w:val="24"/>
        </w:rPr>
        <w:t>ms</w:t>
      </w:r>
      <w:proofErr w:type="spellEnd"/>
      <w:r w:rsidR="00FA1F52" w:rsidRPr="00834440">
        <w:rPr>
          <w:rFonts w:ascii="Garamond" w:hAnsi="Garamond" w:cs="Calibri"/>
          <w:szCs w:val="24"/>
        </w:rPr>
        <w:t xml:space="preserve"> as a criterion</w:t>
      </w:r>
      <w:r w:rsidRPr="00834440">
        <w:rPr>
          <w:rFonts w:ascii="Garamond" w:hAnsi="Garamond" w:cs="Calibri"/>
          <w:szCs w:val="24"/>
        </w:rPr>
        <w:t>.</w:t>
      </w:r>
      <w:r w:rsidRPr="00834440">
        <w:rPr>
          <w:rFonts w:ascii="Garamond" w:hAnsi="Garamond"/>
          <w:szCs w:val="24"/>
        </w:rPr>
        <w:t xml:space="preserve"> Difference in ERP response</w:t>
      </w:r>
      <w:r w:rsidR="00FA1F52" w:rsidRPr="00834440">
        <w:rPr>
          <w:rFonts w:ascii="Garamond" w:hAnsi="Garamond"/>
          <w:szCs w:val="24"/>
        </w:rPr>
        <w:t>s</w:t>
      </w:r>
      <w:r w:rsidRPr="00834440">
        <w:rPr>
          <w:rFonts w:ascii="Garamond" w:hAnsi="Garamond"/>
          <w:szCs w:val="24"/>
        </w:rPr>
        <w:t xml:space="preserve"> between the three pairs of object categories are plotted as in Fig. 2 (main text). Significant differences are represented with coloured dots at the bottom of the figures.</w:t>
      </w:r>
    </w:p>
    <w:p w14:paraId="4D503922" w14:textId="0D48EB2D" w:rsidR="00A55E8A" w:rsidRPr="00834440" w:rsidRDefault="00392385" w:rsidP="00A55E8A">
      <w:r w:rsidRPr="00834440">
        <w:rPr>
          <w:noProof/>
        </w:rPr>
        <w:lastRenderedPageBreak/>
        <w:drawing>
          <wp:inline distT="0" distB="0" distL="0" distR="0" wp14:anchorId="4172CD87" wp14:editId="01E8CFBD">
            <wp:extent cx="4533900" cy="3200400"/>
            <wp:effectExtent l="0" t="0" r="0" b="0"/>
            <wp:docPr id="650700924"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00924" name="Picture 4" descr="A screenshot of a grap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33900" cy="3200400"/>
                    </a:xfrm>
                    <a:prstGeom prst="rect">
                      <a:avLst/>
                    </a:prstGeom>
                  </pic:spPr>
                </pic:pic>
              </a:graphicData>
            </a:graphic>
          </wp:inline>
        </w:drawing>
      </w:r>
    </w:p>
    <w:p w14:paraId="3CC7DC8B" w14:textId="4B791571" w:rsidR="00392AEC" w:rsidRPr="00834440" w:rsidRDefault="00392AEC" w:rsidP="00A55E8A">
      <w:pPr>
        <w:rPr>
          <w:rFonts w:ascii="Garamond" w:hAnsi="Garamond"/>
          <w:szCs w:val="24"/>
        </w:rPr>
      </w:pPr>
      <w:r w:rsidRPr="00834440">
        <w:rPr>
          <w:rFonts w:ascii="Garamond" w:hAnsi="Garamond" w:cs="Calibri"/>
          <w:szCs w:val="24"/>
        </w:rPr>
        <w:t xml:space="preserve">Supplementary Figure 3. Alternative statistical results using significant differences for p&lt;.005 for at least 15 </w:t>
      </w:r>
      <w:proofErr w:type="spellStart"/>
      <w:r w:rsidRPr="00834440">
        <w:rPr>
          <w:rFonts w:ascii="Garamond" w:hAnsi="Garamond" w:cs="Calibri"/>
          <w:szCs w:val="24"/>
        </w:rPr>
        <w:t>ms</w:t>
      </w:r>
      <w:proofErr w:type="spellEnd"/>
      <w:r w:rsidR="00C775B6" w:rsidRPr="00834440">
        <w:rPr>
          <w:rFonts w:ascii="Garamond" w:hAnsi="Garamond" w:cs="Calibri"/>
          <w:szCs w:val="24"/>
        </w:rPr>
        <w:t xml:space="preserve"> as a criterion</w:t>
      </w:r>
      <w:r w:rsidRPr="00834440">
        <w:rPr>
          <w:rFonts w:ascii="Garamond" w:hAnsi="Garamond" w:cs="Calibri"/>
          <w:szCs w:val="24"/>
        </w:rPr>
        <w:t xml:space="preserve">. </w:t>
      </w:r>
      <w:r w:rsidRPr="00834440">
        <w:rPr>
          <w:rFonts w:ascii="Garamond" w:hAnsi="Garamond"/>
          <w:szCs w:val="24"/>
        </w:rPr>
        <w:t xml:space="preserve">A. Decoding performance and B. results of the representational similarity as in Fig. 3 (main text). In all panels, significant differences are represented with </w:t>
      </w:r>
      <w:proofErr w:type="gramStart"/>
      <w:r w:rsidR="003C17A7" w:rsidRPr="00834440">
        <w:rPr>
          <w:rFonts w:ascii="Garamond" w:hAnsi="Garamond"/>
          <w:szCs w:val="24"/>
        </w:rPr>
        <w:t xml:space="preserve">matching </w:t>
      </w:r>
      <w:r w:rsidRPr="00834440">
        <w:rPr>
          <w:rFonts w:ascii="Garamond" w:hAnsi="Garamond"/>
          <w:szCs w:val="24"/>
        </w:rPr>
        <w:t>coloured</w:t>
      </w:r>
      <w:proofErr w:type="gramEnd"/>
      <w:r w:rsidRPr="00834440">
        <w:rPr>
          <w:rFonts w:ascii="Garamond" w:hAnsi="Garamond"/>
          <w:szCs w:val="24"/>
        </w:rPr>
        <w:t xml:space="preserve"> dots at the bottom of the figures.</w:t>
      </w:r>
      <w:r w:rsidR="003C17A7" w:rsidRPr="00834440">
        <w:rPr>
          <w:rFonts w:ascii="Garamond" w:hAnsi="Garamond"/>
          <w:szCs w:val="24"/>
        </w:rPr>
        <w:t xml:space="preserve"> Green dots indicate differences across tasks.</w:t>
      </w:r>
    </w:p>
    <w:p w14:paraId="3F18874C" w14:textId="77777777" w:rsidR="004C4626" w:rsidRPr="00834440" w:rsidRDefault="004C4626" w:rsidP="00A55E8A">
      <w:pPr>
        <w:rPr>
          <w:rFonts w:ascii="Garamond" w:hAnsi="Garamond"/>
          <w:szCs w:val="24"/>
        </w:rPr>
      </w:pPr>
    </w:p>
    <w:p w14:paraId="3B3853F9" w14:textId="77777777" w:rsidR="004C4626" w:rsidRPr="00834440" w:rsidRDefault="004C4626" w:rsidP="004C4626">
      <w:pPr>
        <w:pStyle w:val="Heading3"/>
      </w:pPr>
      <w:r w:rsidRPr="00834440">
        <w:t>Unfiltered ERP results</w:t>
      </w:r>
    </w:p>
    <w:p w14:paraId="7AFA4F92" w14:textId="3BF76C6E" w:rsidR="004C4626" w:rsidRPr="00834440" w:rsidRDefault="004C4626" w:rsidP="004C4626">
      <w:pPr>
        <w:spacing w:after="120"/>
        <w:rPr>
          <w:rFonts w:cs="Calibri"/>
          <w:szCs w:val="24"/>
        </w:rPr>
      </w:pPr>
      <w:r w:rsidRPr="00834440">
        <w:rPr>
          <w:rFonts w:cs="Calibri"/>
          <w:szCs w:val="24"/>
        </w:rPr>
        <w:t xml:space="preserve">To confirm that the latency differences in the ERP analyses were not affected by filtering the EEG data </w:t>
      </w:r>
      <w:r w:rsidRPr="00834440">
        <w:rPr>
          <w:rFonts w:cs="Calibri"/>
          <w:szCs w:val="24"/>
        </w:rPr>
        <w:fldChar w:fldCharType="begin"/>
      </w:r>
      <w:r w:rsidR="00BB4AEA">
        <w:rPr>
          <w:rFonts w:cs="Calibri"/>
          <w:szCs w:val="24"/>
        </w:rPr>
        <w:instrText xml:space="preserve"> ADDIN ZOTERO_ITEM CSL_CITATION {"citationID":"rvX1oc6z","properties":{"formattedCitation":"(VanRullen 2011; Tanner et al. 2015)","plainCitation":"(VanRullen 2011; Tanner et al. 2015)","noteIndex":0},"citationItems":[{"id":9802,"uris":["http://zotero.org/users/1515460/items/PHZBQUNH"],"itemData":{"id":9802,"type":"article-journal","abstract":"Although it is widely known that high-pass filters can reduce the amplitude of slow ERP components, these filters can also introduce artifactual peaks that lead to incorrect conclusions. To demonstrate this and provide evidence about optimal filter settings, we recorded ERPs in a typical language processing paradigm involving syntactic and semantic violations. Unfiltered results showed standard N400 and P600 effects in the semantic and syntactic violation conditions, respectively. However, high-pass filters with cutoffs at 0.3 Hz and above produced artifactual effects of opposite polarity before the true effect. That is, excessive high-pass filtering introduced a significant N400 effect preceding the P600 in the syntactic condition, and a significant P2 effect preceding the N400 in the semantic condition. Thus, inappropriate use of high-pass filters can lead to false conclusions about which components are influenced by a given manipulation. The present results also lead to practical recommendations for high-pass filter settings that maximize statistical power while minimizing filtering artifacts.","container-title":"Psychophysiology","DOI":"10.1111/psyp.12437","ISSN":"1540-5958","issue":"8","journalAbbreviation":"Psychophysiology","language":"eng","note":"PMID: 25903295\nPMCID: PMC4506207","page":"997-1009","source":"PubMed","title":"How inappropriate high-pass filters can produce artifactual effects and incorrect conclusions in ERP studies of language and cognition","volume":"52","author":[{"family":"Tanner","given":"Darren"},{"family":"Morgan-Short","given":"Kara"},{"family":"Luck","given":"Steven J."}],"issued":{"date-parts":[["2015",8]]}}},{"id":1012,"uris":["http://zotero.org/users/1515460/items/VT7H6RDP"],"itemData":{"id":1012,"type":"article-journal","container-title":"Frontiers in Psychology","DOI":"10.3389/fpsyg.2011.00365","ISSN":"1664-1078","source":"CrossRef","title":"Four Common Conceptual Fallacies in Mapping the Time Course of Recognition","URL":"http://www.frontiersin.org/Perception_Science/10.3389/fpsyg.2011.00365/abstract","volume":"2","author":[{"family":"VanRullen","given":"Rufin"}],"accessed":{"date-parts":[["2013",7,26]]},"issued":{"date-parts":[["2011"]]}}}],"schema":"https://github.com/citation-style-language/schema/raw/master/csl-citation.json"} </w:instrText>
      </w:r>
      <w:r w:rsidRPr="00834440">
        <w:rPr>
          <w:rFonts w:cs="Calibri"/>
          <w:szCs w:val="24"/>
        </w:rPr>
        <w:fldChar w:fldCharType="separate"/>
      </w:r>
      <w:r w:rsidR="00BB4AEA">
        <w:rPr>
          <w:rFonts w:cs="Calibri"/>
        </w:rPr>
        <w:t>(</w:t>
      </w:r>
      <w:proofErr w:type="spellStart"/>
      <w:r w:rsidR="00BB4AEA">
        <w:rPr>
          <w:rFonts w:cs="Calibri"/>
        </w:rPr>
        <w:t>VanRullen</w:t>
      </w:r>
      <w:proofErr w:type="spellEnd"/>
      <w:r w:rsidR="00BB4AEA">
        <w:rPr>
          <w:rFonts w:cs="Calibri"/>
        </w:rPr>
        <w:t xml:space="preserve"> 2011; Tanner et al. 2015)</w:t>
      </w:r>
      <w:r w:rsidRPr="00834440">
        <w:rPr>
          <w:rFonts w:cs="Calibri"/>
          <w:szCs w:val="24"/>
        </w:rPr>
        <w:fldChar w:fldCharType="end"/>
      </w:r>
      <w:r w:rsidRPr="00834440">
        <w:rPr>
          <w:rFonts w:cs="Calibri"/>
          <w:szCs w:val="24"/>
        </w:rPr>
        <w:t xml:space="preserve"> we additionally analysed the results using non-filtered EEG data. As in the main analysis, we computed the ERP responses for each category over </w:t>
      </w:r>
      <w:r w:rsidR="001362DA" w:rsidRPr="00834440">
        <w:rPr>
          <w:rFonts w:cs="Calibri"/>
          <w:szCs w:val="24"/>
        </w:rPr>
        <w:t xml:space="preserve">three </w:t>
      </w:r>
      <w:r w:rsidRPr="00834440">
        <w:rPr>
          <w:rFonts w:cs="Calibri"/>
          <w:szCs w:val="24"/>
        </w:rPr>
        <w:t xml:space="preserve">set of electrodes </w:t>
      </w:r>
      <w:r w:rsidR="001362DA" w:rsidRPr="00834440">
        <w:rPr>
          <w:rFonts w:cs="Calibri"/>
          <w:szCs w:val="24"/>
        </w:rPr>
        <w:t xml:space="preserve">(occipital, central, frontal) </w:t>
      </w:r>
      <w:r w:rsidRPr="00834440">
        <w:rPr>
          <w:rFonts w:cs="Calibri"/>
          <w:szCs w:val="24"/>
        </w:rPr>
        <w:t xml:space="preserve">and computed the difference between the three pairs of object categories for the two tasks separately. To test the significance of the differential responses we used both </w:t>
      </w:r>
      <w:r w:rsidR="001362DA" w:rsidRPr="00834440">
        <w:rPr>
          <w:rFonts w:cs="Calibri"/>
          <w:szCs w:val="24"/>
        </w:rPr>
        <w:t xml:space="preserve">cluster-based </w:t>
      </w:r>
      <w:r w:rsidRPr="00834440">
        <w:rPr>
          <w:rFonts w:cs="Calibri"/>
          <w:szCs w:val="24"/>
        </w:rPr>
        <w:t xml:space="preserve">permutation tests (as in the main analyses) and paired t-tests with p&lt;.005 for at least 15 </w:t>
      </w:r>
      <w:proofErr w:type="spellStart"/>
      <w:r w:rsidRPr="00834440">
        <w:rPr>
          <w:rFonts w:cs="Calibri"/>
          <w:szCs w:val="24"/>
        </w:rPr>
        <w:t>ms</w:t>
      </w:r>
      <w:proofErr w:type="spellEnd"/>
      <w:r w:rsidRPr="00834440">
        <w:rPr>
          <w:rFonts w:cs="Calibri"/>
          <w:szCs w:val="24"/>
        </w:rPr>
        <w:t xml:space="preserve">. </w:t>
      </w:r>
    </w:p>
    <w:p w14:paraId="6FCB931D" w14:textId="77C79969" w:rsidR="004C4626" w:rsidRPr="00834440" w:rsidRDefault="004C4626" w:rsidP="004C4626">
      <w:pPr>
        <w:spacing w:after="120"/>
        <w:rPr>
          <w:rFonts w:cs="Calibri"/>
          <w:szCs w:val="24"/>
        </w:rPr>
      </w:pPr>
      <w:r w:rsidRPr="00834440">
        <w:rPr>
          <w:rFonts w:cs="Calibri"/>
          <w:szCs w:val="24"/>
        </w:rPr>
        <w:t xml:space="preserve">The ERP waveforms are highly </w:t>
      </w:r>
      <w:proofErr w:type="gramStart"/>
      <w:r w:rsidRPr="00834440">
        <w:rPr>
          <w:rFonts w:cs="Calibri"/>
          <w:szCs w:val="24"/>
        </w:rPr>
        <w:t>similar to</w:t>
      </w:r>
      <w:proofErr w:type="gramEnd"/>
      <w:r w:rsidRPr="00834440">
        <w:rPr>
          <w:rFonts w:cs="Calibri"/>
          <w:szCs w:val="24"/>
        </w:rPr>
        <w:t xml:space="preserve"> that in the main analyses (Fig.</w:t>
      </w:r>
      <w:r w:rsidR="001362DA" w:rsidRPr="00834440">
        <w:rPr>
          <w:rFonts w:cs="Calibri"/>
          <w:szCs w:val="24"/>
        </w:rPr>
        <w:t xml:space="preserve"> </w:t>
      </w:r>
      <w:r w:rsidRPr="00834440">
        <w:rPr>
          <w:rFonts w:cs="Calibri"/>
          <w:szCs w:val="24"/>
        </w:rPr>
        <w:t>S</w:t>
      </w:r>
      <w:r w:rsidR="0027205B" w:rsidRPr="00834440">
        <w:rPr>
          <w:rFonts w:cs="Calibri"/>
          <w:szCs w:val="24"/>
        </w:rPr>
        <w:t>4</w:t>
      </w:r>
      <w:r w:rsidRPr="00834440">
        <w:rPr>
          <w:rFonts w:cs="Calibri"/>
          <w:szCs w:val="24"/>
        </w:rPr>
        <w:t xml:space="preserve">). There are some differences in latencies depending on the statistical test, but they are overall consistent. </w:t>
      </w:r>
    </w:p>
    <w:p w14:paraId="6FD7C222" w14:textId="2719952A" w:rsidR="004C4626" w:rsidRPr="00834440" w:rsidRDefault="00955715" w:rsidP="004C4626">
      <w:pPr>
        <w:spacing w:after="120"/>
        <w:rPr>
          <w:rFonts w:cs="Calibri"/>
          <w:szCs w:val="24"/>
        </w:rPr>
      </w:pPr>
      <w:r w:rsidRPr="00834440">
        <w:rPr>
          <w:rFonts w:cs="Calibri"/>
          <w:noProof/>
        </w:rPr>
        <w:lastRenderedPageBreak/>
        <w:drawing>
          <wp:inline distT="0" distB="0" distL="0" distR="0" wp14:anchorId="4AD59B31" wp14:editId="1C58618F">
            <wp:extent cx="5727700" cy="2604135"/>
            <wp:effectExtent l="0" t="0" r="0" b="0"/>
            <wp:docPr id="4971915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0" cy="2604135"/>
                    </a:xfrm>
                    <a:prstGeom prst="rect">
                      <a:avLst/>
                    </a:prstGeom>
                    <a:noFill/>
                    <a:ln>
                      <a:noFill/>
                    </a:ln>
                  </pic:spPr>
                </pic:pic>
              </a:graphicData>
            </a:graphic>
          </wp:inline>
        </w:drawing>
      </w:r>
    </w:p>
    <w:p w14:paraId="457AE435" w14:textId="5B79E93F" w:rsidR="009A50D2" w:rsidRPr="00834440" w:rsidRDefault="004C4626" w:rsidP="00A55E8A">
      <w:pPr>
        <w:rPr>
          <w:rFonts w:ascii="Garamond" w:hAnsi="Garamond"/>
        </w:rPr>
      </w:pPr>
      <w:r w:rsidRPr="00834440">
        <w:rPr>
          <w:rFonts w:ascii="Garamond" w:hAnsi="Garamond" w:cs="Calibri"/>
          <w:szCs w:val="24"/>
        </w:rPr>
        <w:t xml:space="preserve">Supplementary Figure </w:t>
      </w:r>
      <w:r w:rsidR="0027205B" w:rsidRPr="00834440">
        <w:rPr>
          <w:rFonts w:ascii="Garamond" w:hAnsi="Garamond" w:cs="Calibri"/>
          <w:szCs w:val="24"/>
        </w:rPr>
        <w:t>4</w:t>
      </w:r>
      <w:r w:rsidRPr="00834440">
        <w:rPr>
          <w:rFonts w:ascii="Garamond" w:hAnsi="Garamond" w:cs="Calibri"/>
          <w:szCs w:val="24"/>
        </w:rPr>
        <w:t xml:space="preserve">. </w:t>
      </w:r>
      <w:r w:rsidRPr="00834440">
        <w:rPr>
          <w:rFonts w:ascii="Garamond" w:hAnsi="Garamond"/>
        </w:rPr>
        <w:t xml:space="preserve">Results of the ERP analyses using unfiltered data. Each line plots the difference in responses between two categories </w:t>
      </w:r>
      <w:proofErr w:type="gramStart"/>
      <w:r w:rsidRPr="00834440">
        <w:rPr>
          <w:rFonts w:ascii="Garamond" w:hAnsi="Garamond"/>
        </w:rPr>
        <w:t xml:space="preserve">in a </w:t>
      </w:r>
      <w:r w:rsidR="001362DA" w:rsidRPr="00834440">
        <w:rPr>
          <w:rFonts w:ascii="Garamond" w:hAnsi="Garamond"/>
        </w:rPr>
        <w:t>given</w:t>
      </w:r>
      <w:proofErr w:type="gramEnd"/>
      <w:r w:rsidR="001362DA" w:rsidRPr="00834440">
        <w:rPr>
          <w:rFonts w:ascii="Garamond" w:hAnsi="Garamond"/>
        </w:rPr>
        <w:t xml:space="preserve"> </w:t>
      </w:r>
      <w:r w:rsidRPr="00834440">
        <w:rPr>
          <w:rFonts w:ascii="Garamond" w:hAnsi="Garamond"/>
        </w:rPr>
        <w:t>categorisation task averaged over electrodes located at occipital, central</w:t>
      </w:r>
      <w:r w:rsidR="001362DA" w:rsidRPr="00834440">
        <w:rPr>
          <w:rFonts w:ascii="Garamond" w:hAnsi="Garamond"/>
        </w:rPr>
        <w:t>,</w:t>
      </w:r>
      <w:r w:rsidRPr="00834440">
        <w:rPr>
          <w:rFonts w:ascii="Garamond" w:hAnsi="Garamond"/>
        </w:rPr>
        <w:t xml:space="preserve"> </w:t>
      </w:r>
      <w:r w:rsidR="001362DA" w:rsidRPr="00834440">
        <w:rPr>
          <w:rFonts w:ascii="Garamond" w:hAnsi="Garamond"/>
        </w:rPr>
        <w:t xml:space="preserve">and </w:t>
      </w:r>
      <w:r w:rsidRPr="00834440">
        <w:rPr>
          <w:rFonts w:ascii="Garamond" w:hAnsi="Garamond"/>
        </w:rPr>
        <w:t>frontal sites. Shaded areas around the mean amplitude represent SEM.</w:t>
      </w:r>
      <w:r w:rsidRPr="00834440">
        <w:t xml:space="preserve"> </w:t>
      </w:r>
      <w:r w:rsidRPr="00834440">
        <w:rPr>
          <w:rFonts w:ascii="Garamond" w:hAnsi="Garamond"/>
        </w:rPr>
        <w:t xml:space="preserve">Significant differences are represented with matching-coloured dots at the bottom of the figures using </w:t>
      </w:r>
      <w:r w:rsidR="001362DA" w:rsidRPr="00834440">
        <w:rPr>
          <w:rFonts w:ascii="Garamond" w:hAnsi="Garamond"/>
        </w:rPr>
        <w:t xml:space="preserve">cluster-based </w:t>
      </w:r>
      <w:r w:rsidRPr="00834440">
        <w:rPr>
          <w:rFonts w:ascii="Garamond" w:hAnsi="Garamond"/>
        </w:rPr>
        <w:t xml:space="preserve">permutation tests (A) or paired t-tests with p&lt;.005 for at least 15 </w:t>
      </w:r>
      <w:proofErr w:type="spellStart"/>
      <w:r w:rsidRPr="00834440">
        <w:rPr>
          <w:rFonts w:ascii="Garamond" w:hAnsi="Garamond"/>
        </w:rPr>
        <w:t>ms</w:t>
      </w:r>
      <w:proofErr w:type="spellEnd"/>
      <w:r w:rsidRPr="00834440">
        <w:rPr>
          <w:rFonts w:ascii="Garamond" w:hAnsi="Garamond"/>
        </w:rPr>
        <w:t xml:space="preserve"> (B). </w:t>
      </w:r>
    </w:p>
    <w:p w14:paraId="0F3CBF80" w14:textId="77777777" w:rsidR="009A50D2" w:rsidRPr="00834440" w:rsidRDefault="009A50D2" w:rsidP="00A55E8A">
      <w:pPr>
        <w:rPr>
          <w:rFonts w:ascii="Garamond" w:hAnsi="Garamond"/>
        </w:rPr>
      </w:pPr>
    </w:p>
    <w:p w14:paraId="0795506E" w14:textId="4DE4810C" w:rsidR="00807620" w:rsidRPr="00834440" w:rsidRDefault="00807620" w:rsidP="00065397">
      <w:pPr>
        <w:pStyle w:val="Heading3"/>
      </w:pPr>
      <w:r w:rsidRPr="00834440">
        <w:t xml:space="preserve">Variability of results with </w:t>
      </w:r>
      <w:r w:rsidR="00A55E8A" w:rsidRPr="00834440">
        <w:t xml:space="preserve">different </w:t>
      </w:r>
      <w:r w:rsidRPr="00834440">
        <w:t>sample size</w:t>
      </w:r>
      <w:r w:rsidR="00A55E8A" w:rsidRPr="00834440">
        <w:t>s</w:t>
      </w:r>
    </w:p>
    <w:p w14:paraId="7F2DEB22" w14:textId="437E0471" w:rsidR="00A55E8A" w:rsidRPr="00834440" w:rsidRDefault="00A55E8A" w:rsidP="005C0DA1">
      <w:pPr>
        <w:rPr>
          <w:rFonts w:cs="Calibri"/>
        </w:rPr>
      </w:pPr>
      <w:r w:rsidRPr="00834440">
        <w:rPr>
          <w:rFonts w:cs="Calibri"/>
        </w:rPr>
        <w:t xml:space="preserve">To test the robustness of our results with our sample size, </w:t>
      </w:r>
      <w:r w:rsidR="00B905CC" w:rsidRPr="00834440">
        <w:t xml:space="preserve">we iteratively sampled 4 to 17 participants with replacement from our original sample of 17. For each sample we conducted paired sample t-tests on decoding performance (results vs shuffled baseline) at each timepoint and </w:t>
      </w:r>
      <w:r w:rsidR="00CE08D3" w:rsidRPr="00834440">
        <w:t xml:space="preserve">each category pair and categorisation task. We </w:t>
      </w:r>
      <w:r w:rsidR="00B905CC" w:rsidRPr="00834440">
        <w:t xml:space="preserve">noted </w:t>
      </w:r>
      <w:r w:rsidR="00CE08D3" w:rsidRPr="00834440">
        <w:t xml:space="preserve">any </w:t>
      </w:r>
      <w:r w:rsidR="00B905CC" w:rsidRPr="00834440">
        <w:t>significant differences (p&lt;.05). We computed this 1000 times and assessed the proportion of these iterations that yielded a significant difference for that timepoint</w:t>
      </w:r>
      <w:r w:rsidR="001C1324" w:rsidRPr="00834440">
        <w:t xml:space="preserve">, category pair, and </w:t>
      </w:r>
      <w:r w:rsidR="00B905CC" w:rsidRPr="00834440">
        <w:t>indicat</w:t>
      </w:r>
      <w:r w:rsidR="001C1324" w:rsidRPr="00834440">
        <w:t>ing</w:t>
      </w:r>
      <w:r w:rsidR="00B905CC" w:rsidRPr="00834440">
        <w:t xml:space="preserve"> the power </w:t>
      </w:r>
      <w:r w:rsidR="001C1324" w:rsidRPr="00834440">
        <w:t>given the sample size</w:t>
      </w:r>
      <w:r w:rsidR="00B905CC" w:rsidRPr="00834440">
        <w:t xml:space="preserve">. The results (Fig. S5) are stable </w:t>
      </w:r>
      <w:r w:rsidR="002D0898" w:rsidRPr="00834440">
        <w:t xml:space="preserve">and indicate high power </w:t>
      </w:r>
      <w:r w:rsidR="00B905CC" w:rsidRPr="00834440">
        <w:t>from 10 participants onwards. This suggests that our sample size of 17 was more than adequate to address our question.</w:t>
      </w:r>
    </w:p>
    <w:p w14:paraId="384EFA94" w14:textId="675E48BE" w:rsidR="00A55E8A" w:rsidRPr="00834440" w:rsidRDefault="0070457B" w:rsidP="005C0DA1">
      <w:pPr>
        <w:rPr>
          <w:rFonts w:cs="Calibri"/>
        </w:rPr>
      </w:pPr>
      <w:r w:rsidRPr="00834440">
        <w:rPr>
          <w:rFonts w:ascii="Garamond" w:hAnsi="Garamond"/>
          <w:noProof/>
        </w:rPr>
        <w:lastRenderedPageBreak/>
        <w:drawing>
          <wp:inline distT="0" distB="0" distL="0" distR="0" wp14:anchorId="357FDEA5" wp14:editId="2998BBC4">
            <wp:extent cx="4326467" cy="3164030"/>
            <wp:effectExtent l="0" t="0" r="0" b="0"/>
            <wp:docPr id="32271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179" name="Picture 3227179"/>
                    <pic:cNvPicPr/>
                  </pic:nvPicPr>
                  <pic:blipFill rotWithShape="1">
                    <a:blip r:embed="rId11"/>
                    <a:srcRect l="5412" t="24711" r="2466" b="27682"/>
                    <a:stretch>
                      <a:fillRect/>
                    </a:stretch>
                  </pic:blipFill>
                  <pic:spPr bwMode="auto">
                    <a:xfrm>
                      <a:off x="0" y="0"/>
                      <a:ext cx="4326467" cy="3164030"/>
                    </a:xfrm>
                    <a:prstGeom prst="rect">
                      <a:avLst/>
                    </a:prstGeom>
                    <a:ln>
                      <a:noFill/>
                    </a:ln>
                    <a:extLst>
                      <a:ext uri="{53640926-AAD7-44D8-BBD7-CCE9431645EC}">
                        <a14:shadowObscured xmlns:a14="http://schemas.microsoft.com/office/drawing/2010/main"/>
                      </a:ext>
                    </a:extLst>
                  </pic:spPr>
                </pic:pic>
              </a:graphicData>
            </a:graphic>
          </wp:inline>
        </w:drawing>
      </w:r>
    </w:p>
    <w:p w14:paraId="7E9FBF06" w14:textId="517047A8" w:rsidR="009A50D2" w:rsidRPr="00834440" w:rsidRDefault="00392AEC" w:rsidP="005C0DA1">
      <w:pPr>
        <w:rPr>
          <w:rFonts w:ascii="Garamond" w:hAnsi="Garamond" w:cs="Calibri"/>
          <w:szCs w:val="24"/>
        </w:rPr>
      </w:pPr>
      <w:r w:rsidRPr="00834440">
        <w:rPr>
          <w:rFonts w:ascii="Garamond" w:hAnsi="Garamond" w:cs="Calibri"/>
          <w:szCs w:val="24"/>
        </w:rPr>
        <w:t xml:space="preserve">Supplementary Figure </w:t>
      </w:r>
      <w:r w:rsidR="0027205B" w:rsidRPr="00834440">
        <w:rPr>
          <w:rFonts w:ascii="Garamond" w:hAnsi="Garamond" w:cs="Calibri"/>
          <w:szCs w:val="24"/>
        </w:rPr>
        <w:t>5</w:t>
      </w:r>
      <w:r w:rsidRPr="00834440">
        <w:rPr>
          <w:rFonts w:ascii="Garamond" w:hAnsi="Garamond" w:cs="Calibri"/>
          <w:szCs w:val="24"/>
        </w:rPr>
        <w:t xml:space="preserve">. </w:t>
      </w:r>
      <w:r w:rsidR="00CA2878" w:rsidRPr="00834440">
        <w:rPr>
          <w:rFonts w:ascii="Garamond" w:hAnsi="Garamond" w:cs="Calibri"/>
          <w:szCs w:val="24"/>
        </w:rPr>
        <w:t>Proportion of significant paired t-tests</w:t>
      </w:r>
      <w:r w:rsidR="003B28B5" w:rsidRPr="00834440">
        <w:rPr>
          <w:rFonts w:ascii="Garamond" w:hAnsi="Garamond" w:cs="Calibri"/>
          <w:szCs w:val="24"/>
        </w:rPr>
        <w:t xml:space="preserve"> </w:t>
      </w:r>
      <w:r w:rsidR="001E74A9" w:rsidRPr="00834440">
        <w:rPr>
          <w:rFonts w:ascii="Garamond" w:hAnsi="Garamond" w:cs="Calibri"/>
          <w:szCs w:val="24"/>
        </w:rPr>
        <w:t xml:space="preserve">for </w:t>
      </w:r>
      <w:r w:rsidR="003B28B5" w:rsidRPr="00834440">
        <w:rPr>
          <w:rFonts w:ascii="Garamond" w:hAnsi="Garamond" w:cs="Calibri"/>
          <w:szCs w:val="24"/>
        </w:rPr>
        <w:t>decoding pairs of categories at the superordinate (top-row) or basic (middle row)</w:t>
      </w:r>
      <w:r w:rsidR="001E74A9" w:rsidRPr="00834440">
        <w:rPr>
          <w:rFonts w:ascii="Garamond" w:hAnsi="Garamond" w:cs="Calibri"/>
          <w:szCs w:val="24"/>
        </w:rPr>
        <w:t xml:space="preserve"> level</w:t>
      </w:r>
      <w:r w:rsidR="00CA2878" w:rsidRPr="00834440">
        <w:rPr>
          <w:rFonts w:ascii="Garamond" w:hAnsi="Garamond" w:cs="Calibri"/>
          <w:szCs w:val="24"/>
        </w:rPr>
        <w:t>.</w:t>
      </w:r>
      <w:r w:rsidR="003B28B5" w:rsidRPr="00834440">
        <w:rPr>
          <w:rFonts w:ascii="Garamond" w:hAnsi="Garamond" w:cs="Calibri"/>
          <w:szCs w:val="24"/>
        </w:rPr>
        <w:t xml:space="preserve"> The last row represents the effect of task (difference between superordinate and basic level decoding, top and middle rows). </w:t>
      </w:r>
    </w:p>
    <w:p w14:paraId="014C8339" w14:textId="77777777" w:rsidR="009A50D2" w:rsidRPr="00834440" w:rsidRDefault="009A50D2" w:rsidP="005C0DA1">
      <w:pPr>
        <w:rPr>
          <w:rFonts w:cs="Calibri"/>
        </w:rPr>
      </w:pPr>
    </w:p>
    <w:p w14:paraId="562549A4" w14:textId="3982917A" w:rsidR="00B939CF" w:rsidRPr="00834440" w:rsidRDefault="00B939CF" w:rsidP="00065397">
      <w:pPr>
        <w:pStyle w:val="Heading2"/>
      </w:pPr>
      <w:r w:rsidRPr="00834440">
        <w:t>ERP results</w:t>
      </w:r>
    </w:p>
    <w:p w14:paraId="083E0E5C" w14:textId="0DEDB435" w:rsidR="00AB56F1" w:rsidRPr="00834440" w:rsidRDefault="00AB56F1" w:rsidP="00B939CF">
      <w:r w:rsidRPr="00834440">
        <w:t xml:space="preserve">The </w:t>
      </w:r>
      <w:r w:rsidR="00090D8A" w:rsidRPr="00834440">
        <w:t xml:space="preserve">‘raw’ (not differential) </w:t>
      </w:r>
      <w:r w:rsidRPr="00834440">
        <w:t>EEG responses to</w:t>
      </w:r>
      <w:r w:rsidR="003B28B5" w:rsidRPr="00834440">
        <w:t xml:space="preserve"> each of the three categories of interest (bird, non-bird animal</w:t>
      </w:r>
      <w:r w:rsidR="00090D8A" w:rsidRPr="00834440">
        <w:t>,</w:t>
      </w:r>
      <w:r w:rsidR="003B28B5" w:rsidRPr="00834440">
        <w:t xml:space="preserve"> and vehicle) in the basic and superordinate categorisation tasks </w:t>
      </w:r>
      <w:r w:rsidRPr="00834440">
        <w:t xml:space="preserve">are represented in </w:t>
      </w:r>
      <w:r w:rsidR="003B28B5" w:rsidRPr="00834440">
        <w:t>Fig.</w:t>
      </w:r>
      <w:r w:rsidR="00090D8A" w:rsidRPr="00834440">
        <w:t xml:space="preserve"> </w:t>
      </w:r>
      <w:r w:rsidR="003B28B5" w:rsidRPr="00834440">
        <w:t>S</w:t>
      </w:r>
      <w:r w:rsidR="0027205B" w:rsidRPr="00834440">
        <w:t>6</w:t>
      </w:r>
      <w:r w:rsidR="003B28B5" w:rsidRPr="00834440">
        <w:t xml:space="preserve">. The results show </w:t>
      </w:r>
      <w:r w:rsidR="003B7A0A" w:rsidRPr="00834440">
        <w:t xml:space="preserve">similar, </w:t>
      </w:r>
      <w:r w:rsidR="003B28B5" w:rsidRPr="00834440">
        <w:t xml:space="preserve">high </w:t>
      </w:r>
      <w:r w:rsidR="003B7A0A" w:rsidRPr="00834440">
        <w:t xml:space="preserve">ERP </w:t>
      </w:r>
      <w:r w:rsidR="003B28B5" w:rsidRPr="00834440">
        <w:t xml:space="preserve">amplitudes in </w:t>
      </w:r>
      <w:r w:rsidR="003B7A0A" w:rsidRPr="00834440">
        <w:t>all</w:t>
      </w:r>
      <w:r w:rsidR="003B28B5" w:rsidRPr="00834440">
        <w:t xml:space="preserve"> conditions</w:t>
      </w:r>
      <w:r w:rsidR="003B7A0A" w:rsidRPr="00834440">
        <w:t xml:space="preserve"> E</w:t>
      </w:r>
      <w:r w:rsidR="003B28B5" w:rsidRPr="00834440">
        <w:t>arly</w:t>
      </w:r>
      <w:r w:rsidRPr="00834440">
        <w:t xml:space="preserve"> (from 100 </w:t>
      </w:r>
      <w:proofErr w:type="spellStart"/>
      <w:r w:rsidRPr="00834440">
        <w:t>ms</w:t>
      </w:r>
      <w:proofErr w:type="spellEnd"/>
      <w:r w:rsidRPr="00834440">
        <w:t>)</w:t>
      </w:r>
      <w:r w:rsidR="003B28B5" w:rsidRPr="00834440">
        <w:t xml:space="preserve"> bilateral response in occipital electrodes increas</w:t>
      </w:r>
      <w:r w:rsidR="00090D8A" w:rsidRPr="00834440">
        <w:t>e</w:t>
      </w:r>
      <w:r w:rsidR="003B28B5" w:rsidRPr="00834440">
        <w:t xml:space="preserve"> over time </w:t>
      </w:r>
      <w:r w:rsidRPr="00834440">
        <w:t xml:space="preserve">(200-250 </w:t>
      </w:r>
      <w:proofErr w:type="spellStart"/>
      <w:r w:rsidRPr="00834440">
        <w:t>ms</w:t>
      </w:r>
      <w:proofErr w:type="spellEnd"/>
      <w:r w:rsidRPr="00834440">
        <w:t>)</w:t>
      </w:r>
      <w:r w:rsidR="00090D8A" w:rsidRPr="00834440">
        <w:t>,</w:t>
      </w:r>
      <w:r w:rsidRPr="00834440">
        <w:t xml:space="preserve"> </w:t>
      </w:r>
      <w:r w:rsidR="003B28B5" w:rsidRPr="00834440">
        <w:t xml:space="preserve">accompanied </w:t>
      </w:r>
      <w:r w:rsidR="00090D8A" w:rsidRPr="00834440">
        <w:t xml:space="preserve">by </w:t>
      </w:r>
      <w:r w:rsidR="003B28B5" w:rsidRPr="00834440">
        <w:t xml:space="preserve">negative polarity in frontal electrodes. </w:t>
      </w:r>
      <w:r w:rsidR="00090D8A" w:rsidRPr="00834440">
        <w:t>A</w:t>
      </w:r>
      <w:r w:rsidRPr="00834440">
        <w:t xml:space="preserve">mplitudes </w:t>
      </w:r>
      <w:r w:rsidR="00090D8A" w:rsidRPr="00834440">
        <w:t xml:space="preserve">then </w:t>
      </w:r>
      <w:r w:rsidRPr="00834440">
        <w:t xml:space="preserve">decrease and become relatively weak and more centrally located </w:t>
      </w:r>
      <w:r w:rsidR="00090D8A" w:rsidRPr="00834440">
        <w:t xml:space="preserve">by </w:t>
      </w:r>
      <w:r w:rsidRPr="00834440">
        <w:t xml:space="preserve">450 </w:t>
      </w:r>
      <w:proofErr w:type="spellStart"/>
      <w:r w:rsidRPr="00834440">
        <w:t>ms</w:t>
      </w:r>
      <w:proofErr w:type="spellEnd"/>
      <w:r w:rsidRPr="00834440">
        <w:t xml:space="preserve">. </w:t>
      </w:r>
    </w:p>
    <w:p w14:paraId="3011F5BD" w14:textId="15B53CEE" w:rsidR="00AB56F1" w:rsidRPr="00834440" w:rsidRDefault="0041625D" w:rsidP="00B939CF">
      <w:r w:rsidRPr="00834440">
        <w:rPr>
          <w:noProof/>
        </w:rPr>
        <w:lastRenderedPageBreak/>
        <w:drawing>
          <wp:inline distT="0" distB="0" distL="0" distR="0" wp14:anchorId="64EF292F" wp14:editId="6EBC46B6">
            <wp:extent cx="5061608" cy="3801534"/>
            <wp:effectExtent l="0" t="0" r="0" b="0"/>
            <wp:docPr id="1899121440" name="Picture 4" descr="A group of colorful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21440" name="Picture 4" descr="A group of colorful circl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043" cy="3810873"/>
                    </a:xfrm>
                    <a:prstGeom prst="rect">
                      <a:avLst/>
                    </a:prstGeom>
                  </pic:spPr>
                </pic:pic>
              </a:graphicData>
            </a:graphic>
          </wp:inline>
        </w:drawing>
      </w:r>
    </w:p>
    <w:p w14:paraId="10792194" w14:textId="61F7E6EA" w:rsidR="00162B46" w:rsidRPr="00834440" w:rsidRDefault="00162B46" w:rsidP="00162B46">
      <w:pPr>
        <w:rPr>
          <w:rFonts w:ascii="Garamond" w:hAnsi="Garamond" w:cs="Calibri"/>
          <w:szCs w:val="24"/>
        </w:rPr>
      </w:pPr>
      <w:r w:rsidRPr="00834440">
        <w:rPr>
          <w:rFonts w:ascii="Garamond" w:hAnsi="Garamond" w:cs="Calibri"/>
          <w:szCs w:val="24"/>
        </w:rPr>
        <w:t xml:space="preserve">Supplementary Figure </w:t>
      </w:r>
      <w:r w:rsidR="0027205B" w:rsidRPr="00834440">
        <w:rPr>
          <w:rFonts w:ascii="Garamond" w:hAnsi="Garamond" w:cs="Calibri"/>
          <w:szCs w:val="24"/>
        </w:rPr>
        <w:t>6</w:t>
      </w:r>
      <w:r w:rsidRPr="00834440">
        <w:rPr>
          <w:rFonts w:ascii="Garamond" w:hAnsi="Garamond" w:cs="Calibri"/>
          <w:szCs w:val="24"/>
        </w:rPr>
        <w:t xml:space="preserve">. ERP amplitude </w:t>
      </w:r>
      <w:r w:rsidR="00D71B85" w:rsidRPr="00834440">
        <w:rPr>
          <w:rFonts w:ascii="Garamond" w:hAnsi="Garamond" w:cs="Calibri"/>
          <w:szCs w:val="24"/>
        </w:rPr>
        <w:t xml:space="preserve">(in </w:t>
      </w:r>
      <w:r w:rsidR="00D71B85" w:rsidRPr="00834440">
        <w:rPr>
          <w:rFonts w:ascii="Garamond" w:hAnsi="Garamond"/>
        </w:rPr>
        <w:t>µV</w:t>
      </w:r>
      <w:r w:rsidR="00D71B85" w:rsidRPr="00834440">
        <w:rPr>
          <w:rFonts w:ascii="Garamond" w:hAnsi="Garamond" w:cs="Calibri"/>
          <w:szCs w:val="24"/>
        </w:rPr>
        <w:t xml:space="preserve">) </w:t>
      </w:r>
      <w:r w:rsidRPr="00834440">
        <w:rPr>
          <w:rFonts w:ascii="Garamond" w:hAnsi="Garamond" w:cs="Calibri"/>
          <w:szCs w:val="24"/>
        </w:rPr>
        <w:t xml:space="preserve">for each of the three categories of interest (bird, non-bird animal and vehicle) in the basic and superordinate categorisation tasks. </w:t>
      </w:r>
    </w:p>
    <w:p w14:paraId="555699F0" w14:textId="688AC763" w:rsidR="009A50D2" w:rsidRPr="00834440" w:rsidRDefault="00AB56F1" w:rsidP="00162B46">
      <w:r w:rsidRPr="00834440">
        <w:t xml:space="preserve">In the main </w:t>
      </w:r>
      <w:r w:rsidR="009D6616" w:rsidRPr="00834440">
        <w:t xml:space="preserve">text </w:t>
      </w:r>
      <w:r w:rsidRPr="00834440">
        <w:t>we report differential ERP waveform</w:t>
      </w:r>
      <w:r w:rsidR="009D6616" w:rsidRPr="00834440">
        <w:t>s</w:t>
      </w:r>
      <w:r w:rsidRPr="00834440">
        <w:t xml:space="preserve"> between pairs of categories pooled over </w:t>
      </w:r>
      <w:r w:rsidR="009D6616" w:rsidRPr="00834440">
        <w:t>specific</w:t>
      </w:r>
      <w:r w:rsidRPr="00834440">
        <w:t xml:space="preserve"> electrodes </w:t>
      </w:r>
      <w:r w:rsidR="009D6616" w:rsidRPr="00834440">
        <w:t xml:space="preserve">at </w:t>
      </w:r>
      <w:r w:rsidRPr="00834440">
        <w:t xml:space="preserve">occipital, central and frontal </w:t>
      </w:r>
      <w:r w:rsidR="009D6616" w:rsidRPr="00834440">
        <w:t>locations</w:t>
      </w:r>
      <w:r w:rsidRPr="00834440">
        <w:t xml:space="preserve">, between -50 </w:t>
      </w:r>
      <w:proofErr w:type="spellStart"/>
      <w:r w:rsidRPr="00834440">
        <w:t>ms</w:t>
      </w:r>
      <w:proofErr w:type="spellEnd"/>
      <w:r w:rsidRPr="00834440">
        <w:t xml:space="preserve"> to 250 </w:t>
      </w:r>
      <w:proofErr w:type="spellStart"/>
      <w:r w:rsidRPr="00834440">
        <w:t>ms</w:t>
      </w:r>
      <w:proofErr w:type="spellEnd"/>
      <w:r w:rsidRPr="00834440">
        <w:t xml:space="preserve">. These figures follow the same parameters as in previous reports </w:t>
      </w:r>
      <w:r w:rsidR="00D23940" w:rsidRPr="00834440">
        <w:fldChar w:fldCharType="begin"/>
      </w:r>
      <w:r w:rsidR="00BB4AEA">
        <w:instrText xml:space="preserve"> ADDIN ZOTERO_ITEM CSL_CITATION {"citationID":"SJg75ms5","properties":{"formattedCitation":"(VanRullen and Thorpe 2001)","plainCitation":"(VanRullen and Thorpe 2001)","noteIndex":0},"citationItems":[{"id":1355,"uris":["http://zotero.org/users/1515460/items/C577TQ38"],"itemData":{"id":1355,"type":"article-journal","abstract":"Experiments investigating the mechanisms involved in visual processing often fail to separate low-level encoding mechanisms from higher-level behaviorally relevant ones. Using an alternating dual-task event-related potential (ERP) experimental paradigm (animals or vehicles categorization) where targets of one task are intermixed among distractors of the other, we show that visual categorization of a natural scene involves different mechanisms with different time courses: a perceptual, task-independent mechanism, followed by a task-related, category-independent process. Although average ERP responses reflect the visual category of the stimulus shortly after visual processing has begun (e.g. 75-80 msec), this difference is not correlated with the subject's behavior until 150 msec poststimulus.","container-title":"Journal of cognitive neuroscience","ISSN":"0898-929X","issue":"4","journalAbbreviation":"J Cogn Neurosci","language":"eng","note":"PMID: 11388919","page":"454-461","source":"NCBI PubMed","title":"The time course of visual processing: from early perception to decision-making","title-short":"The time course of visual processing","volume":"13","author":[{"family":"VanRullen","given":"Rufin"},{"family":"Thorpe","given":"Simon J"}],"issued":{"date-parts":[["2001",5,15]]}}}],"schema":"https://github.com/citation-style-language/schema/raw/master/csl-citation.json"} </w:instrText>
      </w:r>
      <w:r w:rsidR="00D23940" w:rsidRPr="00834440">
        <w:fldChar w:fldCharType="separate"/>
      </w:r>
      <w:r w:rsidR="00BB4AEA">
        <w:rPr>
          <w:rFonts w:cs="Calibri"/>
        </w:rPr>
        <w:t>(</w:t>
      </w:r>
      <w:proofErr w:type="spellStart"/>
      <w:r w:rsidR="00BB4AEA">
        <w:rPr>
          <w:rFonts w:cs="Calibri"/>
        </w:rPr>
        <w:t>VanRullen</w:t>
      </w:r>
      <w:proofErr w:type="spellEnd"/>
      <w:r w:rsidR="00BB4AEA">
        <w:rPr>
          <w:rFonts w:cs="Calibri"/>
        </w:rPr>
        <w:t xml:space="preserve"> and Thorpe 2001)</w:t>
      </w:r>
      <w:r w:rsidR="00D23940" w:rsidRPr="00834440">
        <w:fldChar w:fldCharType="end"/>
      </w:r>
      <w:r w:rsidRPr="00834440">
        <w:t xml:space="preserve"> to facilitate comparison. In Fig.</w:t>
      </w:r>
      <w:r w:rsidR="009D6616" w:rsidRPr="00834440">
        <w:t xml:space="preserve"> </w:t>
      </w:r>
      <w:r w:rsidRPr="00834440">
        <w:t>S</w:t>
      </w:r>
      <w:r w:rsidR="0027205B" w:rsidRPr="00834440">
        <w:t>7</w:t>
      </w:r>
      <w:r w:rsidRPr="00834440">
        <w:t xml:space="preserve"> we report the same differential ERP responses for each </w:t>
      </w:r>
      <w:r w:rsidR="009D6616" w:rsidRPr="00834440">
        <w:t xml:space="preserve">individual </w:t>
      </w:r>
      <w:r w:rsidRPr="00834440">
        <w:t xml:space="preserve">electrode over the </w:t>
      </w:r>
      <w:proofErr w:type="gramStart"/>
      <w:r w:rsidR="009D6616" w:rsidRPr="00834440">
        <w:t xml:space="preserve">full </w:t>
      </w:r>
      <w:r w:rsidRPr="00834440">
        <w:t>time</w:t>
      </w:r>
      <w:proofErr w:type="gramEnd"/>
      <w:r w:rsidRPr="00834440">
        <w:t xml:space="preserve"> window. The topographies of the same results can be found in section 2.4 of the Supplementary results.</w:t>
      </w:r>
    </w:p>
    <w:p w14:paraId="4E8C2B98" w14:textId="5211B126" w:rsidR="00AB56F1" w:rsidRPr="00834440" w:rsidRDefault="002E077B" w:rsidP="00162B46">
      <w:bookmarkStart w:id="2" w:name="_Hlk200290585"/>
      <w:r w:rsidRPr="00834440">
        <w:rPr>
          <w:noProof/>
        </w:rPr>
        <w:drawing>
          <wp:inline distT="0" distB="0" distL="0" distR="0" wp14:anchorId="0BC5EE87" wp14:editId="59BB4F94">
            <wp:extent cx="5731510" cy="2184400"/>
            <wp:effectExtent l="0" t="0" r="0" b="0"/>
            <wp:docPr id="1938316828"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316828" name="Picture 2" descr="A screenshot of a computer screen&#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184400"/>
                    </a:xfrm>
                    <a:prstGeom prst="rect">
                      <a:avLst/>
                    </a:prstGeom>
                  </pic:spPr>
                </pic:pic>
              </a:graphicData>
            </a:graphic>
          </wp:inline>
        </w:drawing>
      </w:r>
    </w:p>
    <w:p w14:paraId="312666C8" w14:textId="303D4FDB" w:rsidR="008773A8" w:rsidRPr="00834440" w:rsidRDefault="00162B46" w:rsidP="005C0DA1">
      <w:pPr>
        <w:rPr>
          <w:rFonts w:ascii="Garamond" w:hAnsi="Garamond" w:cs="Calibri"/>
          <w:szCs w:val="24"/>
        </w:rPr>
      </w:pPr>
      <w:r w:rsidRPr="00834440">
        <w:rPr>
          <w:rFonts w:ascii="Garamond" w:hAnsi="Garamond" w:cs="Calibri"/>
          <w:szCs w:val="24"/>
        </w:rPr>
        <w:t xml:space="preserve">Supplementary Figure </w:t>
      </w:r>
      <w:r w:rsidR="0027205B" w:rsidRPr="00834440">
        <w:rPr>
          <w:rFonts w:ascii="Garamond" w:hAnsi="Garamond" w:cs="Calibri"/>
          <w:szCs w:val="24"/>
        </w:rPr>
        <w:t>7</w:t>
      </w:r>
      <w:r w:rsidRPr="00834440">
        <w:rPr>
          <w:rFonts w:ascii="Garamond" w:hAnsi="Garamond" w:cs="Calibri"/>
          <w:szCs w:val="24"/>
        </w:rPr>
        <w:t>. Differential ERP amplitude</w:t>
      </w:r>
      <w:r w:rsidR="00F115E8" w:rsidRPr="00834440">
        <w:rPr>
          <w:rFonts w:ascii="Garamond" w:hAnsi="Garamond" w:cs="Calibri"/>
          <w:szCs w:val="24"/>
        </w:rPr>
        <w:t xml:space="preserve"> (in µV)</w:t>
      </w:r>
      <w:r w:rsidRPr="00834440">
        <w:rPr>
          <w:rFonts w:ascii="Garamond" w:hAnsi="Garamond" w:cs="Calibri"/>
          <w:szCs w:val="24"/>
        </w:rPr>
        <w:t xml:space="preserve"> between pairs of categories</w:t>
      </w:r>
      <w:r w:rsidR="00AB56F1" w:rsidRPr="00834440">
        <w:rPr>
          <w:rFonts w:ascii="Garamond" w:hAnsi="Garamond" w:cs="Calibri"/>
          <w:szCs w:val="24"/>
        </w:rPr>
        <w:t xml:space="preserve"> in the superordinate (top row) and the basic (bottom row) categorisation task. Each line represents the </w:t>
      </w:r>
      <w:r w:rsidR="00FE1B8B" w:rsidRPr="00834440">
        <w:rPr>
          <w:rFonts w:ascii="Garamond" w:hAnsi="Garamond" w:cs="Calibri"/>
          <w:szCs w:val="24"/>
        </w:rPr>
        <w:t xml:space="preserve">differential </w:t>
      </w:r>
      <w:r w:rsidR="00AB56F1" w:rsidRPr="00834440">
        <w:rPr>
          <w:rFonts w:ascii="Garamond" w:hAnsi="Garamond" w:cs="Calibri"/>
          <w:szCs w:val="24"/>
        </w:rPr>
        <w:t>ERP amplitude of one electrode located in the left (L) or right (R) hemisphere.</w:t>
      </w:r>
      <w:bookmarkEnd w:id="2"/>
    </w:p>
    <w:p w14:paraId="376D0F08" w14:textId="77777777" w:rsidR="003B7A0A" w:rsidRPr="00834440" w:rsidRDefault="003B7A0A" w:rsidP="005C0DA1">
      <w:pPr>
        <w:rPr>
          <w:rFonts w:ascii="Garamond" w:hAnsi="Garamond" w:cs="Calibri"/>
          <w:szCs w:val="24"/>
        </w:rPr>
      </w:pPr>
    </w:p>
    <w:p w14:paraId="5BCC7263" w14:textId="701D924D" w:rsidR="00B939CF" w:rsidRPr="00834440" w:rsidRDefault="00B939CF" w:rsidP="00065397">
      <w:pPr>
        <w:pStyle w:val="Heading2"/>
      </w:pPr>
      <w:r w:rsidRPr="00834440">
        <w:lastRenderedPageBreak/>
        <w:t>MVPA analyses</w:t>
      </w:r>
      <w:r w:rsidR="004C4626" w:rsidRPr="00834440">
        <w:t xml:space="preserve"> based on correct trials</w:t>
      </w:r>
    </w:p>
    <w:p w14:paraId="2A2AD0AE" w14:textId="083D1155" w:rsidR="00FE1B8B" w:rsidRPr="00834440" w:rsidRDefault="00807620" w:rsidP="008773A8">
      <w:r w:rsidRPr="00834440">
        <w:t xml:space="preserve">We </w:t>
      </w:r>
      <w:r w:rsidR="008773A8" w:rsidRPr="00834440">
        <w:t>reran the decoding analysis using only correct trials. Decoding performance is</w:t>
      </w:r>
      <w:r w:rsidR="00B0456C" w:rsidRPr="00834440">
        <w:t xml:space="preserve"> highly</w:t>
      </w:r>
      <w:r w:rsidR="008773A8" w:rsidRPr="00834440">
        <w:t xml:space="preserve"> similar as when all trials were included</w:t>
      </w:r>
      <w:r w:rsidR="00003F98" w:rsidRPr="00834440">
        <w:t xml:space="preserve"> (Fig.</w:t>
      </w:r>
      <w:r w:rsidR="00D71B85" w:rsidRPr="00834440">
        <w:t xml:space="preserve"> </w:t>
      </w:r>
      <w:r w:rsidR="00003F98" w:rsidRPr="00834440">
        <w:t>S</w:t>
      </w:r>
      <w:r w:rsidR="0027205B" w:rsidRPr="00834440">
        <w:t>8</w:t>
      </w:r>
      <w:r w:rsidR="00003F98" w:rsidRPr="00834440">
        <w:t>)</w:t>
      </w:r>
      <w:r w:rsidR="00B0456C" w:rsidRPr="00834440">
        <w:t>. However,</w:t>
      </w:r>
      <w:r w:rsidR="008773A8" w:rsidRPr="00834440">
        <w:t xml:space="preserve"> significant differences arise at slightly later timepoints especially </w:t>
      </w:r>
      <w:r w:rsidR="00D71B85" w:rsidRPr="00834440">
        <w:t xml:space="preserve">while </w:t>
      </w:r>
      <w:r w:rsidR="008773A8" w:rsidRPr="00834440">
        <w:t xml:space="preserve">discriminating bird and non-bird animal categories. The precise significant decoding onsets depend on the statistical analyses used to control for multiple comparisons. Here the significant onsets for correct-trials are later than for all-trials when </w:t>
      </w:r>
      <w:r w:rsidR="00D71B85" w:rsidRPr="00834440">
        <w:t xml:space="preserve">cluster-based </w:t>
      </w:r>
      <w:r w:rsidR="008773A8" w:rsidRPr="00834440">
        <w:t xml:space="preserve">permutation tests are used, but earlier </w:t>
      </w:r>
      <w:r w:rsidRPr="00834440">
        <w:t xml:space="preserve">than </w:t>
      </w:r>
      <w:r w:rsidR="008773A8" w:rsidRPr="00834440">
        <w:t xml:space="preserve">when p&lt;.005 for at least 15 </w:t>
      </w:r>
      <w:r w:rsidR="00D71B85" w:rsidRPr="00834440">
        <w:t xml:space="preserve">consecutive </w:t>
      </w:r>
      <w:proofErr w:type="spellStart"/>
      <w:r w:rsidR="008773A8" w:rsidRPr="00834440">
        <w:t>ms</w:t>
      </w:r>
      <w:proofErr w:type="spellEnd"/>
      <w:r w:rsidR="008773A8" w:rsidRPr="00834440">
        <w:t xml:space="preserve"> was used as a criterion. </w:t>
      </w:r>
    </w:p>
    <w:p w14:paraId="3F9DA7D1" w14:textId="0DA8C784" w:rsidR="008773A8" w:rsidRPr="00834440" w:rsidRDefault="005758EA" w:rsidP="005C0DA1">
      <w:pPr>
        <w:rPr>
          <w:rFonts w:cs="Calibri"/>
        </w:rPr>
      </w:pPr>
      <w:r w:rsidRPr="00834440">
        <w:rPr>
          <w:rFonts w:cs="Calibri"/>
          <w:noProof/>
        </w:rPr>
        <w:drawing>
          <wp:inline distT="0" distB="0" distL="0" distR="0" wp14:anchorId="1EFAC84E" wp14:editId="0FC6D3E2">
            <wp:extent cx="5731510" cy="1611630"/>
            <wp:effectExtent l="0" t="0" r="0" b="0"/>
            <wp:docPr id="71905860" name="Picture 5" descr="A graph of a bird and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5860" name="Picture 5" descr="A graph of a bird and a bird&#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611630"/>
                    </a:xfrm>
                    <a:prstGeom prst="rect">
                      <a:avLst/>
                    </a:prstGeom>
                  </pic:spPr>
                </pic:pic>
              </a:graphicData>
            </a:graphic>
          </wp:inline>
        </w:drawing>
      </w:r>
    </w:p>
    <w:p w14:paraId="6433DD06" w14:textId="03A8D3C2" w:rsidR="00FA06BA" w:rsidRPr="00834440" w:rsidRDefault="00D27BF9" w:rsidP="001E3FD5">
      <w:pPr>
        <w:rPr>
          <w:rFonts w:ascii="Garamond" w:hAnsi="Garamond"/>
        </w:rPr>
      </w:pPr>
      <w:r w:rsidRPr="00834440">
        <w:rPr>
          <w:rFonts w:ascii="Garamond" w:hAnsi="Garamond" w:cs="Calibri"/>
          <w:szCs w:val="24"/>
        </w:rPr>
        <w:t xml:space="preserve">Supplementary Figure </w:t>
      </w:r>
      <w:r w:rsidR="0027205B" w:rsidRPr="00834440">
        <w:rPr>
          <w:rFonts w:ascii="Garamond" w:hAnsi="Garamond" w:cs="Calibri"/>
          <w:szCs w:val="24"/>
        </w:rPr>
        <w:t>8</w:t>
      </w:r>
      <w:r w:rsidRPr="00834440">
        <w:rPr>
          <w:rFonts w:ascii="Garamond" w:hAnsi="Garamond" w:cs="Calibri"/>
          <w:szCs w:val="24"/>
        </w:rPr>
        <w:t xml:space="preserve">. </w:t>
      </w:r>
      <w:r w:rsidR="003C3D47" w:rsidRPr="00834440">
        <w:rPr>
          <w:rFonts w:ascii="Garamond" w:hAnsi="Garamond"/>
        </w:rPr>
        <w:t xml:space="preserve">Decoding analysis </w:t>
      </w:r>
      <w:r w:rsidR="004A35CF" w:rsidRPr="00834440">
        <w:rPr>
          <w:rFonts w:ascii="Garamond" w:hAnsi="Garamond"/>
        </w:rPr>
        <w:t xml:space="preserve">as in Fig. </w:t>
      </w:r>
      <w:r w:rsidR="00C5712F" w:rsidRPr="00834440">
        <w:rPr>
          <w:rFonts w:ascii="Garamond" w:hAnsi="Garamond"/>
        </w:rPr>
        <w:t>3</w:t>
      </w:r>
      <w:r w:rsidR="004A35CF" w:rsidRPr="00834440">
        <w:rPr>
          <w:rFonts w:ascii="Garamond" w:hAnsi="Garamond"/>
        </w:rPr>
        <w:t xml:space="preserve"> </w:t>
      </w:r>
      <w:r w:rsidR="003C3D47" w:rsidRPr="00834440">
        <w:rPr>
          <w:rFonts w:ascii="Garamond" w:hAnsi="Garamond"/>
        </w:rPr>
        <w:t>based only on correct trials</w:t>
      </w:r>
      <w:r w:rsidRPr="00834440">
        <w:rPr>
          <w:rFonts w:ascii="Garamond" w:hAnsi="Garamond"/>
        </w:rPr>
        <w:t xml:space="preserve">. </w:t>
      </w:r>
    </w:p>
    <w:p w14:paraId="2D7E8FCB" w14:textId="77777777" w:rsidR="009A50D2" w:rsidRPr="00834440" w:rsidRDefault="009A50D2" w:rsidP="001E3FD5">
      <w:pPr>
        <w:rPr>
          <w:rFonts w:ascii="Garamond" w:hAnsi="Garamond" w:cs="Calibri"/>
          <w:szCs w:val="24"/>
        </w:rPr>
      </w:pPr>
    </w:p>
    <w:p w14:paraId="10484FAB" w14:textId="29440CBB" w:rsidR="00162B46" w:rsidRPr="00834440" w:rsidRDefault="00162B46" w:rsidP="00162B46">
      <w:pPr>
        <w:pStyle w:val="Heading2"/>
      </w:pPr>
      <w:r w:rsidRPr="00834440">
        <w:t>Topographies and source localisation</w:t>
      </w:r>
      <w:r w:rsidR="00DD613D" w:rsidRPr="00834440">
        <w:t xml:space="preserve"> using differential ERPs</w:t>
      </w:r>
    </w:p>
    <w:p w14:paraId="4743CD2E" w14:textId="6101708E" w:rsidR="00162B46" w:rsidRPr="00834440" w:rsidRDefault="00162B46" w:rsidP="00162B46">
      <w:r w:rsidRPr="00834440">
        <w:t xml:space="preserve">To determine the electrodes involved in discriminating pairs of categories, we used a functional source localisation method based on EEG templates </w:t>
      </w:r>
      <w:r w:rsidR="00DD613D" w:rsidRPr="00834440">
        <w:fldChar w:fldCharType="begin"/>
      </w:r>
      <w:r w:rsidR="00BB4AEA">
        <w:instrText xml:space="preserve"> ADDIN ZOTERO_ITEM CSL_CITATION {"citationID":"pEBusvxI","properties":{"formattedCitation":"(Poncet and Ales 2023)","plainCitation":"(Poncet and Ales 2023)","noteIndex":0},"citationItems":[{"id":9999,"uris":["http://zotero.org/users/1515460/items/J4RHVT5Z"],"itemData":{"id":9999,"type":"article-journal","abstract":"Electroencephalography (EEG) is a common and inexpensive method to record neural activity in humans. However, it lacks spatial resolution making it difficult to determine which areas of the brain are responsible for the observed EEG response. Here we present a new easy-to-use method that relies on EEG topographical templates. Using MRI and fMRI scans of 50 participants, we simulated how the activity in each visual area appears on the scalp and averaged this signal to produce functionally defined EEG templates. Once created, these templates can be used to estimate how much each visual area contributes to the observed EEG activity. We tested this method on extensive simulations and on real data. The proposed procedure is as good as bespoke individual source localization methods, robust to a wide range of factors, and has several strengths. First, because it does not rely on individual brain scans, it is inexpensive and can be used on any EEG data set, past or present. Second, the results are readily interpretable in terms of functional brain regions and can be compared across neuroimaging techniques. Finally, this method is easy to understand, simple to use and expandable to other brain sources.","container-title":"Human Brain Mapping","DOI":"10.1002/hbm.26188","ISSN":"1065-9471, 1097-0193","journalAbbreviation":"Human Brain Mapping","language":"en","page":"hbm.26188","source":"DOI.org (Crossref)","title":"Estimating neural activity from visual areas using functionally defined EEG templates","author":[{"family":"Poncet","given":"Marlene"},{"family":"Ales","given":"Justin M."}],"issued":{"date-parts":[["2023",1,18]]}}}],"schema":"https://github.com/citation-style-language/schema/raw/master/csl-citation.json"} </w:instrText>
      </w:r>
      <w:r w:rsidR="00DD613D" w:rsidRPr="00834440">
        <w:fldChar w:fldCharType="separate"/>
      </w:r>
      <w:r w:rsidR="00BB4AEA">
        <w:rPr>
          <w:rFonts w:cs="Calibri"/>
        </w:rPr>
        <w:t>(Poncet and Ales 2023)</w:t>
      </w:r>
      <w:r w:rsidR="00DD613D" w:rsidRPr="00834440">
        <w:fldChar w:fldCharType="end"/>
      </w:r>
      <w:r w:rsidRPr="00834440">
        <w:t xml:space="preserve">. In the main </w:t>
      </w:r>
      <w:r w:rsidR="00D71B85" w:rsidRPr="00834440">
        <w:t>text</w:t>
      </w:r>
      <w:r w:rsidRPr="00834440">
        <w:t>, we appl</w:t>
      </w:r>
      <w:r w:rsidR="00D71B85" w:rsidRPr="00834440">
        <w:t>ied</w:t>
      </w:r>
      <w:r w:rsidRPr="00834440">
        <w:t xml:space="preserve"> this method </w:t>
      </w:r>
      <w:r w:rsidR="00DD613D" w:rsidRPr="00834440">
        <w:t>to</w:t>
      </w:r>
      <w:r w:rsidRPr="00834440">
        <w:t xml:space="preserve"> the LDA classifier’s weights. Because we used an LDA classifier, the topographies of the classifier’s weights and therefore the source localisation results, should be equivalent to the differential ERP response for each of the six pairs of conditions </w:t>
      </w:r>
      <w:r w:rsidR="00DD613D" w:rsidRPr="00834440">
        <w:fldChar w:fldCharType="begin"/>
      </w:r>
      <w:r w:rsidR="00BB4AEA">
        <w:instrText xml:space="preserve"> ADDIN ZOTERO_ITEM CSL_CITATION {"citationID":"FUKKZbZV","properties":{"formattedCitation":"(Haufe et al. 2014)","plainCitation":"(Haufe et al. 2014)","noteIndex":0},"citationItems":[{"id":9807,"uris":["http://zotero.org/users/1515460/items/ERHKRZCQ"],"itemData":{"id":9807,"type":"article-journal","abstract":"The increase in spatiotemporal resolution of neuroimaging devices is accompanied by a trend towards more powerful multivariate analysis methods. Often it is desired to interpret the outcome of these methods with respect to the cognitive processes under study. Here we discuss which methods allow for such interpretations, and provide guidelines for choosing an appropriate analysis for a given experimental goal: For a surgeon who needs to decide where to remove brain tissue it is most important to determine the origin of cognitive functions and associated neural processes. In contrast, when communicating with paralyzed or comatose patients via brain-computer interfaces, it is most important to accurately extract the neural processes specific to a certain mental state. These equally important but complementary objectives require different analysis methods. Determining the origin of neural processes in time or space from the parameters of a data-driven model requires what we call a forward model of the data; such a model explains how the measured data was generated from the neural sources. Examples are general linear models (GLMs). Methods for the extraction of neural information from data can be considered as backward models, as they attempt to reverse the data generating process. Examples are multivariate classifiers. Here we demonstrate that the parameters of forward models are neurophysiologically interpretable in the sense that significant nonzero weights are only observed at channels the activity of which is related to the brain process under study. In contrast, the interpretation of backward model parameters can lead to wrong conclusions regarding the spatial or temporal origin of the neural signals of interest, since significant nonzero weights may also be observed at channels the activity of which is statistically independent of the brain process under study. As a remedy for the linear case, we propose a procedure for transforming backward models into forward models. This procedure enables the neurophysiological interpretation of the parameters of linear backward models. We hope that this work raises awareness for an often encountered problem and provides a theoretical basis for conducting better interpretable multivariate neuroimaging analyses.","container-title":"NeuroImage","DOI":"10.1016/j.neuroimage.2013.10.067","ISSN":"1095-9572","journalAbbreviation":"Neuroimage","language":"eng","note":"PMID: 24239590","page":"96-110","source":"PubMed","title":"On the interpretation of weight vectors of linear models in multivariate neuroimaging","volume":"87","author":[{"family":"Haufe","given":"Stefan"},{"family":"Meinecke","given":"Frank"},{"family":"Görgen","given":"Kai"},{"family":"Dähne","given":"Sven"},{"family":"Haynes","given":"John-Dylan"},{"family":"Blankertz","given":"Benjamin"},{"family":"Bießmann","given":"Felix"}],"issued":{"date-parts":[["2014",2,15]]}}}],"schema":"https://github.com/citation-style-language/schema/raw/master/csl-citation.json"} </w:instrText>
      </w:r>
      <w:r w:rsidR="00DD613D" w:rsidRPr="00834440">
        <w:fldChar w:fldCharType="separate"/>
      </w:r>
      <w:r w:rsidR="00BB4AEA">
        <w:rPr>
          <w:rFonts w:cs="Calibri"/>
        </w:rPr>
        <w:t>(Haufe et al. 2014)</w:t>
      </w:r>
      <w:r w:rsidR="00DD613D" w:rsidRPr="00834440">
        <w:fldChar w:fldCharType="end"/>
      </w:r>
      <w:r w:rsidRPr="00834440">
        <w:t xml:space="preserve">. </w:t>
      </w:r>
      <w:r w:rsidR="00DD613D" w:rsidRPr="00834440">
        <w:t xml:space="preserve">To </w:t>
      </w:r>
      <w:r w:rsidRPr="00834440">
        <w:t>confirm this</w:t>
      </w:r>
      <w:r w:rsidR="00DD613D" w:rsidRPr="00834440">
        <w:t xml:space="preserve">, we </w:t>
      </w:r>
      <w:r w:rsidR="00D71B85" w:rsidRPr="00834440">
        <w:t xml:space="preserve">present below </w:t>
      </w:r>
      <w:r w:rsidR="00DD613D" w:rsidRPr="00834440">
        <w:t>the topographies</w:t>
      </w:r>
      <w:r w:rsidR="00D71B85" w:rsidRPr="00834440">
        <w:t xml:space="preserve"> (Fig. S9</w:t>
      </w:r>
      <w:r w:rsidR="001B6CEF" w:rsidRPr="00834440">
        <w:t>A</w:t>
      </w:r>
      <w:r w:rsidR="00D71B85" w:rsidRPr="00834440">
        <w:t>)</w:t>
      </w:r>
      <w:r w:rsidR="00DD613D" w:rsidRPr="00834440">
        <w:t xml:space="preserve"> of the differential ERPs between pairs of categories and appl</w:t>
      </w:r>
      <w:r w:rsidR="00D71B85" w:rsidRPr="00834440">
        <w:t>y</w:t>
      </w:r>
      <w:r w:rsidR="00DD613D" w:rsidRPr="00834440">
        <w:t xml:space="preserve"> the functional source localisation method </w:t>
      </w:r>
      <w:r w:rsidR="00D71B85" w:rsidRPr="00834440">
        <w:t xml:space="preserve">to </w:t>
      </w:r>
      <w:r w:rsidR="00DD613D" w:rsidRPr="00834440">
        <w:t xml:space="preserve">these differential ERPs. As expected, the topographies are </w:t>
      </w:r>
      <w:proofErr w:type="gramStart"/>
      <w:r w:rsidR="00DD613D" w:rsidRPr="00834440">
        <w:t>similar to</w:t>
      </w:r>
      <w:proofErr w:type="gramEnd"/>
      <w:r w:rsidR="00DD613D" w:rsidRPr="00834440">
        <w:t xml:space="preserve"> the topographies of the classifier’s weights and the retrieved functional sources (Fig.</w:t>
      </w:r>
      <w:r w:rsidR="00D71B85" w:rsidRPr="00834440">
        <w:t xml:space="preserve"> </w:t>
      </w:r>
      <w:r w:rsidR="00DD613D" w:rsidRPr="00834440">
        <w:t>S</w:t>
      </w:r>
      <w:r w:rsidR="001B6CEF" w:rsidRPr="00834440">
        <w:t>9B</w:t>
      </w:r>
      <w:r w:rsidR="00DD613D" w:rsidRPr="00834440">
        <w:t xml:space="preserve">) are also </w:t>
      </w:r>
      <w:r w:rsidRPr="00834440">
        <w:t xml:space="preserve">mostly identical </w:t>
      </w:r>
      <w:r w:rsidR="00DD613D" w:rsidRPr="00834440">
        <w:t xml:space="preserve">to the ones reported in the manuscript </w:t>
      </w:r>
      <w:r w:rsidRPr="00834440">
        <w:t>with some very minor differences possibly due to sampling differences when running the decoding analysis</w:t>
      </w:r>
      <w:r w:rsidR="00DD613D" w:rsidRPr="00834440">
        <w:t>.</w:t>
      </w:r>
    </w:p>
    <w:p w14:paraId="2E5A9428" w14:textId="433FB277" w:rsidR="009A50D2" w:rsidRPr="00834440" w:rsidRDefault="009A50D2">
      <w:pPr>
        <w:rPr>
          <w:rFonts w:ascii="Garamond" w:hAnsi="Garamond" w:cs="Calibri"/>
          <w:szCs w:val="24"/>
        </w:rPr>
      </w:pPr>
    </w:p>
    <w:p w14:paraId="6A971A83" w14:textId="50CFA263" w:rsidR="009A50D2" w:rsidRPr="00834440" w:rsidRDefault="009A50D2">
      <w:pPr>
        <w:rPr>
          <w:rFonts w:ascii="Garamond" w:hAnsi="Garamond" w:cs="Calibri"/>
          <w:szCs w:val="24"/>
        </w:rPr>
      </w:pPr>
      <w:r w:rsidRPr="00834440">
        <w:rPr>
          <w:noProof/>
        </w:rPr>
        <w:lastRenderedPageBreak/>
        <w:drawing>
          <wp:anchor distT="0" distB="0" distL="114300" distR="114300" simplePos="0" relativeHeight="251658752" behindDoc="0" locked="0" layoutInCell="1" allowOverlap="1" wp14:anchorId="68472F5F" wp14:editId="4C3029B1">
            <wp:simplePos x="0" y="0"/>
            <wp:positionH relativeFrom="column">
              <wp:posOffset>0</wp:posOffset>
            </wp:positionH>
            <wp:positionV relativeFrom="paragraph">
              <wp:posOffset>92710</wp:posOffset>
            </wp:positionV>
            <wp:extent cx="4933950" cy="8810625"/>
            <wp:effectExtent l="0" t="0" r="0" b="0"/>
            <wp:wrapTopAndBottom/>
            <wp:docPr id="698459190"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59190" name="Picture 3" descr="A screenshot of a computer scree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3950" cy="8810625"/>
                    </a:xfrm>
                    <a:prstGeom prst="rect">
                      <a:avLst/>
                    </a:prstGeom>
                  </pic:spPr>
                </pic:pic>
              </a:graphicData>
            </a:graphic>
            <wp14:sizeRelH relativeFrom="margin">
              <wp14:pctWidth>0</wp14:pctWidth>
            </wp14:sizeRelH>
            <wp14:sizeRelV relativeFrom="margin">
              <wp14:pctHeight>0</wp14:pctHeight>
            </wp14:sizeRelV>
          </wp:anchor>
        </w:drawing>
      </w:r>
    </w:p>
    <w:p w14:paraId="15217881" w14:textId="40C09A17" w:rsidR="003B7A0A" w:rsidRPr="00834440" w:rsidRDefault="00162B46">
      <w:pPr>
        <w:rPr>
          <w:rFonts w:ascii="Garamond" w:hAnsi="Garamond"/>
        </w:rPr>
      </w:pPr>
      <w:r w:rsidRPr="00834440">
        <w:rPr>
          <w:rFonts w:ascii="Garamond" w:hAnsi="Garamond" w:cs="Calibri"/>
          <w:szCs w:val="24"/>
        </w:rPr>
        <w:lastRenderedPageBreak/>
        <w:t>Supplementary Figure</w:t>
      </w:r>
      <w:r w:rsidR="00DD613D" w:rsidRPr="00834440">
        <w:rPr>
          <w:rFonts w:ascii="Garamond" w:hAnsi="Garamond" w:cs="Calibri"/>
          <w:szCs w:val="24"/>
        </w:rPr>
        <w:t xml:space="preserve"> </w:t>
      </w:r>
      <w:r w:rsidR="0027205B" w:rsidRPr="00834440">
        <w:rPr>
          <w:rFonts w:ascii="Garamond" w:hAnsi="Garamond" w:cs="Calibri"/>
          <w:szCs w:val="24"/>
        </w:rPr>
        <w:t>9</w:t>
      </w:r>
      <w:r w:rsidRPr="00834440">
        <w:rPr>
          <w:rFonts w:ascii="Garamond" w:hAnsi="Garamond" w:cs="Calibri"/>
          <w:szCs w:val="24"/>
        </w:rPr>
        <w:t xml:space="preserve">. </w:t>
      </w:r>
      <w:r w:rsidR="008022F2" w:rsidRPr="00834440">
        <w:rPr>
          <w:rFonts w:ascii="Garamond" w:hAnsi="Garamond" w:cs="Calibri"/>
          <w:szCs w:val="24"/>
        </w:rPr>
        <w:t xml:space="preserve">(A) </w:t>
      </w:r>
      <w:r w:rsidRPr="00834440">
        <w:rPr>
          <w:rFonts w:ascii="Garamond" w:hAnsi="Garamond"/>
        </w:rPr>
        <w:t xml:space="preserve">Topographies of the differential ERPs </w:t>
      </w:r>
      <w:r w:rsidR="00DD613D" w:rsidRPr="00834440">
        <w:rPr>
          <w:rFonts w:ascii="Garamond" w:hAnsi="Garamond"/>
        </w:rPr>
        <w:t xml:space="preserve">(in µV) </w:t>
      </w:r>
      <w:r w:rsidRPr="00834440">
        <w:rPr>
          <w:rFonts w:ascii="Garamond" w:hAnsi="Garamond"/>
        </w:rPr>
        <w:t xml:space="preserve">between pairs of categories </w:t>
      </w:r>
      <w:r w:rsidR="00DD613D" w:rsidRPr="00834440">
        <w:rPr>
          <w:rFonts w:ascii="Garamond" w:hAnsi="Garamond"/>
        </w:rPr>
        <w:t>in</w:t>
      </w:r>
      <w:r w:rsidRPr="00834440">
        <w:rPr>
          <w:rFonts w:ascii="Garamond" w:hAnsi="Garamond"/>
        </w:rPr>
        <w:t xml:space="preserve"> the basic </w:t>
      </w:r>
      <w:r w:rsidR="00DD613D" w:rsidRPr="00834440">
        <w:rPr>
          <w:rFonts w:ascii="Garamond" w:hAnsi="Garamond"/>
        </w:rPr>
        <w:t>(</w:t>
      </w:r>
      <w:r w:rsidR="00D71B85" w:rsidRPr="00834440">
        <w:rPr>
          <w:rFonts w:ascii="Garamond" w:hAnsi="Garamond"/>
        </w:rPr>
        <w:t>B</w:t>
      </w:r>
      <w:r w:rsidR="00DD613D" w:rsidRPr="00834440">
        <w:rPr>
          <w:rFonts w:ascii="Garamond" w:hAnsi="Garamond"/>
        </w:rPr>
        <w:t xml:space="preserve">as) </w:t>
      </w:r>
      <w:r w:rsidRPr="00834440">
        <w:rPr>
          <w:rFonts w:ascii="Garamond" w:hAnsi="Garamond"/>
        </w:rPr>
        <w:t xml:space="preserve">and </w:t>
      </w:r>
      <w:r w:rsidR="00DD613D" w:rsidRPr="00834440">
        <w:rPr>
          <w:rFonts w:ascii="Garamond" w:hAnsi="Garamond"/>
        </w:rPr>
        <w:t>superordinate (</w:t>
      </w:r>
      <w:r w:rsidR="00D71B85" w:rsidRPr="00834440">
        <w:rPr>
          <w:rFonts w:ascii="Garamond" w:hAnsi="Garamond"/>
        </w:rPr>
        <w:t>S</w:t>
      </w:r>
      <w:r w:rsidR="00DD613D" w:rsidRPr="00834440">
        <w:rPr>
          <w:rFonts w:ascii="Garamond" w:hAnsi="Garamond"/>
        </w:rPr>
        <w:t xml:space="preserve">up) </w:t>
      </w:r>
      <w:r w:rsidRPr="00834440">
        <w:rPr>
          <w:rFonts w:ascii="Garamond" w:hAnsi="Garamond"/>
        </w:rPr>
        <w:t xml:space="preserve">categorisation tasks. </w:t>
      </w:r>
      <w:r w:rsidR="008022F2" w:rsidRPr="00834440">
        <w:rPr>
          <w:rFonts w:ascii="Garamond" w:hAnsi="Garamond"/>
        </w:rPr>
        <w:t xml:space="preserve">(B) </w:t>
      </w:r>
      <w:r w:rsidRPr="00834440">
        <w:rPr>
          <w:rFonts w:ascii="Garamond" w:hAnsi="Garamond"/>
        </w:rPr>
        <w:t xml:space="preserve">Time course of the brain activity in visual areas for discriminating pairs of object categories. Significant differences with a corresponding null distribution are represented with </w:t>
      </w:r>
      <w:proofErr w:type="gramStart"/>
      <w:r w:rsidRPr="00834440">
        <w:rPr>
          <w:rFonts w:ascii="Garamond" w:hAnsi="Garamond"/>
        </w:rPr>
        <w:t>matching coloured</w:t>
      </w:r>
      <w:proofErr w:type="gramEnd"/>
      <w:r w:rsidRPr="00834440">
        <w:rPr>
          <w:rFonts w:ascii="Garamond" w:hAnsi="Garamond"/>
        </w:rPr>
        <w:t xml:space="preserve"> dots at the bottom of the figures.</w:t>
      </w:r>
    </w:p>
    <w:p w14:paraId="3AA0F6FD" w14:textId="77777777" w:rsidR="009A50D2" w:rsidRPr="00834440" w:rsidRDefault="009A50D2">
      <w:pPr>
        <w:rPr>
          <w:rFonts w:ascii="Garamond" w:hAnsi="Garamond"/>
        </w:rPr>
      </w:pPr>
    </w:p>
    <w:p w14:paraId="367D0960" w14:textId="754C8F46" w:rsidR="00A42515" w:rsidRPr="00834440" w:rsidRDefault="00A42515" w:rsidP="006C126E">
      <w:pPr>
        <w:pStyle w:val="Heading1"/>
        <w:rPr>
          <w:rFonts w:ascii="Calibri" w:hAnsi="Calibri" w:cs="Calibri"/>
        </w:rPr>
      </w:pPr>
      <w:r w:rsidRPr="00834440">
        <w:rPr>
          <w:rFonts w:ascii="Calibri" w:hAnsi="Calibri" w:cs="Calibri"/>
        </w:rPr>
        <w:t>References</w:t>
      </w:r>
    </w:p>
    <w:p w14:paraId="1F4F58BF" w14:textId="77777777" w:rsidR="00BB4AEA" w:rsidRPr="00BB4AEA" w:rsidRDefault="009C26D2" w:rsidP="00BB4AEA">
      <w:pPr>
        <w:pStyle w:val="Bibliography"/>
        <w:rPr>
          <w:rFonts w:cs="Calibri"/>
          <w:sz w:val="22"/>
        </w:rPr>
      </w:pPr>
      <w:r w:rsidRPr="00834440">
        <w:rPr>
          <w:rFonts w:cs="Calibri"/>
          <w:lang w:val="fr-FR"/>
        </w:rPr>
        <w:fldChar w:fldCharType="begin"/>
      </w:r>
      <w:r w:rsidR="00BB4AEA">
        <w:rPr>
          <w:rFonts w:cs="Calibri"/>
        </w:rPr>
        <w:instrText xml:space="preserve"> ADDIN ZOTERO_BIBL {"uncited":[],"omitted":[],"custom":[]} CSL_BIBLIOGRAPHY </w:instrText>
      </w:r>
      <w:r w:rsidRPr="00834440">
        <w:rPr>
          <w:rFonts w:cs="Calibri"/>
          <w:lang w:val="fr-FR"/>
        </w:rPr>
        <w:fldChar w:fldCharType="separate"/>
      </w:r>
      <w:r w:rsidR="00BB4AEA" w:rsidRPr="00BB4AEA">
        <w:rPr>
          <w:rFonts w:cs="Calibri"/>
          <w:sz w:val="22"/>
        </w:rPr>
        <w:t xml:space="preserve">Benjamin DJ, Berger JO, Johannesson M, Nosek BA, </w:t>
      </w:r>
      <w:proofErr w:type="spellStart"/>
      <w:r w:rsidR="00BB4AEA" w:rsidRPr="00BB4AEA">
        <w:rPr>
          <w:rFonts w:cs="Calibri"/>
          <w:sz w:val="22"/>
        </w:rPr>
        <w:t>Wagenmakers</w:t>
      </w:r>
      <w:proofErr w:type="spellEnd"/>
      <w:r w:rsidR="00BB4AEA" w:rsidRPr="00BB4AEA">
        <w:rPr>
          <w:rFonts w:cs="Calibri"/>
          <w:sz w:val="22"/>
        </w:rPr>
        <w:t xml:space="preserve"> E-J, Berk R, Bollen KA, </w:t>
      </w:r>
      <w:proofErr w:type="spellStart"/>
      <w:r w:rsidR="00BB4AEA" w:rsidRPr="00BB4AEA">
        <w:rPr>
          <w:rFonts w:cs="Calibri"/>
          <w:sz w:val="22"/>
        </w:rPr>
        <w:t>Brembs</w:t>
      </w:r>
      <w:proofErr w:type="spellEnd"/>
      <w:r w:rsidR="00BB4AEA" w:rsidRPr="00BB4AEA">
        <w:rPr>
          <w:rFonts w:cs="Calibri"/>
          <w:sz w:val="22"/>
        </w:rPr>
        <w:t xml:space="preserve"> B, Brown L, Camerer C, et al. 2018. Redefine statistical significance. Nat Hum </w:t>
      </w:r>
      <w:proofErr w:type="spellStart"/>
      <w:r w:rsidR="00BB4AEA" w:rsidRPr="00BB4AEA">
        <w:rPr>
          <w:rFonts w:cs="Calibri"/>
          <w:sz w:val="22"/>
        </w:rPr>
        <w:t>Behav</w:t>
      </w:r>
      <w:proofErr w:type="spellEnd"/>
      <w:r w:rsidR="00BB4AEA" w:rsidRPr="00BB4AEA">
        <w:rPr>
          <w:rFonts w:cs="Calibri"/>
          <w:sz w:val="22"/>
        </w:rPr>
        <w:t>. 2(1):6–10. https://doi.org/10.1038/s41562-017-0189-z</w:t>
      </w:r>
    </w:p>
    <w:p w14:paraId="420C49F7" w14:textId="77777777" w:rsidR="00BB4AEA" w:rsidRPr="00BB4AEA" w:rsidRDefault="00BB4AEA" w:rsidP="00BB4AEA">
      <w:pPr>
        <w:pStyle w:val="Bibliography"/>
        <w:rPr>
          <w:rFonts w:cs="Calibri"/>
          <w:sz w:val="22"/>
        </w:rPr>
      </w:pPr>
      <w:r w:rsidRPr="00BB4AEA">
        <w:rPr>
          <w:rFonts w:cs="Calibri"/>
          <w:sz w:val="22"/>
        </w:rPr>
        <w:t xml:space="preserve">Haufe S, Meinecke F, Görgen K, </w:t>
      </w:r>
      <w:proofErr w:type="spellStart"/>
      <w:r w:rsidRPr="00BB4AEA">
        <w:rPr>
          <w:rFonts w:cs="Calibri"/>
          <w:sz w:val="22"/>
        </w:rPr>
        <w:t>Dähne</w:t>
      </w:r>
      <w:proofErr w:type="spellEnd"/>
      <w:r w:rsidRPr="00BB4AEA">
        <w:rPr>
          <w:rFonts w:cs="Calibri"/>
          <w:sz w:val="22"/>
        </w:rPr>
        <w:t xml:space="preserve"> S, Haynes J-D, </w:t>
      </w:r>
      <w:proofErr w:type="spellStart"/>
      <w:r w:rsidRPr="00BB4AEA">
        <w:rPr>
          <w:rFonts w:cs="Calibri"/>
          <w:sz w:val="22"/>
        </w:rPr>
        <w:t>Blankertz</w:t>
      </w:r>
      <w:proofErr w:type="spellEnd"/>
      <w:r w:rsidRPr="00BB4AEA">
        <w:rPr>
          <w:rFonts w:cs="Calibri"/>
          <w:sz w:val="22"/>
        </w:rPr>
        <w:t xml:space="preserve"> B, </w:t>
      </w:r>
      <w:proofErr w:type="spellStart"/>
      <w:r w:rsidRPr="00BB4AEA">
        <w:rPr>
          <w:rFonts w:cs="Calibri"/>
          <w:sz w:val="22"/>
        </w:rPr>
        <w:t>Bießmann</w:t>
      </w:r>
      <w:proofErr w:type="spellEnd"/>
      <w:r w:rsidRPr="00BB4AEA">
        <w:rPr>
          <w:rFonts w:cs="Calibri"/>
          <w:sz w:val="22"/>
        </w:rPr>
        <w:t xml:space="preserve"> F. 2014. On the interpretation of weight vectors of linear models in multivariate neuroimaging. Neuroimage. 87:96–110. https://doi.org/10.1016/j.neuroimage.2013.10.067</w:t>
      </w:r>
    </w:p>
    <w:p w14:paraId="6C7E5382" w14:textId="77777777" w:rsidR="00BB4AEA" w:rsidRPr="00BB4AEA" w:rsidRDefault="00BB4AEA" w:rsidP="00BB4AEA">
      <w:pPr>
        <w:pStyle w:val="Bibliography"/>
        <w:rPr>
          <w:rFonts w:cs="Calibri"/>
          <w:sz w:val="22"/>
        </w:rPr>
      </w:pPr>
      <w:r w:rsidRPr="00BB4AEA">
        <w:rPr>
          <w:rFonts w:cs="Calibri"/>
          <w:sz w:val="22"/>
        </w:rPr>
        <w:t>Poncet M, Ales JM. 2023. Estimating neural activity from visual areas using functionally defined EEG templates. Human Brain Mapping</w:t>
      </w:r>
      <w:proofErr w:type="gramStart"/>
      <w:r w:rsidRPr="00BB4AEA">
        <w:rPr>
          <w:rFonts w:cs="Calibri"/>
          <w:sz w:val="22"/>
        </w:rPr>
        <w:t>.:hbm</w:t>
      </w:r>
      <w:proofErr w:type="gramEnd"/>
      <w:r w:rsidRPr="00BB4AEA">
        <w:rPr>
          <w:rFonts w:cs="Calibri"/>
          <w:sz w:val="22"/>
        </w:rPr>
        <w:t>.26188. https://doi.org/10.1002/hbm.26188</w:t>
      </w:r>
    </w:p>
    <w:p w14:paraId="455686B5" w14:textId="77777777" w:rsidR="00BB4AEA" w:rsidRPr="00BB4AEA" w:rsidRDefault="00BB4AEA" w:rsidP="00BB4AEA">
      <w:pPr>
        <w:pStyle w:val="Bibliography"/>
        <w:rPr>
          <w:rFonts w:cs="Calibri"/>
          <w:sz w:val="22"/>
          <w:lang w:val="fr-FR"/>
        </w:rPr>
      </w:pPr>
      <w:proofErr w:type="spellStart"/>
      <w:r w:rsidRPr="00BB4AEA">
        <w:rPr>
          <w:rFonts w:cs="Calibri"/>
          <w:sz w:val="22"/>
        </w:rPr>
        <w:t>Rousselet</w:t>
      </w:r>
      <w:proofErr w:type="spellEnd"/>
      <w:r w:rsidRPr="00BB4AEA">
        <w:rPr>
          <w:rFonts w:cs="Calibri"/>
          <w:sz w:val="22"/>
        </w:rPr>
        <w:t xml:space="preserve"> GA. 2025. Using cluster-based permutation tests to estimate MEG/EEG onsets: How bad is it? </w:t>
      </w:r>
      <w:proofErr w:type="spellStart"/>
      <w:r w:rsidRPr="00BB4AEA">
        <w:rPr>
          <w:rFonts w:cs="Calibri"/>
          <w:sz w:val="22"/>
          <w:lang w:val="fr-FR"/>
        </w:rPr>
        <w:t>Eur</w:t>
      </w:r>
      <w:proofErr w:type="spellEnd"/>
      <w:r w:rsidRPr="00BB4AEA">
        <w:rPr>
          <w:rFonts w:cs="Calibri"/>
          <w:sz w:val="22"/>
          <w:lang w:val="fr-FR"/>
        </w:rPr>
        <w:t xml:space="preserve"> J </w:t>
      </w:r>
      <w:proofErr w:type="spellStart"/>
      <w:r w:rsidRPr="00BB4AEA">
        <w:rPr>
          <w:rFonts w:cs="Calibri"/>
          <w:sz w:val="22"/>
          <w:lang w:val="fr-FR"/>
        </w:rPr>
        <w:t>Neurosci</w:t>
      </w:r>
      <w:proofErr w:type="spellEnd"/>
      <w:r w:rsidRPr="00BB4AEA">
        <w:rPr>
          <w:rFonts w:cs="Calibri"/>
          <w:sz w:val="22"/>
          <w:lang w:val="fr-FR"/>
        </w:rPr>
        <w:t>. 61(1):e16618. https://doi.org/10.1111/ejn.16618</w:t>
      </w:r>
    </w:p>
    <w:p w14:paraId="237A978F" w14:textId="77777777" w:rsidR="00BB4AEA" w:rsidRPr="00BB4AEA" w:rsidRDefault="00BB4AEA" w:rsidP="00BB4AEA">
      <w:pPr>
        <w:pStyle w:val="Bibliography"/>
        <w:rPr>
          <w:rFonts w:cs="Calibri"/>
          <w:sz w:val="22"/>
        </w:rPr>
      </w:pPr>
      <w:proofErr w:type="spellStart"/>
      <w:r w:rsidRPr="00BB4AEA">
        <w:rPr>
          <w:rFonts w:cs="Calibri"/>
          <w:sz w:val="22"/>
          <w:lang w:val="fr-FR"/>
        </w:rPr>
        <w:t>Sassenhagen</w:t>
      </w:r>
      <w:proofErr w:type="spellEnd"/>
      <w:r w:rsidRPr="00BB4AEA">
        <w:rPr>
          <w:rFonts w:cs="Calibri"/>
          <w:sz w:val="22"/>
          <w:lang w:val="fr-FR"/>
        </w:rPr>
        <w:t xml:space="preserve"> J, </w:t>
      </w:r>
      <w:proofErr w:type="spellStart"/>
      <w:r w:rsidRPr="00BB4AEA">
        <w:rPr>
          <w:rFonts w:cs="Calibri"/>
          <w:sz w:val="22"/>
          <w:lang w:val="fr-FR"/>
        </w:rPr>
        <w:t>Draschkow</w:t>
      </w:r>
      <w:proofErr w:type="spellEnd"/>
      <w:r w:rsidRPr="00BB4AEA">
        <w:rPr>
          <w:rFonts w:cs="Calibri"/>
          <w:sz w:val="22"/>
          <w:lang w:val="fr-FR"/>
        </w:rPr>
        <w:t xml:space="preserve"> D. 2019. </w:t>
      </w:r>
      <w:r w:rsidRPr="00BB4AEA">
        <w:rPr>
          <w:rFonts w:cs="Calibri"/>
          <w:sz w:val="22"/>
        </w:rPr>
        <w:t>Cluster-based permutation tests of MEG/EEG data do not establish significance of effect latency or location. Psychophysiology. 56(6</w:t>
      </w:r>
      <w:proofErr w:type="gramStart"/>
      <w:r w:rsidRPr="00BB4AEA">
        <w:rPr>
          <w:rFonts w:cs="Calibri"/>
          <w:sz w:val="22"/>
        </w:rPr>
        <w:t>):e</w:t>
      </w:r>
      <w:proofErr w:type="gramEnd"/>
      <w:r w:rsidRPr="00BB4AEA">
        <w:rPr>
          <w:rFonts w:cs="Calibri"/>
          <w:sz w:val="22"/>
        </w:rPr>
        <w:t>13335. https://doi.org/10.1111/psyp.13335</w:t>
      </w:r>
    </w:p>
    <w:p w14:paraId="31151F91" w14:textId="77777777" w:rsidR="00BB4AEA" w:rsidRPr="00BB4AEA" w:rsidRDefault="00BB4AEA" w:rsidP="00BB4AEA">
      <w:pPr>
        <w:pStyle w:val="Bibliography"/>
        <w:rPr>
          <w:rFonts w:cs="Calibri"/>
          <w:sz w:val="22"/>
        </w:rPr>
      </w:pPr>
      <w:r w:rsidRPr="00BB4AEA">
        <w:rPr>
          <w:rFonts w:cs="Calibri"/>
          <w:sz w:val="22"/>
        </w:rPr>
        <w:t xml:space="preserve">Tanner D, Morgan-Short K, Luck SJ. 2015. How inappropriate high-pass filters can produce </w:t>
      </w:r>
      <w:proofErr w:type="spellStart"/>
      <w:r w:rsidRPr="00BB4AEA">
        <w:rPr>
          <w:rFonts w:cs="Calibri"/>
          <w:sz w:val="22"/>
        </w:rPr>
        <w:t>artifactual</w:t>
      </w:r>
      <w:proofErr w:type="spellEnd"/>
      <w:r w:rsidRPr="00BB4AEA">
        <w:rPr>
          <w:rFonts w:cs="Calibri"/>
          <w:sz w:val="22"/>
        </w:rPr>
        <w:t xml:space="preserve"> effects and incorrect conclusions in ERP studies of language and cognition. Psychophysiology. 52(8):997–1009. https://doi.org/10.1111/psyp.12437</w:t>
      </w:r>
    </w:p>
    <w:p w14:paraId="1268D69E" w14:textId="77777777" w:rsidR="00BB4AEA" w:rsidRPr="00BB4AEA" w:rsidRDefault="00BB4AEA" w:rsidP="00BB4AEA">
      <w:pPr>
        <w:pStyle w:val="Bibliography"/>
        <w:rPr>
          <w:rFonts w:cs="Calibri"/>
          <w:sz w:val="22"/>
        </w:rPr>
      </w:pPr>
      <w:proofErr w:type="spellStart"/>
      <w:r w:rsidRPr="00BB4AEA">
        <w:rPr>
          <w:rFonts w:cs="Calibri"/>
          <w:sz w:val="22"/>
        </w:rPr>
        <w:t>VanRullen</w:t>
      </w:r>
      <w:proofErr w:type="spellEnd"/>
      <w:r w:rsidRPr="00BB4AEA">
        <w:rPr>
          <w:rFonts w:cs="Calibri"/>
          <w:sz w:val="22"/>
        </w:rPr>
        <w:t xml:space="preserve"> R. 2011. Four Common Conceptual Fallacies in Mapping the Time Course of Recognition. Frontiers in Psychology [Internet]. [accessed 2013 Jul 26] 2. https://doi.org/10.3389/fpsyg.2011.00365</w:t>
      </w:r>
    </w:p>
    <w:p w14:paraId="5AFE362D" w14:textId="77777777" w:rsidR="00BB4AEA" w:rsidRPr="00BB4AEA" w:rsidRDefault="00BB4AEA" w:rsidP="00BB4AEA">
      <w:pPr>
        <w:pStyle w:val="Bibliography"/>
        <w:rPr>
          <w:rFonts w:cs="Calibri"/>
          <w:sz w:val="22"/>
        </w:rPr>
      </w:pPr>
      <w:proofErr w:type="spellStart"/>
      <w:r w:rsidRPr="00BB4AEA">
        <w:rPr>
          <w:rFonts w:cs="Calibri"/>
          <w:sz w:val="22"/>
        </w:rPr>
        <w:t>VanRullen</w:t>
      </w:r>
      <w:proofErr w:type="spellEnd"/>
      <w:r w:rsidRPr="00BB4AEA">
        <w:rPr>
          <w:rFonts w:cs="Calibri"/>
          <w:sz w:val="22"/>
        </w:rPr>
        <w:t xml:space="preserve"> R, Thorpe SJ. 2001. The time course of visual processing: from early perception to decision-making. J Cogn </w:t>
      </w:r>
      <w:proofErr w:type="spellStart"/>
      <w:r w:rsidRPr="00BB4AEA">
        <w:rPr>
          <w:rFonts w:cs="Calibri"/>
          <w:sz w:val="22"/>
        </w:rPr>
        <w:t>Neurosci</w:t>
      </w:r>
      <w:proofErr w:type="spellEnd"/>
      <w:r w:rsidRPr="00BB4AEA">
        <w:rPr>
          <w:rFonts w:cs="Calibri"/>
          <w:sz w:val="22"/>
        </w:rPr>
        <w:t>. 13(4):454–461.</w:t>
      </w:r>
    </w:p>
    <w:p w14:paraId="4C05AF54" w14:textId="085D9694" w:rsidR="00A42515" w:rsidRPr="009C30B5" w:rsidRDefault="009C26D2" w:rsidP="000F622C">
      <w:pPr>
        <w:spacing w:line="276" w:lineRule="auto"/>
        <w:rPr>
          <w:rFonts w:cs="Calibri"/>
          <w:lang w:val="fr-FR"/>
        </w:rPr>
      </w:pPr>
      <w:r w:rsidRPr="00834440">
        <w:rPr>
          <w:rFonts w:cs="Calibri"/>
          <w:lang w:val="fr-FR"/>
        </w:rPr>
        <w:fldChar w:fldCharType="end"/>
      </w:r>
    </w:p>
    <w:sectPr w:rsidR="00A42515" w:rsidRPr="009C30B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A5B203" w14:textId="77777777" w:rsidR="006F1F41" w:rsidRDefault="006F1F41" w:rsidP="00807620">
      <w:pPr>
        <w:spacing w:after="0" w:line="240" w:lineRule="auto"/>
      </w:pPr>
      <w:r>
        <w:separator/>
      </w:r>
    </w:p>
  </w:endnote>
  <w:endnote w:type="continuationSeparator" w:id="0">
    <w:p w14:paraId="282B27F5" w14:textId="77777777" w:rsidR="006F1F41" w:rsidRDefault="006F1F41" w:rsidP="00807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23E622" w14:textId="77777777" w:rsidR="006F1F41" w:rsidRDefault="006F1F41" w:rsidP="00807620">
      <w:pPr>
        <w:spacing w:after="0" w:line="240" w:lineRule="auto"/>
      </w:pPr>
      <w:r>
        <w:separator/>
      </w:r>
    </w:p>
  </w:footnote>
  <w:footnote w:type="continuationSeparator" w:id="0">
    <w:p w14:paraId="6C4060EF" w14:textId="77777777" w:rsidR="006F1F41" w:rsidRDefault="006F1F41" w:rsidP="008076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6142"/>
    <w:multiLevelType w:val="hybridMultilevel"/>
    <w:tmpl w:val="CEA87780"/>
    <w:lvl w:ilvl="0" w:tplc="DAF0A49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7A25F2"/>
    <w:multiLevelType w:val="multilevel"/>
    <w:tmpl w:val="BF4C7FA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47C93C0E"/>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76822D6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632437677">
    <w:abstractNumId w:val="0"/>
  </w:num>
  <w:num w:numId="2" w16cid:durableId="531188352">
    <w:abstractNumId w:val="2"/>
  </w:num>
  <w:num w:numId="3" w16cid:durableId="620847136">
    <w:abstractNumId w:val="3"/>
  </w:num>
  <w:num w:numId="4" w16cid:durableId="1522815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738C4"/>
    <w:rsid w:val="00003F98"/>
    <w:rsid w:val="00027D7C"/>
    <w:rsid w:val="00043CF3"/>
    <w:rsid w:val="00065397"/>
    <w:rsid w:val="00090D8A"/>
    <w:rsid w:val="000C565D"/>
    <w:rsid w:val="000E5911"/>
    <w:rsid w:val="000F4520"/>
    <w:rsid w:val="000F5ABC"/>
    <w:rsid w:val="000F622C"/>
    <w:rsid w:val="000F7A23"/>
    <w:rsid w:val="000F7A24"/>
    <w:rsid w:val="00102A42"/>
    <w:rsid w:val="001274F2"/>
    <w:rsid w:val="001362DA"/>
    <w:rsid w:val="0013710A"/>
    <w:rsid w:val="001409E1"/>
    <w:rsid w:val="00145AE8"/>
    <w:rsid w:val="00162B46"/>
    <w:rsid w:val="001703FF"/>
    <w:rsid w:val="001A1FB3"/>
    <w:rsid w:val="001B015B"/>
    <w:rsid w:val="001B6CEF"/>
    <w:rsid w:val="001C1324"/>
    <w:rsid w:val="001E3FD5"/>
    <w:rsid w:val="001E74A9"/>
    <w:rsid w:val="001F2E48"/>
    <w:rsid w:val="0024676D"/>
    <w:rsid w:val="0027205B"/>
    <w:rsid w:val="0028517C"/>
    <w:rsid w:val="0028553E"/>
    <w:rsid w:val="00285EBC"/>
    <w:rsid w:val="00287D3B"/>
    <w:rsid w:val="002D0898"/>
    <w:rsid w:val="002E077B"/>
    <w:rsid w:val="002F41F9"/>
    <w:rsid w:val="002F738F"/>
    <w:rsid w:val="00314FEE"/>
    <w:rsid w:val="0035780D"/>
    <w:rsid w:val="0037574A"/>
    <w:rsid w:val="00380999"/>
    <w:rsid w:val="00392385"/>
    <w:rsid w:val="00392AEC"/>
    <w:rsid w:val="00397B54"/>
    <w:rsid w:val="003A343C"/>
    <w:rsid w:val="003B28B5"/>
    <w:rsid w:val="003B7A0A"/>
    <w:rsid w:val="003C09AC"/>
    <w:rsid w:val="003C17A7"/>
    <w:rsid w:val="003C3D47"/>
    <w:rsid w:val="003D1B0A"/>
    <w:rsid w:val="003D2FD8"/>
    <w:rsid w:val="0041625D"/>
    <w:rsid w:val="00430A4D"/>
    <w:rsid w:val="004A35CF"/>
    <w:rsid w:val="004C4626"/>
    <w:rsid w:val="004E513B"/>
    <w:rsid w:val="004F1188"/>
    <w:rsid w:val="00501465"/>
    <w:rsid w:val="00533DB7"/>
    <w:rsid w:val="00542A59"/>
    <w:rsid w:val="00550384"/>
    <w:rsid w:val="005758EA"/>
    <w:rsid w:val="005966F9"/>
    <w:rsid w:val="00597004"/>
    <w:rsid w:val="005C0DA1"/>
    <w:rsid w:val="005F25EE"/>
    <w:rsid w:val="005F7D77"/>
    <w:rsid w:val="00620981"/>
    <w:rsid w:val="006744AA"/>
    <w:rsid w:val="006778E3"/>
    <w:rsid w:val="0068343D"/>
    <w:rsid w:val="006953C5"/>
    <w:rsid w:val="006A4E02"/>
    <w:rsid w:val="006C126E"/>
    <w:rsid w:val="006C6423"/>
    <w:rsid w:val="006D3514"/>
    <w:rsid w:val="006E4956"/>
    <w:rsid w:val="006F1F41"/>
    <w:rsid w:val="0070457B"/>
    <w:rsid w:val="007077FC"/>
    <w:rsid w:val="00713477"/>
    <w:rsid w:val="00730DCF"/>
    <w:rsid w:val="00752A0C"/>
    <w:rsid w:val="007638C3"/>
    <w:rsid w:val="007A23DB"/>
    <w:rsid w:val="007A53EC"/>
    <w:rsid w:val="007C02C1"/>
    <w:rsid w:val="008022F2"/>
    <w:rsid w:val="00807620"/>
    <w:rsid w:val="008111B6"/>
    <w:rsid w:val="00834440"/>
    <w:rsid w:val="008773A8"/>
    <w:rsid w:val="008B4FE0"/>
    <w:rsid w:val="008B6ADB"/>
    <w:rsid w:val="008C3FF9"/>
    <w:rsid w:val="008D22A2"/>
    <w:rsid w:val="008E696B"/>
    <w:rsid w:val="008E7610"/>
    <w:rsid w:val="009007F6"/>
    <w:rsid w:val="00933CEE"/>
    <w:rsid w:val="00955715"/>
    <w:rsid w:val="0097515C"/>
    <w:rsid w:val="00977BD7"/>
    <w:rsid w:val="009A3C56"/>
    <w:rsid w:val="009A50D2"/>
    <w:rsid w:val="009C26D2"/>
    <w:rsid w:val="009C30B5"/>
    <w:rsid w:val="009D6616"/>
    <w:rsid w:val="009E06E9"/>
    <w:rsid w:val="00A14CEC"/>
    <w:rsid w:val="00A41F1A"/>
    <w:rsid w:val="00A42515"/>
    <w:rsid w:val="00A55E8A"/>
    <w:rsid w:val="00A57DFE"/>
    <w:rsid w:val="00A72128"/>
    <w:rsid w:val="00A86BFF"/>
    <w:rsid w:val="00AA3CFC"/>
    <w:rsid w:val="00AB56F1"/>
    <w:rsid w:val="00AD7C5E"/>
    <w:rsid w:val="00AE65AF"/>
    <w:rsid w:val="00B0456C"/>
    <w:rsid w:val="00B3619C"/>
    <w:rsid w:val="00B905CC"/>
    <w:rsid w:val="00B939CF"/>
    <w:rsid w:val="00BA5210"/>
    <w:rsid w:val="00BA57F5"/>
    <w:rsid w:val="00BB4AEA"/>
    <w:rsid w:val="00BD02D8"/>
    <w:rsid w:val="00BD1138"/>
    <w:rsid w:val="00BE2ED1"/>
    <w:rsid w:val="00C23690"/>
    <w:rsid w:val="00C24EFB"/>
    <w:rsid w:val="00C50851"/>
    <w:rsid w:val="00C53270"/>
    <w:rsid w:val="00C5712F"/>
    <w:rsid w:val="00C775B6"/>
    <w:rsid w:val="00C81020"/>
    <w:rsid w:val="00CA2878"/>
    <w:rsid w:val="00CE08D3"/>
    <w:rsid w:val="00D23940"/>
    <w:rsid w:val="00D27BF9"/>
    <w:rsid w:val="00D71B85"/>
    <w:rsid w:val="00D91BD6"/>
    <w:rsid w:val="00D91C14"/>
    <w:rsid w:val="00DA1B81"/>
    <w:rsid w:val="00DA3694"/>
    <w:rsid w:val="00DD613D"/>
    <w:rsid w:val="00DF571C"/>
    <w:rsid w:val="00E00D52"/>
    <w:rsid w:val="00E159A4"/>
    <w:rsid w:val="00E219DE"/>
    <w:rsid w:val="00E36DBC"/>
    <w:rsid w:val="00E431CA"/>
    <w:rsid w:val="00E501B0"/>
    <w:rsid w:val="00E50DD6"/>
    <w:rsid w:val="00E738C4"/>
    <w:rsid w:val="00E93375"/>
    <w:rsid w:val="00EA55AC"/>
    <w:rsid w:val="00EE2E78"/>
    <w:rsid w:val="00EF64FA"/>
    <w:rsid w:val="00F0197F"/>
    <w:rsid w:val="00F115E8"/>
    <w:rsid w:val="00F75D55"/>
    <w:rsid w:val="00F9372F"/>
    <w:rsid w:val="00FA06BA"/>
    <w:rsid w:val="00FA1F52"/>
    <w:rsid w:val="00FA5CD2"/>
    <w:rsid w:val="00FC28D0"/>
    <w:rsid w:val="00FE1B8B"/>
    <w:rsid w:val="00FF1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41280"/>
  <w15:chartTrackingRefBased/>
  <w15:docId w15:val="{D4A61833-1BAD-44A0-A386-3209C8038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9DE"/>
    <w:rPr>
      <w:rFonts w:ascii="Calibri" w:hAnsi="Calibri"/>
      <w:sz w:val="24"/>
    </w:rPr>
  </w:style>
  <w:style w:type="paragraph" w:styleId="Heading1">
    <w:name w:val="heading 1"/>
    <w:basedOn w:val="Normal"/>
    <w:next w:val="Normal"/>
    <w:link w:val="Heading1Char"/>
    <w:uiPriority w:val="9"/>
    <w:qFormat/>
    <w:rsid w:val="0013710A"/>
    <w:pPr>
      <w:keepNext/>
      <w:keepLines/>
      <w:numPr>
        <w:numId w:val="2"/>
      </w:numPr>
      <w:spacing w:before="360" w:after="80"/>
      <w:outlineLvl w:val="0"/>
    </w:pPr>
    <w:rPr>
      <w:rFonts w:asciiTheme="majorHAnsi" w:eastAsiaTheme="majorEastAsia" w:hAnsiTheme="majorHAnsi" w:cstheme="majorBidi"/>
      <w:color w:val="000000" w:themeColor="text1"/>
      <w:sz w:val="36"/>
      <w:szCs w:val="40"/>
    </w:rPr>
  </w:style>
  <w:style w:type="paragraph" w:styleId="Heading2">
    <w:name w:val="heading 2"/>
    <w:basedOn w:val="Normal"/>
    <w:next w:val="Normal"/>
    <w:link w:val="Heading2Char"/>
    <w:uiPriority w:val="9"/>
    <w:unhideWhenUsed/>
    <w:qFormat/>
    <w:rsid w:val="0013710A"/>
    <w:pPr>
      <w:keepNext/>
      <w:keepLines/>
      <w:numPr>
        <w:ilvl w:val="1"/>
        <w:numId w:val="2"/>
      </w:numPr>
      <w:spacing w:before="160" w:after="80"/>
      <w:outlineLvl w:val="1"/>
    </w:pPr>
    <w:rPr>
      <w:rFonts w:asciiTheme="majorHAnsi" w:eastAsiaTheme="majorEastAsia" w:hAnsiTheme="majorHAnsi" w:cstheme="majorBidi"/>
      <w:color w:val="000000" w:themeColor="text1"/>
      <w:sz w:val="32"/>
      <w:szCs w:val="32"/>
    </w:rPr>
  </w:style>
  <w:style w:type="paragraph" w:styleId="Heading3">
    <w:name w:val="heading 3"/>
    <w:basedOn w:val="Normal"/>
    <w:next w:val="Normal"/>
    <w:link w:val="Heading3Char"/>
    <w:uiPriority w:val="9"/>
    <w:unhideWhenUsed/>
    <w:qFormat/>
    <w:rsid w:val="0013710A"/>
    <w:pPr>
      <w:keepNext/>
      <w:keepLines/>
      <w:numPr>
        <w:ilvl w:val="2"/>
        <w:numId w:val="2"/>
      </w:numPr>
      <w:spacing w:before="160" w:after="80"/>
      <w:outlineLvl w:val="2"/>
    </w:pPr>
    <w:rPr>
      <w:rFonts w:eastAsiaTheme="majorEastAsia" w:cstheme="majorBidi"/>
      <w:sz w:val="28"/>
      <w:szCs w:val="28"/>
      <w:u w:val="single"/>
    </w:rPr>
  </w:style>
  <w:style w:type="paragraph" w:styleId="Heading4">
    <w:name w:val="heading 4"/>
    <w:basedOn w:val="Normal"/>
    <w:next w:val="Normal"/>
    <w:link w:val="Heading4Char"/>
    <w:uiPriority w:val="9"/>
    <w:unhideWhenUsed/>
    <w:qFormat/>
    <w:rsid w:val="00E738C4"/>
    <w:pPr>
      <w:keepNext/>
      <w:keepLines/>
      <w:numPr>
        <w:ilvl w:val="3"/>
        <w:numId w:val="2"/>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8C4"/>
    <w:pPr>
      <w:keepNext/>
      <w:keepLines/>
      <w:numPr>
        <w:ilvl w:val="4"/>
        <w:numId w:val="2"/>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8C4"/>
    <w:pPr>
      <w:keepNext/>
      <w:keepLines/>
      <w:numPr>
        <w:ilvl w:val="5"/>
        <w:numId w:val="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8C4"/>
    <w:pPr>
      <w:keepNext/>
      <w:keepLines/>
      <w:numPr>
        <w:ilvl w:val="6"/>
        <w:numId w:val="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8C4"/>
    <w:pPr>
      <w:keepNext/>
      <w:keepLines/>
      <w:numPr>
        <w:ilvl w:val="7"/>
        <w:numId w:val="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8C4"/>
    <w:pPr>
      <w:keepNext/>
      <w:keepLines/>
      <w:numPr>
        <w:ilvl w:val="8"/>
        <w:numId w:val="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710A"/>
    <w:rPr>
      <w:rFonts w:asciiTheme="majorHAnsi" w:eastAsiaTheme="majorEastAsia" w:hAnsiTheme="majorHAnsi" w:cstheme="majorBidi"/>
      <w:color w:val="000000" w:themeColor="text1"/>
      <w:sz w:val="36"/>
      <w:szCs w:val="40"/>
    </w:rPr>
  </w:style>
  <w:style w:type="character" w:customStyle="1" w:styleId="Heading2Char">
    <w:name w:val="Heading 2 Char"/>
    <w:basedOn w:val="DefaultParagraphFont"/>
    <w:link w:val="Heading2"/>
    <w:uiPriority w:val="9"/>
    <w:rsid w:val="0013710A"/>
    <w:rPr>
      <w:rFonts w:asciiTheme="majorHAnsi" w:eastAsiaTheme="majorEastAsia" w:hAnsiTheme="majorHAnsi" w:cstheme="majorBidi"/>
      <w:color w:val="000000" w:themeColor="text1"/>
      <w:sz w:val="32"/>
      <w:szCs w:val="32"/>
    </w:rPr>
  </w:style>
  <w:style w:type="character" w:customStyle="1" w:styleId="Heading3Char">
    <w:name w:val="Heading 3 Char"/>
    <w:basedOn w:val="DefaultParagraphFont"/>
    <w:link w:val="Heading3"/>
    <w:uiPriority w:val="9"/>
    <w:rsid w:val="0013710A"/>
    <w:rPr>
      <w:rFonts w:eastAsiaTheme="majorEastAsia" w:cstheme="majorBidi"/>
      <w:sz w:val="28"/>
      <w:szCs w:val="28"/>
      <w:u w:val="single"/>
    </w:rPr>
  </w:style>
  <w:style w:type="character" w:customStyle="1" w:styleId="Heading4Char">
    <w:name w:val="Heading 4 Char"/>
    <w:basedOn w:val="DefaultParagraphFont"/>
    <w:link w:val="Heading4"/>
    <w:uiPriority w:val="9"/>
    <w:rsid w:val="00E738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8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8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8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8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8C4"/>
    <w:rPr>
      <w:rFonts w:eastAsiaTheme="majorEastAsia" w:cstheme="majorBidi"/>
      <w:color w:val="272727" w:themeColor="text1" w:themeTint="D8"/>
    </w:rPr>
  </w:style>
  <w:style w:type="paragraph" w:styleId="Title">
    <w:name w:val="Title"/>
    <w:basedOn w:val="Normal"/>
    <w:next w:val="Normal"/>
    <w:link w:val="TitleChar"/>
    <w:uiPriority w:val="10"/>
    <w:qFormat/>
    <w:rsid w:val="00E738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8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8C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8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8C4"/>
    <w:pPr>
      <w:spacing w:before="160"/>
      <w:jc w:val="center"/>
    </w:pPr>
    <w:rPr>
      <w:i/>
      <w:iCs/>
      <w:color w:val="404040" w:themeColor="text1" w:themeTint="BF"/>
    </w:rPr>
  </w:style>
  <w:style w:type="character" w:customStyle="1" w:styleId="QuoteChar">
    <w:name w:val="Quote Char"/>
    <w:basedOn w:val="DefaultParagraphFont"/>
    <w:link w:val="Quote"/>
    <w:uiPriority w:val="29"/>
    <w:rsid w:val="00E738C4"/>
    <w:rPr>
      <w:i/>
      <w:iCs/>
      <w:color w:val="404040" w:themeColor="text1" w:themeTint="BF"/>
    </w:rPr>
  </w:style>
  <w:style w:type="paragraph" w:styleId="ListParagraph">
    <w:name w:val="List Paragraph"/>
    <w:basedOn w:val="Normal"/>
    <w:uiPriority w:val="34"/>
    <w:qFormat/>
    <w:rsid w:val="00E738C4"/>
    <w:pPr>
      <w:ind w:left="720"/>
      <w:contextualSpacing/>
    </w:pPr>
  </w:style>
  <w:style w:type="character" w:styleId="IntenseEmphasis">
    <w:name w:val="Intense Emphasis"/>
    <w:basedOn w:val="DefaultParagraphFont"/>
    <w:uiPriority w:val="21"/>
    <w:qFormat/>
    <w:rsid w:val="00E738C4"/>
    <w:rPr>
      <w:i/>
      <w:iCs/>
      <w:color w:val="0F4761" w:themeColor="accent1" w:themeShade="BF"/>
    </w:rPr>
  </w:style>
  <w:style w:type="paragraph" w:styleId="IntenseQuote">
    <w:name w:val="Intense Quote"/>
    <w:basedOn w:val="Normal"/>
    <w:next w:val="Normal"/>
    <w:link w:val="IntenseQuoteChar"/>
    <w:uiPriority w:val="30"/>
    <w:qFormat/>
    <w:rsid w:val="00E738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8C4"/>
    <w:rPr>
      <w:i/>
      <w:iCs/>
      <w:color w:val="0F4761" w:themeColor="accent1" w:themeShade="BF"/>
    </w:rPr>
  </w:style>
  <w:style w:type="character" w:styleId="IntenseReference">
    <w:name w:val="Intense Reference"/>
    <w:basedOn w:val="DefaultParagraphFont"/>
    <w:uiPriority w:val="32"/>
    <w:qFormat/>
    <w:rsid w:val="00E738C4"/>
    <w:rPr>
      <w:b/>
      <w:bCs/>
      <w:smallCaps/>
      <w:color w:val="0F4761" w:themeColor="accent1" w:themeShade="BF"/>
      <w:spacing w:val="5"/>
    </w:rPr>
  </w:style>
  <w:style w:type="character" w:styleId="CommentReference">
    <w:name w:val="annotation reference"/>
    <w:basedOn w:val="DefaultParagraphFont"/>
    <w:uiPriority w:val="99"/>
    <w:semiHidden/>
    <w:unhideWhenUsed/>
    <w:rsid w:val="00752A0C"/>
    <w:rPr>
      <w:sz w:val="16"/>
      <w:szCs w:val="16"/>
    </w:rPr>
  </w:style>
  <w:style w:type="paragraph" w:styleId="CommentText">
    <w:name w:val="annotation text"/>
    <w:basedOn w:val="Normal"/>
    <w:link w:val="CommentTextChar"/>
    <w:uiPriority w:val="99"/>
    <w:unhideWhenUsed/>
    <w:rsid w:val="00752A0C"/>
    <w:pPr>
      <w:spacing w:line="240" w:lineRule="auto"/>
    </w:pPr>
    <w:rPr>
      <w:sz w:val="20"/>
      <w:szCs w:val="20"/>
    </w:rPr>
  </w:style>
  <w:style w:type="character" w:customStyle="1" w:styleId="CommentTextChar">
    <w:name w:val="Comment Text Char"/>
    <w:basedOn w:val="DefaultParagraphFont"/>
    <w:link w:val="CommentText"/>
    <w:uiPriority w:val="99"/>
    <w:rsid w:val="00752A0C"/>
    <w:rPr>
      <w:sz w:val="20"/>
      <w:szCs w:val="20"/>
    </w:rPr>
  </w:style>
  <w:style w:type="table" w:styleId="TableGrid">
    <w:name w:val="Table Grid"/>
    <w:basedOn w:val="TableNormal"/>
    <w:uiPriority w:val="39"/>
    <w:rsid w:val="00EF6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
    <w:name w:val="Grid Table 5 Dark"/>
    <w:basedOn w:val="TableNormal"/>
    <w:uiPriority w:val="50"/>
    <w:rsid w:val="00EF64F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
    <w:name w:val="List Table 4"/>
    <w:basedOn w:val="TableNormal"/>
    <w:uiPriority w:val="49"/>
    <w:rsid w:val="00EF64F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ibliography">
    <w:name w:val="Bibliography"/>
    <w:basedOn w:val="Normal"/>
    <w:next w:val="Normal"/>
    <w:uiPriority w:val="37"/>
    <w:unhideWhenUsed/>
    <w:rsid w:val="009C26D2"/>
    <w:pPr>
      <w:spacing w:after="240" w:line="240" w:lineRule="auto"/>
    </w:pPr>
  </w:style>
  <w:style w:type="paragraph" w:styleId="CommentSubject">
    <w:name w:val="annotation subject"/>
    <w:basedOn w:val="CommentText"/>
    <w:next w:val="CommentText"/>
    <w:link w:val="CommentSubjectChar"/>
    <w:uiPriority w:val="99"/>
    <w:semiHidden/>
    <w:unhideWhenUsed/>
    <w:rsid w:val="00285EBC"/>
    <w:rPr>
      <w:b/>
      <w:bCs/>
    </w:rPr>
  </w:style>
  <w:style w:type="character" w:customStyle="1" w:styleId="CommentSubjectChar">
    <w:name w:val="Comment Subject Char"/>
    <w:basedOn w:val="CommentTextChar"/>
    <w:link w:val="CommentSubject"/>
    <w:uiPriority w:val="99"/>
    <w:semiHidden/>
    <w:rsid w:val="00285EBC"/>
    <w:rPr>
      <w:b/>
      <w:bCs/>
      <w:sz w:val="20"/>
      <w:szCs w:val="20"/>
    </w:rPr>
  </w:style>
  <w:style w:type="paragraph" w:styleId="Header">
    <w:name w:val="header"/>
    <w:basedOn w:val="Normal"/>
    <w:link w:val="HeaderChar"/>
    <w:uiPriority w:val="99"/>
    <w:unhideWhenUsed/>
    <w:rsid w:val="008076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620"/>
    <w:rPr>
      <w:rFonts w:ascii="Calibri" w:hAnsi="Calibri"/>
      <w:sz w:val="24"/>
    </w:rPr>
  </w:style>
  <w:style w:type="paragraph" w:styleId="Footer">
    <w:name w:val="footer"/>
    <w:basedOn w:val="Normal"/>
    <w:link w:val="FooterChar"/>
    <w:uiPriority w:val="99"/>
    <w:unhideWhenUsed/>
    <w:rsid w:val="008076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620"/>
    <w:rPr>
      <w:rFonts w:ascii="Calibri" w:hAnsi="Calibri"/>
      <w:sz w:val="24"/>
    </w:rPr>
  </w:style>
  <w:style w:type="paragraph" w:styleId="Revision">
    <w:name w:val="Revision"/>
    <w:hidden/>
    <w:uiPriority w:val="99"/>
    <w:semiHidden/>
    <w:rsid w:val="00C81020"/>
    <w:pPr>
      <w:spacing w:after="0" w:line="240"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451214">
      <w:bodyDiv w:val="1"/>
      <w:marLeft w:val="0"/>
      <w:marRight w:val="0"/>
      <w:marTop w:val="0"/>
      <w:marBottom w:val="0"/>
      <w:divBdr>
        <w:top w:val="none" w:sz="0" w:space="0" w:color="auto"/>
        <w:left w:val="none" w:sz="0" w:space="0" w:color="auto"/>
        <w:bottom w:val="none" w:sz="0" w:space="0" w:color="auto"/>
        <w:right w:val="none" w:sz="0" w:space="0" w:color="auto"/>
      </w:divBdr>
      <w:divsChild>
        <w:div w:id="1786852113">
          <w:marLeft w:val="0"/>
          <w:marRight w:val="0"/>
          <w:marTop w:val="0"/>
          <w:marBottom w:val="0"/>
          <w:divBdr>
            <w:top w:val="none" w:sz="0" w:space="0" w:color="auto"/>
            <w:left w:val="none" w:sz="0" w:space="0" w:color="auto"/>
            <w:bottom w:val="none" w:sz="0" w:space="0" w:color="auto"/>
            <w:right w:val="none" w:sz="0" w:space="0" w:color="auto"/>
          </w:divBdr>
          <w:divsChild>
            <w:div w:id="993148481">
              <w:marLeft w:val="0"/>
              <w:marRight w:val="0"/>
              <w:marTop w:val="0"/>
              <w:marBottom w:val="0"/>
              <w:divBdr>
                <w:top w:val="none" w:sz="0" w:space="0" w:color="auto"/>
                <w:left w:val="none" w:sz="0" w:space="0" w:color="auto"/>
                <w:bottom w:val="none" w:sz="0" w:space="0" w:color="auto"/>
                <w:right w:val="none" w:sz="0" w:space="0" w:color="auto"/>
              </w:divBdr>
            </w:div>
            <w:div w:id="1332952753">
              <w:marLeft w:val="0"/>
              <w:marRight w:val="0"/>
              <w:marTop w:val="0"/>
              <w:marBottom w:val="0"/>
              <w:divBdr>
                <w:top w:val="none" w:sz="0" w:space="0" w:color="auto"/>
                <w:left w:val="none" w:sz="0" w:space="0" w:color="auto"/>
                <w:bottom w:val="none" w:sz="0" w:space="0" w:color="auto"/>
                <w:right w:val="none" w:sz="0" w:space="0" w:color="auto"/>
              </w:divBdr>
            </w:div>
            <w:div w:id="731776315">
              <w:marLeft w:val="0"/>
              <w:marRight w:val="0"/>
              <w:marTop w:val="0"/>
              <w:marBottom w:val="0"/>
              <w:divBdr>
                <w:top w:val="none" w:sz="0" w:space="0" w:color="auto"/>
                <w:left w:val="none" w:sz="0" w:space="0" w:color="auto"/>
                <w:bottom w:val="none" w:sz="0" w:space="0" w:color="auto"/>
                <w:right w:val="none" w:sz="0" w:space="0" w:color="auto"/>
              </w:divBdr>
            </w:div>
            <w:div w:id="721055684">
              <w:marLeft w:val="0"/>
              <w:marRight w:val="0"/>
              <w:marTop w:val="0"/>
              <w:marBottom w:val="0"/>
              <w:divBdr>
                <w:top w:val="none" w:sz="0" w:space="0" w:color="auto"/>
                <w:left w:val="none" w:sz="0" w:space="0" w:color="auto"/>
                <w:bottom w:val="none" w:sz="0" w:space="0" w:color="auto"/>
                <w:right w:val="none" w:sz="0" w:space="0" w:color="auto"/>
              </w:divBdr>
            </w:div>
            <w:div w:id="121720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85968">
      <w:bodyDiv w:val="1"/>
      <w:marLeft w:val="0"/>
      <w:marRight w:val="0"/>
      <w:marTop w:val="0"/>
      <w:marBottom w:val="0"/>
      <w:divBdr>
        <w:top w:val="none" w:sz="0" w:space="0" w:color="auto"/>
        <w:left w:val="none" w:sz="0" w:space="0" w:color="auto"/>
        <w:bottom w:val="none" w:sz="0" w:space="0" w:color="auto"/>
        <w:right w:val="none" w:sz="0" w:space="0" w:color="auto"/>
      </w:divBdr>
    </w:div>
    <w:div w:id="1140339095">
      <w:bodyDiv w:val="1"/>
      <w:marLeft w:val="0"/>
      <w:marRight w:val="0"/>
      <w:marTop w:val="0"/>
      <w:marBottom w:val="0"/>
      <w:divBdr>
        <w:top w:val="none" w:sz="0" w:space="0" w:color="auto"/>
        <w:left w:val="none" w:sz="0" w:space="0" w:color="auto"/>
        <w:bottom w:val="none" w:sz="0" w:space="0" w:color="auto"/>
        <w:right w:val="none" w:sz="0" w:space="0" w:color="auto"/>
      </w:divBdr>
      <w:divsChild>
        <w:div w:id="1588535327">
          <w:marLeft w:val="0"/>
          <w:marRight w:val="0"/>
          <w:marTop w:val="0"/>
          <w:marBottom w:val="0"/>
          <w:divBdr>
            <w:top w:val="none" w:sz="0" w:space="0" w:color="auto"/>
            <w:left w:val="none" w:sz="0" w:space="0" w:color="auto"/>
            <w:bottom w:val="none" w:sz="0" w:space="0" w:color="auto"/>
            <w:right w:val="none" w:sz="0" w:space="0" w:color="auto"/>
          </w:divBdr>
          <w:divsChild>
            <w:div w:id="90931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8747">
      <w:bodyDiv w:val="1"/>
      <w:marLeft w:val="0"/>
      <w:marRight w:val="0"/>
      <w:marTop w:val="0"/>
      <w:marBottom w:val="0"/>
      <w:divBdr>
        <w:top w:val="none" w:sz="0" w:space="0" w:color="auto"/>
        <w:left w:val="none" w:sz="0" w:space="0" w:color="auto"/>
        <w:bottom w:val="none" w:sz="0" w:space="0" w:color="auto"/>
        <w:right w:val="none" w:sz="0" w:space="0" w:color="auto"/>
      </w:divBdr>
    </w:div>
    <w:div w:id="1548761042">
      <w:bodyDiv w:val="1"/>
      <w:marLeft w:val="0"/>
      <w:marRight w:val="0"/>
      <w:marTop w:val="0"/>
      <w:marBottom w:val="0"/>
      <w:divBdr>
        <w:top w:val="none" w:sz="0" w:space="0" w:color="auto"/>
        <w:left w:val="none" w:sz="0" w:space="0" w:color="auto"/>
        <w:bottom w:val="none" w:sz="0" w:space="0" w:color="auto"/>
        <w:right w:val="none" w:sz="0" w:space="0" w:color="auto"/>
      </w:divBdr>
    </w:div>
    <w:div w:id="1776947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11</Pages>
  <Words>4804</Words>
  <Characters>27389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Marlene</cp:lastModifiedBy>
  <cp:revision>70</cp:revision>
  <dcterms:created xsi:type="dcterms:W3CDTF">2025-05-30T19:38:00Z</dcterms:created>
  <dcterms:modified xsi:type="dcterms:W3CDTF">2025-07-11T10:26:00Z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id="MZU2jsdy"/&gt;&lt;style id="http://www.zotero.org/styles/taylor-and-francis-council-of-science-editors-author-date" hasBibliography="1" bibliographyStyleHasBeenSet="1"/&gt;&lt;prefs&gt;&lt;pref name="fieldType" va</vt:lpwstr>
  </property>
  <property fmtid="{D5CDD505-2E9C-101B-9397-08002B2CF9AE}" pid="3" name="ZOTERO_PREF_2">
    <vt:lpwstr>lue="Field"/&gt;&lt;/prefs&gt;&lt;/data&gt;</vt:lpwstr>
  </property>
</Properties>
</file>