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45C18" w14:textId="273D39B1" w:rsidR="0006494C" w:rsidRPr="000309F2" w:rsidRDefault="0006494C" w:rsidP="0006494C">
      <w:pPr>
        <w:spacing w:after="0" w:line="480" w:lineRule="auto"/>
        <w:jc w:val="center"/>
        <w:rPr>
          <w:rFonts w:ascii="Times New Roman" w:hAnsi="Times New Roman" w:cs="Times New Roman"/>
          <w:b/>
          <w:bCs/>
          <w:color w:val="000000" w:themeColor="text1"/>
          <w:lang w:val="en-US"/>
        </w:rPr>
      </w:pPr>
      <w:r w:rsidRPr="000309F2">
        <w:rPr>
          <w:rFonts w:ascii="Times New Roman" w:hAnsi="Times New Roman" w:cs="Times New Roman"/>
          <w:b/>
          <w:bCs/>
          <w:color w:val="000000" w:themeColor="text1"/>
          <w:lang w:val="en-US"/>
        </w:rPr>
        <w:t xml:space="preserve">Supplementary </w:t>
      </w:r>
      <w:r w:rsidR="000309F2">
        <w:rPr>
          <w:rFonts w:ascii="Times New Roman" w:hAnsi="Times New Roman" w:cs="Times New Roman"/>
          <w:b/>
          <w:bCs/>
          <w:color w:val="000000" w:themeColor="text1"/>
          <w:lang w:val="en-US"/>
        </w:rPr>
        <w:t>Data</w:t>
      </w:r>
    </w:p>
    <w:p w14:paraId="662D610D" w14:textId="2D63DB70" w:rsidR="0006494C" w:rsidRPr="000309F2" w:rsidRDefault="00525CBC" w:rsidP="0006494C">
      <w:pPr>
        <w:spacing w:after="0" w:line="480" w:lineRule="auto"/>
        <w:jc w:val="left"/>
        <w:rPr>
          <w:rFonts w:ascii="Times New Roman" w:eastAsia="Calibri" w:hAnsi="Times New Roman" w:cs="Times New Roman"/>
          <w:i/>
          <w:iCs/>
          <w:color w:val="000000" w:themeColor="text1"/>
          <w:lang w:val="en-US"/>
        </w:rPr>
      </w:pPr>
      <w:r w:rsidRPr="000309F2">
        <w:rPr>
          <w:rFonts w:ascii="Times New Roman" w:eastAsia="Calibri" w:hAnsi="Times New Roman" w:cs="Times New Roman"/>
          <w:b/>
          <w:bCs/>
          <w:color w:val="000000" w:themeColor="text1"/>
          <w:lang w:val="en-US"/>
        </w:rPr>
        <w:t xml:space="preserve">Supplementary 1. </w:t>
      </w:r>
      <w:r w:rsidR="0006494C" w:rsidRPr="000309F2">
        <w:rPr>
          <w:rFonts w:ascii="Times New Roman" w:eastAsia="Calibri" w:hAnsi="Times New Roman" w:cs="Times New Roman"/>
          <w:i/>
          <w:iCs/>
          <w:color w:val="000000" w:themeColor="text1"/>
          <w:lang w:val="en-US"/>
        </w:rPr>
        <w:t>Search terms per database</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4123"/>
        <w:gridCol w:w="1478"/>
        <w:gridCol w:w="1259"/>
        <w:gridCol w:w="864"/>
      </w:tblGrid>
      <w:tr w:rsidR="00B25BDD" w:rsidRPr="000309F2" w14:paraId="3C584F1A" w14:textId="77777777" w:rsidTr="00126314">
        <w:trPr>
          <w:trHeight w:val="417"/>
        </w:trPr>
        <w:tc>
          <w:tcPr>
            <w:tcW w:w="0" w:type="auto"/>
            <w:tcBorders>
              <w:top w:val="single" w:sz="6" w:space="0" w:color="auto"/>
              <w:bottom w:val="single" w:sz="8" w:space="0" w:color="auto"/>
            </w:tcBorders>
            <w:vAlign w:val="center"/>
          </w:tcPr>
          <w:p w14:paraId="75F111CD" w14:textId="77777777" w:rsidR="0006494C" w:rsidRPr="000309F2" w:rsidRDefault="0006494C" w:rsidP="00A50204">
            <w:pPr>
              <w:spacing w:line="240" w:lineRule="auto"/>
              <w:jc w:val="left"/>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Database</w:t>
            </w:r>
          </w:p>
        </w:tc>
        <w:tc>
          <w:tcPr>
            <w:tcW w:w="4123" w:type="dxa"/>
            <w:tcBorders>
              <w:top w:val="single" w:sz="6" w:space="0" w:color="auto"/>
              <w:bottom w:val="single" w:sz="8" w:space="0" w:color="auto"/>
            </w:tcBorders>
            <w:vAlign w:val="center"/>
          </w:tcPr>
          <w:p w14:paraId="3C44DCC2" w14:textId="77777777" w:rsidR="0006494C" w:rsidRPr="000309F2" w:rsidRDefault="0006494C" w:rsidP="00A50204">
            <w:pPr>
              <w:spacing w:line="240" w:lineRule="auto"/>
              <w:jc w:val="center"/>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Search terms</w:t>
            </w:r>
          </w:p>
        </w:tc>
        <w:tc>
          <w:tcPr>
            <w:tcW w:w="1478" w:type="dxa"/>
            <w:tcBorders>
              <w:top w:val="single" w:sz="6" w:space="0" w:color="auto"/>
              <w:bottom w:val="single" w:sz="8" w:space="0" w:color="auto"/>
            </w:tcBorders>
            <w:vAlign w:val="center"/>
          </w:tcPr>
          <w:p w14:paraId="38D5DEE9" w14:textId="77777777" w:rsidR="0006494C" w:rsidRPr="000309F2" w:rsidRDefault="0006494C" w:rsidP="00A50204">
            <w:pPr>
              <w:spacing w:line="240" w:lineRule="auto"/>
              <w:jc w:val="center"/>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Filter</w:t>
            </w:r>
          </w:p>
        </w:tc>
        <w:tc>
          <w:tcPr>
            <w:tcW w:w="1259" w:type="dxa"/>
            <w:tcBorders>
              <w:top w:val="single" w:sz="6" w:space="0" w:color="auto"/>
              <w:bottom w:val="single" w:sz="8" w:space="0" w:color="auto"/>
            </w:tcBorders>
            <w:vAlign w:val="center"/>
          </w:tcPr>
          <w:p w14:paraId="7FD561B7" w14:textId="77777777" w:rsidR="0006494C" w:rsidRPr="000309F2" w:rsidRDefault="0006494C" w:rsidP="00A50204">
            <w:pPr>
              <w:spacing w:line="240" w:lineRule="auto"/>
              <w:jc w:val="center"/>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Date</w:t>
            </w:r>
          </w:p>
        </w:tc>
        <w:tc>
          <w:tcPr>
            <w:tcW w:w="236" w:type="dxa"/>
            <w:tcBorders>
              <w:top w:val="single" w:sz="6" w:space="0" w:color="auto"/>
              <w:bottom w:val="single" w:sz="8" w:space="0" w:color="auto"/>
            </w:tcBorders>
            <w:vAlign w:val="center"/>
          </w:tcPr>
          <w:p w14:paraId="381297DA" w14:textId="77777777" w:rsidR="0006494C" w:rsidRPr="000309F2" w:rsidRDefault="0006494C" w:rsidP="00A50204">
            <w:pPr>
              <w:spacing w:line="240" w:lineRule="auto"/>
              <w:jc w:val="center"/>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Results</w:t>
            </w:r>
          </w:p>
        </w:tc>
      </w:tr>
      <w:tr w:rsidR="00B25BDD" w:rsidRPr="000309F2" w14:paraId="2363EA27" w14:textId="77777777" w:rsidTr="00126314">
        <w:trPr>
          <w:trHeight w:val="576"/>
        </w:trPr>
        <w:tc>
          <w:tcPr>
            <w:tcW w:w="0" w:type="auto"/>
            <w:tcBorders>
              <w:top w:val="single" w:sz="8" w:space="0" w:color="auto"/>
            </w:tcBorders>
            <w:vAlign w:val="center"/>
          </w:tcPr>
          <w:p w14:paraId="22DF682C" w14:textId="77777777" w:rsidR="0006494C" w:rsidRPr="000309F2" w:rsidRDefault="0006494C" w:rsidP="00A50204">
            <w:pPr>
              <w:spacing w:before="120" w:after="120" w:line="276" w:lineRule="auto"/>
              <w:jc w:val="left"/>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PubMed</w:t>
            </w:r>
          </w:p>
        </w:tc>
        <w:tc>
          <w:tcPr>
            <w:tcW w:w="4123" w:type="dxa"/>
            <w:tcBorders>
              <w:top w:val="single" w:sz="8" w:space="0" w:color="auto"/>
            </w:tcBorders>
          </w:tcPr>
          <w:p w14:paraId="6FAC1DA6" w14:textId="77777777" w:rsidR="0006494C" w:rsidRPr="000309F2" w:rsidRDefault="0006494C" w:rsidP="00A50204">
            <w:pPr>
              <w:spacing w:before="120" w:after="120" w:line="276" w:lineRule="auto"/>
              <w:jc w:val="left"/>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(transcranial brain stimulation[Title/Abstract] OR transcranial magnetic stimulation[Title/Abstract] OR theta burst stimulation[Title/Abstract] OR transcranial direct current stimulation[Title/Abstract] OR transcranial electrical stimulation[Title/Abstract] OR transcranial alternating current stimulation[Title/Abstract]) AND (callous[Title/Abstract] OR psychopathy[Title/Abstract] OR empathy[Title/Abstract] OR emotional reactivity[Title/Abstract] OR guilt[Title/Abstract] OR prosocial [Title/Abstract] OR altruis*[Title/Abstract] OR cooperation[Title/Abstract] OR helping behavior [Title/Abstract])</w:t>
            </w:r>
          </w:p>
        </w:tc>
        <w:tc>
          <w:tcPr>
            <w:tcW w:w="1478" w:type="dxa"/>
            <w:tcBorders>
              <w:top w:val="single" w:sz="8" w:space="0" w:color="auto"/>
            </w:tcBorders>
            <w:vAlign w:val="center"/>
          </w:tcPr>
          <w:p w14:paraId="38FA55F4" w14:textId="77777777" w:rsidR="0006494C" w:rsidRPr="000309F2" w:rsidRDefault="0006494C" w:rsidP="00A50204">
            <w:pPr>
              <w:spacing w:before="120" w:after="120" w:line="276" w:lineRule="auto"/>
              <w:jc w:val="left"/>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English, Humans, Child: birth-18 years, Adult: 19+ years, Young Adult: 19-24 years, Adult: 19-44 years, Middle Aged + Aged: 45+ years, Middle Aged: 45-64 years.</w:t>
            </w:r>
          </w:p>
        </w:tc>
        <w:tc>
          <w:tcPr>
            <w:tcW w:w="1259" w:type="dxa"/>
            <w:tcBorders>
              <w:top w:val="single" w:sz="8" w:space="0" w:color="auto"/>
            </w:tcBorders>
            <w:vAlign w:val="center"/>
          </w:tcPr>
          <w:p w14:paraId="76C033CD" w14:textId="77777777" w:rsidR="0006494C" w:rsidRPr="000309F2" w:rsidRDefault="0006494C" w:rsidP="00A50204">
            <w:pPr>
              <w:spacing w:before="120" w:after="120" w:line="276" w:lineRule="auto"/>
              <w:jc w:val="center"/>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25/11/2024</w:t>
            </w:r>
          </w:p>
        </w:tc>
        <w:tc>
          <w:tcPr>
            <w:tcW w:w="236" w:type="dxa"/>
            <w:tcBorders>
              <w:top w:val="single" w:sz="8" w:space="0" w:color="auto"/>
            </w:tcBorders>
            <w:vAlign w:val="center"/>
          </w:tcPr>
          <w:p w14:paraId="46902839" w14:textId="77777777" w:rsidR="0006494C" w:rsidRPr="000309F2" w:rsidRDefault="0006494C" w:rsidP="00A50204">
            <w:pPr>
              <w:spacing w:before="120" w:after="120" w:line="276" w:lineRule="auto"/>
              <w:jc w:val="center"/>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93</w:t>
            </w:r>
          </w:p>
        </w:tc>
      </w:tr>
      <w:tr w:rsidR="00B25BDD" w:rsidRPr="000309F2" w14:paraId="62EADCF9" w14:textId="77777777" w:rsidTr="00126314">
        <w:trPr>
          <w:trHeight w:val="576"/>
        </w:trPr>
        <w:tc>
          <w:tcPr>
            <w:tcW w:w="0" w:type="auto"/>
            <w:vAlign w:val="center"/>
          </w:tcPr>
          <w:p w14:paraId="4B1A8CAB" w14:textId="77777777" w:rsidR="0006494C" w:rsidRPr="000309F2" w:rsidRDefault="0006494C" w:rsidP="00A50204">
            <w:pPr>
              <w:spacing w:before="120" w:after="120" w:line="276" w:lineRule="auto"/>
              <w:jc w:val="left"/>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Web of Science Core Collection</w:t>
            </w:r>
          </w:p>
        </w:tc>
        <w:tc>
          <w:tcPr>
            <w:tcW w:w="4123" w:type="dxa"/>
          </w:tcPr>
          <w:p w14:paraId="5493664B" w14:textId="77777777" w:rsidR="0006494C" w:rsidRPr="000309F2" w:rsidRDefault="0006494C" w:rsidP="00A50204">
            <w:pPr>
              <w:spacing w:before="120" w:after="120" w:line="276" w:lineRule="auto"/>
              <w:jc w:val="left"/>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(TS=(</w:t>
            </w:r>
            <w:bookmarkStart w:id="0" w:name="_Hlk205291761"/>
            <w:r w:rsidRPr="000309F2">
              <w:rPr>
                <w:rFonts w:ascii="Times New Roman" w:eastAsia="Calibri" w:hAnsi="Times New Roman" w:cs="Times New Roman"/>
                <w:color w:val="000000" w:themeColor="text1"/>
                <w:sz w:val="20"/>
                <w:szCs w:val="20"/>
                <w:lang w:val="en-US"/>
              </w:rPr>
              <w:t>transcranial brain stimulation or transcranial magnetic stimulation or theta burst stimulation or transcranial direct current stimulation or transcranial electrical stimulation or transcranial alternating current stimulation)) AND (TS=(callous OR psychopathy OR empathy OR emotional reactivity OR guilt OR prosocial OR altruis* OR cooperation OR helping behavior</w:t>
            </w:r>
            <w:bookmarkEnd w:id="0"/>
            <w:r w:rsidRPr="000309F2">
              <w:rPr>
                <w:rFonts w:ascii="Times New Roman" w:eastAsia="Calibri" w:hAnsi="Times New Roman" w:cs="Times New Roman"/>
                <w:color w:val="000000" w:themeColor="text1"/>
                <w:sz w:val="20"/>
                <w:szCs w:val="20"/>
                <w:lang w:val="en-US"/>
              </w:rPr>
              <w:t>) AND (ALL=((19-44 years OR Adult) OR (45-64 years OR Middle Aged) OR (45+ years OR Middle Aged + Aged))) NOT (TS=(animal))</w:t>
            </w:r>
          </w:p>
        </w:tc>
        <w:tc>
          <w:tcPr>
            <w:tcW w:w="1478" w:type="dxa"/>
            <w:vAlign w:val="center"/>
          </w:tcPr>
          <w:p w14:paraId="35C833D9" w14:textId="77777777" w:rsidR="0006494C" w:rsidRPr="000309F2" w:rsidRDefault="0006494C" w:rsidP="00A50204">
            <w:pPr>
              <w:spacing w:before="120" w:after="120" w:line="276" w:lineRule="auto"/>
              <w:jc w:val="left"/>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Refine terms: Languages (English) + Document Type (Article)</w:t>
            </w:r>
          </w:p>
        </w:tc>
        <w:tc>
          <w:tcPr>
            <w:tcW w:w="1259" w:type="dxa"/>
            <w:vAlign w:val="center"/>
          </w:tcPr>
          <w:p w14:paraId="5C79D52F" w14:textId="77777777" w:rsidR="0006494C" w:rsidRPr="000309F2" w:rsidRDefault="0006494C" w:rsidP="00A50204">
            <w:pPr>
              <w:spacing w:before="120" w:after="120" w:line="276" w:lineRule="auto"/>
              <w:jc w:val="center"/>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28/11/2024</w:t>
            </w:r>
          </w:p>
        </w:tc>
        <w:tc>
          <w:tcPr>
            <w:tcW w:w="236" w:type="dxa"/>
            <w:vAlign w:val="center"/>
          </w:tcPr>
          <w:p w14:paraId="48F4659C" w14:textId="77777777" w:rsidR="0006494C" w:rsidRPr="000309F2" w:rsidRDefault="0006494C" w:rsidP="00A50204">
            <w:pPr>
              <w:spacing w:before="120" w:after="120" w:line="276" w:lineRule="auto"/>
              <w:jc w:val="center"/>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39</w:t>
            </w:r>
          </w:p>
        </w:tc>
      </w:tr>
      <w:tr w:rsidR="0006494C" w:rsidRPr="000309F2" w14:paraId="2D73DA13" w14:textId="77777777" w:rsidTr="00126314">
        <w:trPr>
          <w:trHeight w:val="576"/>
        </w:trPr>
        <w:tc>
          <w:tcPr>
            <w:tcW w:w="0" w:type="auto"/>
            <w:tcBorders>
              <w:bottom w:val="single" w:sz="6" w:space="0" w:color="auto"/>
            </w:tcBorders>
            <w:vAlign w:val="center"/>
          </w:tcPr>
          <w:p w14:paraId="672C2B59" w14:textId="77777777" w:rsidR="0006494C" w:rsidRPr="000309F2" w:rsidRDefault="0006494C" w:rsidP="00A50204">
            <w:pPr>
              <w:spacing w:before="120" w:after="120" w:line="276" w:lineRule="auto"/>
              <w:jc w:val="left"/>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Scopus</w:t>
            </w:r>
          </w:p>
        </w:tc>
        <w:tc>
          <w:tcPr>
            <w:tcW w:w="4123" w:type="dxa"/>
            <w:tcBorders>
              <w:bottom w:val="single" w:sz="6" w:space="0" w:color="auto"/>
            </w:tcBorders>
          </w:tcPr>
          <w:p w14:paraId="2487EEF1" w14:textId="77777777" w:rsidR="0006494C" w:rsidRPr="000309F2" w:rsidRDefault="0006494C" w:rsidP="00A50204">
            <w:pPr>
              <w:spacing w:before="120" w:after="120" w:line="276" w:lineRule="auto"/>
              <w:jc w:val="left"/>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((TITLE-ABS-KEY ("transcranial brain stimulation" OR "transcranial magnetic stimulation" OR "theta burst stimulation" OR "transcranial direct current stimulation" OR "transcranial electrical stimulation" OR "transcranial alternating current stimulation" ) AND TITLE-ABS-KEY ("callous" OR "psychopathy" OR "empathy" OR "emotional reactivity" OR "guilt" OR "prosocial" OR "altruis*" OR "cooperation" OR "helping behavior"))) AND ( adult ) AND ( LIMIT-TO ( DOCTYPE , "ar" ) ) AND ( LIMIT-TO ( LANGUAGE , "English" ) )</w:t>
            </w:r>
          </w:p>
        </w:tc>
        <w:tc>
          <w:tcPr>
            <w:tcW w:w="1478" w:type="dxa"/>
            <w:tcBorders>
              <w:bottom w:val="single" w:sz="6" w:space="0" w:color="auto"/>
            </w:tcBorders>
            <w:vAlign w:val="center"/>
          </w:tcPr>
          <w:p w14:paraId="0DE665D3" w14:textId="77777777" w:rsidR="0006494C" w:rsidRPr="000309F2" w:rsidRDefault="0006494C" w:rsidP="00A50204">
            <w:pPr>
              <w:spacing w:before="120" w:after="120" w:line="276" w:lineRule="auto"/>
              <w:jc w:val="left"/>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N/A</w:t>
            </w:r>
          </w:p>
        </w:tc>
        <w:tc>
          <w:tcPr>
            <w:tcW w:w="1259" w:type="dxa"/>
            <w:tcBorders>
              <w:bottom w:val="single" w:sz="6" w:space="0" w:color="auto"/>
            </w:tcBorders>
            <w:vAlign w:val="center"/>
          </w:tcPr>
          <w:p w14:paraId="5ADD1410" w14:textId="77777777" w:rsidR="0006494C" w:rsidRPr="000309F2" w:rsidRDefault="0006494C" w:rsidP="00A50204">
            <w:pPr>
              <w:spacing w:before="120" w:after="120" w:line="276" w:lineRule="auto"/>
              <w:jc w:val="center"/>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28/11/2024</w:t>
            </w:r>
          </w:p>
        </w:tc>
        <w:tc>
          <w:tcPr>
            <w:tcW w:w="236" w:type="dxa"/>
            <w:tcBorders>
              <w:bottom w:val="single" w:sz="6" w:space="0" w:color="auto"/>
            </w:tcBorders>
            <w:vAlign w:val="center"/>
          </w:tcPr>
          <w:p w14:paraId="6E577D6E" w14:textId="77777777" w:rsidR="0006494C" w:rsidRPr="000309F2" w:rsidRDefault="0006494C" w:rsidP="00A50204">
            <w:pPr>
              <w:spacing w:before="120" w:after="120" w:line="276" w:lineRule="auto"/>
              <w:jc w:val="center"/>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210</w:t>
            </w:r>
          </w:p>
        </w:tc>
      </w:tr>
    </w:tbl>
    <w:p w14:paraId="28B84820" w14:textId="77777777" w:rsidR="0006494C" w:rsidRPr="000309F2" w:rsidRDefault="0006494C" w:rsidP="0006494C">
      <w:pPr>
        <w:spacing w:after="0" w:line="480" w:lineRule="auto"/>
        <w:jc w:val="left"/>
        <w:rPr>
          <w:rFonts w:ascii="Times New Roman" w:eastAsia="Calibri" w:hAnsi="Times New Roman" w:cs="Times New Roman"/>
          <w:b/>
          <w:bCs/>
          <w:color w:val="000000" w:themeColor="text1"/>
          <w:lang w:val="en-US"/>
        </w:rPr>
        <w:sectPr w:rsidR="0006494C" w:rsidRPr="000309F2" w:rsidSect="00ED75E2">
          <w:pgSz w:w="11906" w:h="16838"/>
          <w:pgMar w:top="1440" w:right="1440" w:bottom="1440" w:left="1440" w:header="720" w:footer="720" w:gutter="0"/>
          <w:cols w:space="720"/>
          <w:docGrid w:linePitch="360"/>
        </w:sectPr>
      </w:pPr>
    </w:p>
    <w:p w14:paraId="059B1178" w14:textId="129DFDCC" w:rsidR="00B15A7B" w:rsidRPr="000309F2" w:rsidRDefault="00B15A7B" w:rsidP="00B15A7B">
      <w:pPr>
        <w:spacing w:after="0" w:line="480" w:lineRule="auto"/>
        <w:jc w:val="left"/>
        <w:rPr>
          <w:rFonts w:ascii="Times New Roman" w:eastAsia="Calibri" w:hAnsi="Times New Roman" w:cs="Times New Roman"/>
          <w:color w:val="000000" w:themeColor="text1"/>
          <w:lang w:val="en-US"/>
        </w:rPr>
      </w:pPr>
      <w:r w:rsidRPr="000309F2">
        <w:rPr>
          <w:rFonts w:ascii="Times New Roman" w:eastAsia="Calibri" w:hAnsi="Times New Roman" w:cs="Times New Roman"/>
          <w:b/>
          <w:bCs/>
          <w:color w:val="000000" w:themeColor="text1"/>
          <w:lang w:val="en-US"/>
        </w:rPr>
        <w:lastRenderedPageBreak/>
        <w:t xml:space="preserve">Supplementary </w:t>
      </w:r>
      <w:r w:rsidR="00D34552" w:rsidRPr="000309F2">
        <w:rPr>
          <w:rFonts w:ascii="Times New Roman" w:eastAsia="Calibri" w:hAnsi="Times New Roman" w:cs="Times New Roman"/>
          <w:b/>
          <w:bCs/>
          <w:color w:val="000000" w:themeColor="text1"/>
          <w:lang w:val="en-US"/>
        </w:rPr>
        <w:t>2</w:t>
      </w:r>
      <w:r w:rsidRPr="000309F2">
        <w:rPr>
          <w:rFonts w:ascii="Times New Roman" w:eastAsia="Calibri" w:hAnsi="Times New Roman" w:cs="Times New Roman"/>
          <w:b/>
          <w:bCs/>
          <w:color w:val="000000" w:themeColor="text1"/>
          <w:lang w:val="en-US"/>
        </w:rPr>
        <w:t xml:space="preserve">. </w:t>
      </w:r>
      <w:r w:rsidR="00C57CC8" w:rsidRPr="000309F2">
        <w:rPr>
          <w:rFonts w:ascii="Times New Roman" w:eastAsia="Calibri" w:hAnsi="Times New Roman" w:cs="Times New Roman"/>
          <w:i/>
          <w:iCs/>
          <w:color w:val="000000" w:themeColor="text1"/>
          <w:lang w:val="en-US"/>
        </w:rPr>
        <w:t>Excluded studies with reasons based on PICO criteria</w:t>
      </w:r>
      <w:r w:rsidRPr="000309F2">
        <w:rPr>
          <w:rFonts w:ascii="Times New Roman" w:eastAsia="Calibri" w:hAnsi="Times New Roman" w:cs="Times New Roman"/>
          <w:i/>
          <w:iCs/>
          <w:color w:val="000000" w:themeColor="text1"/>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84"/>
        <w:gridCol w:w="2336"/>
      </w:tblGrid>
      <w:tr w:rsidR="00B25BDD" w:rsidRPr="000309F2" w14:paraId="069B42FF" w14:textId="77777777" w:rsidTr="00B25BDD">
        <w:trPr>
          <w:trHeight w:val="432"/>
        </w:trPr>
        <w:tc>
          <w:tcPr>
            <w:tcW w:w="0" w:type="auto"/>
            <w:tcBorders>
              <w:top w:val="single" w:sz="6" w:space="0" w:color="auto"/>
              <w:bottom w:val="single" w:sz="4" w:space="0" w:color="auto"/>
            </w:tcBorders>
            <w:vAlign w:val="center"/>
          </w:tcPr>
          <w:p w14:paraId="555D83E4" w14:textId="77777777" w:rsidR="00B25BDD" w:rsidRPr="000309F2" w:rsidRDefault="00B25BDD" w:rsidP="00126314">
            <w:pPr>
              <w:spacing w:line="240" w:lineRule="auto"/>
              <w:jc w:val="left"/>
              <w:rPr>
                <w:rFonts w:ascii="Times New Roman" w:eastAsia="Calibri" w:hAnsi="Times New Roman" w:cs="Times New Roman"/>
                <w:color w:val="000000" w:themeColor="text1"/>
                <w:lang w:val="en-US"/>
              </w:rPr>
            </w:pPr>
            <w:r w:rsidRPr="000309F2">
              <w:rPr>
                <w:rFonts w:ascii="Times New Roman" w:eastAsia="Calibri" w:hAnsi="Times New Roman" w:cs="Times New Roman"/>
                <w:color w:val="000000" w:themeColor="text1"/>
                <w:lang w:val="en-US"/>
              </w:rPr>
              <w:t>Criteria</w:t>
            </w:r>
          </w:p>
        </w:tc>
        <w:tc>
          <w:tcPr>
            <w:tcW w:w="0" w:type="auto"/>
            <w:tcBorders>
              <w:top w:val="single" w:sz="6" w:space="0" w:color="auto"/>
              <w:bottom w:val="single" w:sz="4" w:space="0" w:color="auto"/>
            </w:tcBorders>
            <w:vAlign w:val="center"/>
          </w:tcPr>
          <w:p w14:paraId="7F99A973" w14:textId="77777777" w:rsidR="00B25BDD" w:rsidRPr="000309F2" w:rsidRDefault="00B25BDD" w:rsidP="00126314">
            <w:pPr>
              <w:spacing w:line="240" w:lineRule="auto"/>
              <w:jc w:val="center"/>
              <w:rPr>
                <w:rFonts w:ascii="Times New Roman" w:eastAsia="Calibri" w:hAnsi="Times New Roman" w:cs="Times New Roman"/>
                <w:color w:val="000000" w:themeColor="text1"/>
                <w:lang w:val="en-US"/>
              </w:rPr>
            </w:pPr>
            <w:r w:rsidRPr="000309F2">
              <w:rPr>
                <w:rFonts w:ascii="Times New Roman" w:eastAsia="Calibri" w:hAnsi="Times New Roman" w:cs="Times New Roman"/>
                <w:color w:val="000000" w:themeColor="text1"/>
                <w:lang w:val="en-US"/>
              </w:rPr>
              <w:t>Reason</w:t>
            </w:r>
          </w:p>
        </w:tc>
        <w:tc>
          <w:tcPr>
            <w:tcW w:w="0" w:type="auto"/>
            <w:tcBorders>
              <w:top w:val="single" w:sz="6" w:space="0" w:color="auto"/>
              <w:bottom w:val="single" w:sz="4" w:space="0" w:color="auto"/>
            </w:tcBorders>
            <w:vAlign w:val="center"/>
          </w:tcPr>
          <w:p w14:paraId="4506A8FF" w14:textId="7CF18011" w:rsidR="00B25BDD" w:rsidRPr="000309F2" w:rsidRDefault="00B25BDD" w:rsidP="00126314">
            <w:pPr>
              <w:spacing w:line="240" w:lineRule="auto"/>
              <w:jc w:val="left"/>
              <w:rPr>
                <w:rFonts w:ascii="Times New Roman" w:eastAsia="Calibri" w:hAnsi="Times New Roman" w:cs="Times New Roman"/>
                <w:color w:val="000000" w:themeColor="text1"/>
                <w:lang w:val="en-US"/>
              </w:rPr>
            </w:pPr>
            <w:r w:rsidRPr="000309F2">
              <w:rPr>
                <w:rFonts w:ascii="Times New Roman" w:eastAsia="Calibri" w:hAnsi="Times New Roman" w:cs="Times New Roman"/>
                <w:color w:val="000000" w:themeColor="text1"/>
                <w:lang w:val="en-US"/>
              </w:rPr>
              <w:t>Number of exclusions</w:t>
            </w:r>
          </w:p>
        </w:tc>
      </w:tr>
      <w:tr w:rsidR="00B25BDD" w:rsidRPr="000309F2" w14:paraId="155F9E14" w14:textId="77777777" w:rsidTr="00B25BDD">
        <w:trPr>
          <w:trHeight w:val="360"/>
        </w:trPr>
        <w:tc>
          <w:tcPr>
            <w:tcW w:w="0" w:type="auto"/>
            <w:vMerge w:val="restart"/>
            <w:tcBorders>
              <w:top w:val="single" w:sz="4" w:space="0" w:color="auto"/>
            </w:tcBorders>
            <w:vAlign w:val="center"/>
          </w:tcPr>
          <w:p w14:paraId="0D65D1FC" w14:textId="77777777"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Article</w:t>
            </w:r>
          </w:p>
        </w:tc>
        <w:tc>
          <w:tcPr>
            <w:tcW w:w="0" w:type="auto"/>
            <w:tcBorders>
              <w:top w:val="single" w:sz="4" w:space="0" w:color="auto"/>
            </w:tcBorders>
            <w:vAlign w:val="center"/>
          </w:tcPr>
          <w:p w14:paraId="16355D82" w14:textId="77777777"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Review article/meta-analysis</w:t>
            </w:r>
          </w:p>
        </w:tc>
        <w:tc>
          <w:tcPr>
            <w:tcW w:w="0" w:type="auto"/>
            <w:tcBorders>
              <w:top w:val="single" w:sz="4" w:space="0" w:color="auto"/>
            </w:tcBorders>
            <w:vAlign w:val="center"/>
          </w:tcPr>
          <w:p w14:paraId="1850F71B" w14:textId="77777777" w:rsidR="00B25BDD" w:rsidRPr="000309F2" w:rsidRDefault="00B25BDD" w:rsidP="00126314">
            <w:pPr>
              <w:spacing w:line="240" w:lineRule="auto"/>
              <w:jc w:val="center"/>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41</w:t>
            </w:r>
          </w:p>
        </w:tc>
      </w:tr>
      <w:tr w:rsidR="00B25BDD" w:rsidRPr="000309F2" w14:paraId="31287B28" w14:textId="77777777" w:rsidTr="00B25BDD">
        <w:trPr>
          <w:trHeight w:val="360"/>
        </w:trPr>
        <w:tc>
          <w:tcPr>
            <w:tcW w:w="0" w:type="auto"/>
            <w:vMerge/>
            <w:vAlign w:val="center"/>
          </w:tcPr>
          <w:p w14:paraId="10403092" w14:textId="77777777"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p>
        </w:tc>
        <w:tc>
          <w:tcPr>
            <w:tcW w:w="0" w:type="auto"/>
            <w:vAlign w:val="center"/>
          </w:tcPr>
          <w:p w14:paraId="09941993" w14:textId="77777777"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Commentary/discussion</w:t>
            </w:r>
          </w:p>
        </w:tc>
        <w:tc>
          <w:tcPr>
            <w:tcW w:w="0" w:type="auto"/>
            <w:vAlign w:val="center"/>
          </w:tcPr>
          <w:p w14:paraId="11A5C94A" w14:textId="77777777" w:rsidR="00B25BDD" w:rsidRPr="000309F2" w:rsidRDefault="00B25BDD" w:rsidP="00126314">
            <w:pPr>
              <w:spacing w:line="240" w:lineRule="auto"/>
              <w:jc w:val="center"/>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5</w:t>
            </w:r>
          </w:p>
        </w:tc>
      </w:tr>
      <w:tr w:rsidR="00B25BDD" w:rsidRPr="000309F2" w14:paraId="12168265" w14:textId="77777777" w:rsidTr="00B25BDD">
        <w:trPr>
          <w:trHeight w:val="360"/>
        </w:trPr>
        <w:tc>
          <w:tcPr>
            <w:tcW w:w="0" w:type="auto"/>
            <w:vMerge/>
            <w:vAlign w:val="center"/>
          </w:tcPr>
          <w:p w14:paraId="79098126" w14:textId="77777777"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p>
        </w:tc>
        <w:tc>
          <w:tcPr>
            <w:tcW w:w="0" w:type="auto"/>
            <w:vAlign w:val="center"/>
          </w:tcPr>
          <w:p w14:paraId="7CAC83EA" w14:textId="77777777"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Study protocol but not result of a study</w:t>
            </w:r>
          </w:p>
        </w:tc>
        <w:tc>
          <w:tcPr>
            <w:tcW w:w="0" w:type="auto"/>
            <w:vAlign w:val="center"/>
          </w:tcPr>
          <w:p w14:paraId="014DA49E" w14:textId="77777777" w:rsidR="00B25BDD" w:rsidRPr="000309F2" w:rsidRDefault="00B25BDD" w:rsidP="00126314">
            <w:pPr>
              <w:spacing w:line="240" w:lineRule="auto"/>
              <w:jc w:val="center"/>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4</w:t>
            </w:r>
          </w:p>
        </w:tc>
      </w:tr>
      <w:tr w:rsidR="00B25BDD" w:rsidRPr="000309F2" w14:paraId="0ECE8AC3" w14:textId="77777777" w:rsidTr="00B25BDD">
        <w:trPr>
          <w:trHeight w:val="360"/>
        </w:trPr>
        <w:tc>
          <w:tcPr>
            <w:tcW w:w="0" w:type="auto"/>
            <w:vMerge w:val="restart"/>
            <w:vAlign w:val="center"/>
          </w:tcPr>
          <w:p w14:paraId="04952051" w14:textId="77777777"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Population</w:t>
            </w:r>
          </w:p>
        </w:tc>
        <w:tc>
          <w:tcPr>
            <w:tcW w:w="0" w:type="auto"/>
            <w:vAlign w:val="center"/>
          </w:tcPr>
          <w:p w14:paraId="6805876C" w14:textId="77777777"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Does not include human participants</w:t>
            </w:r>
          </w:p>
        </w:tc>
        <w:tc>
          <w:tcPr>
            <w:tcW w:w="0" w:type="auto"/>
            <w:vAlign w:val="center"/>
          </w:tcPr>
          <w:p w14:paraId="37292113" w14:textId="77777777" w:rsidR="00B25BDD" w:rsidRPr="000309F2" w:rsidRDefault="00B25BDD" w:rsidP="00126314">
            <w:pPr>
              <w:spacing w:line="240" w:lineRule="auto"/>
              <w:jc w:val="center"/>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1</w:t>
            </w:r>
          </w:p>
        </w:tc>
      </w:tr>
      <w:tr w:rsidR="00B25BDD" w:rsidRPr="000309F2" w14:paraId="7EAAC232" w14:textId="77777777" w:rsidTr="00B25BDD">
        <w:trPr>
          <w:trHeight w:val="360"/>
        </w:trPr>
        <w:tc>
          <w:tcPr>
            <w:tcW w:w="0" w:type="auto"/>
            <w:vMerge/>
            <w:vAlign w:val="center"/>
          </w:tcPr>
          <w:p w14:paraId="24AE0819" w14:textId="77777777"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p>
        </w:tc>
        <w:tc>
          <w:tcPr>
            <w:tcW w:w="0" w:type="auto"/>
            <w:vAlign w:val="center"/>
          </w:tcPr>
          <w:p w14:paraId="437975D5" w14:textId="570410BE"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Includes participants with major neurological condition</w:t>
            </w:r>
            <w:r w:rsidR="000309F2">
              <w:rPr>
                <w:rFonts w:ascii="Times New Roman" w:eastAsia="Calibri" w:hAnsi="Times New Roman" w:cs="Times New Roman"/>
                <w:color w:val="000000" w:themeColor="text1"/>
                <w:sz w:val="22"/>
                <w:szCs w:val="22"/>
                <w:lang w:val="en-US"/>
              </w:rPr>
              <w:t>s</w:t>
            </w:r>
          </w:p>
        </w:tc>
        <w:tc>
          <w:tcPr>
            <w:tcW w:w="0" w:type="auto"/>
            <w:vAlign w:val="center"/>
          </w:tcPr>
          <w:p w14:paraId="25AA428C" w14:textId="77777777" w:rsidR="00B25BDD" w:rsidRPr="000309F2" w:rsidRDefault="00B25BDD" w:rsidP="00126314">
            <w:pPr>
              <w:spacing w:line="240" w:lineRule="auto"/>
              <w:jc w:val="center"/>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3</w:t>
            </w:r>
          </w:p>
        </w:tc>
      </w:tr>
      <w:tr w:rsidR="00B25BDD" w:rsidRPr="000309F2" w14:paraId="2425D8DD" w14:textId="77777777" w:rsidTr="00B25BDD">
        <w:trPr>
          <w:trHeight w:val="360"/>
        </w:trPr>
        <w:tc>
          <w:tcPr>
            <w:tcW w:w="0" w:type="auto"/>
            <w:vAlign w:val="center"/>
          </w:tcPr>
          <w:p w14:paraId="77E900C1" w14:textId="77777777"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Intervention</w:t>
            </w:r>
          </w:p>
        </w:tc>
        <w:tc>
          <w:tcPr>
            <w:tcW w:w="0" w:type="auto"/>
            <w:vAlign w:val="center"/>
          </w:tcPr>
          <w:p w14:paraId="40CEF169" w14:textId="77777777"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Does not include a NIBS intervention</w:t>
            </w:r>
          </w:p>
        </w:tc>
        <w:tc>
          <w:tcPr>
            <w:tcW w:w="0" w:type="auto"/>
            <w:vAlign w:val="center"/>
          </w:tcPr>
          <w:p w14:paraId="5E102860" w14:textId="77777777" w:rsidR="00B25BDD" w:rsidRPr="000309F2" w:rsidRDefault="00B25BDD" w:rsidP="00126314">
            <w:pPr>
              <w:spacing w:line="240" w:lineRule="auto"/>
              <w:jc w:val="center"/>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7</w:t>
            </w:r>
          </w:p>
        </w:tc>
      </w:tr>
      <w:tr w:rsidR="00B25BDD" w:rsidRPr="000309F2" w14:paraId="0277729F" w14:textId="77777777" w:rsidTr="00B25BDD">
        <w:trPr>
          <w:trHeight w:val="360"/>
        </w:trPr>
        <w:tc>
          <w:tcPr>
            <w:tcW w:w="0" w:type="auto"/>
            <w:vMerge w:val="restart"/>
            <w:vAlign w:val="center"/>
          </w:tcPr>
          <w:p w14:paraId="5AFD591F" w14:textId="77777777"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Comparison</w:t>
            </w:r>
          </w:p>
        </w:tc>
        <w:tc>
          <w:tcPr>
            <w:tcW w:w="0" w:type="auto"/>
            <w:vAlign w:val="center"/>
          </w:tcPr>
          <w:p w14:paraId="4450D500" w14:textId="77777777"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Does not include a control stimulation group</w:t>
            </w:r>
          </w:p>
        </w:tc>
        <w:tc>
          <w:tcPr>
            <w:tcW w:w="0" w:type="auto"/>
            <w:vAlign w:val="center"/>
          </w:tcPr>
          <w:p w14:paraId="6C083990" w14:textId="77777777" w:rsidR="00B25BDD" w:rsidRPr="000309F2" w:rsidRDefault="00B25BDD" w:rsidP="00126314">
            <w:pPr>
              <w:spacing w:line="240" w:lineRule="auto"/>
              <w:jc w:val="center"/>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2</w:t>
            </w:r>
          </w:p>
        </w:tc>
      </w:tr>
      <w:tr w:rsidR="00B25BDD" w:rsidRPr="000309F2" w14:paraId="26121DB1" w14:textId="77777777" w:rsidTr="00B25BDD">
        <w:trPr>
          <w:trHeight w:val="360"/>
        </w:trPr>
        <w:tc>
          <w:tcPr>
            <w:tcW w:w="0" w:type="auto"/>
            <w:vMerge/>
            <w:vAlign w:val="center"/>
          </w:tcPr>
          <w:p w14:paraId="3B74E639" w14:textId="77777777"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p>
        </w:tc>
        <w:tc>
          <w:tcPr>
            <w:tcW w:w="0" w:type="auto"/>
            <w:vAlign w:val="center"/>
          </w:tcPr>
          <w:p w14:paraId="0EB0F5D9" w14:textId="77777777"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Case study</w:t>
            </w:r>
          </w:p>
        </w:tc>
        <w:tc>
          <w:tcPr>
            <w:tcW w:w="0" w:type="auto"/>
            <w:vAlign w:val="center"/>
          </w:tcPr>
          <w:p w14:paraId="35D447D8" w14:textId="77777777" w:rsidR="00B25BDD" w:rsidRPr="000309F2" w:rsidRDefault="00B25BDD" w:rsidP="00126314">
            <w:pPr>
              <w:spacing w:line="240" w:lineRule="auto"/>
              <w:jc w:val="center"/>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2</w:t>
            </w:r>
          </w:p>
        </w:tc>
      </w:tr>
      <w:tr w:rsidR="00B25BDD" w:rsidRPr="000309F2" w14:paraId="72694D0A" w14:textId="77777777" w:rsidTr="00B25BDD">
        <w:trPr>
          <w:trHeight w:val="360"/>
        </w:trPr>
        <w:tc>
          <w:tcPr>
            <w:tcW w:w="0" w:type="auto"/>
            <w:vMerge w:val="restart"/>
            <w:vAlign w:val="center"/>
          </w:tcPr>
          <w:p w14:paraId="2009D97B" w14:textId="77777777"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Outcome</w:t>
            </w:r>
          </w:p>
        </w:tc>
        <w:tc>
          <w:tcPr>
            <w:tcW w:w="0" w:type="auto"/>
            <w:vAlign w:val="center"/>
          </w:tcPr>
          <w:p w14:paraId="34E916C8" w14:textId="2D8DF625"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Does not investigate target outcome</w:t>
            </w:r>
          </w:p>
        </w:tc>
        <w:tc>
          <w:tcPr>
            <w:tcW w:w="0" w:type="auto"/>
            <w:vAlign w:val="center"/>
          </w:tcPr>
          <w:p w14:paraId="6D1BBAFD" w14:textId="77777777" w:rsidR="00B25BDD" w:rsidRPr="000309F2" w:rsidRDefault="00B25BDD" w:rsidP="00126314">
            <w:pPr>
              <w:spacing w:line="240" w:lineRule="auto"/>
              <w:jc w:val="center"/>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40</w:t>
            </w:r>
          </w:p>
        </w:tc>
      </w:tr>
      <w:tr w:rsidR="00B25BDD" w:rsidRPr="000309F2" w14:paraId="217B7F35" w14:textId="77777777" w:rsidTr="00B25BDD">
        <w:trPr>
          <w:trHeight w:val="360"/>
        </w:trPr>
        <w:tc>
          <w:tcPr>
            <w:tcW w:w="0" w:type="auto"/>
            <w:vMerge/>
            <w:vAlign w:val="center"/>
          </w:tcPr>
          <w:p w14:paraId="4CBD7BC2" w14:textId="77777777"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p>
        </w:tc>
        <w:tc>
          <w:tcPr>
            <w:tcW w:w="0" w:type="auto"/>
            <w:vAlign w:val="center"/>
          </w:tcPr>
          <w:p w14:paraId="1C419686" w14:textId="1FC78F85"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Does not include behavioral measure of target outcome</w:t>
            </w:r>
          </w:p>
        </w:tc>
        <w:tc>
          <w:tcPr>
            <w:tcW w:w="0" w:type="auto"/>
            <w:vAlign w:val="center"/>
          </w:tcPr>
          <w:p w14:paraId="1B384C61" w14:textId="77777777" w:rsidR="00B25BDD" w:rsidRPr="000309F2" w:rsidRDefault="00B25BDD" w:rsidP="00126314">
            <w:pPr>
              <w:spacing w:line="240" w:lineRule="auto"/>
              <w:jc w:val="center"/>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46</w:t>
            </w:r>
          </w:p>
        </w:tc>
      </w:tr>
      <w:tr w:rsidR="00B25BDD" w:rsidRPr="000309F2" w14:paraId="4535FB57" w14:textId="77777777" w:rsidTr="00B25BDD">
        <w:trPr>
          <w:trHeight w:val="360"/>
        </w:trPr>
        <w:tc>
          <w:tcPr>
            <w:tcW w:w="0" w:type="auto"/>
            <w:vMerge/>
            <w:vAlign w:val="center"/>
          </w:tcPr>
          <w:p w14:paraId="58F64C8E" w14:textId="77777777"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p>
        </w:tc>
        <w:tc>
          <w:tcPr>
            <w:tcW w:w="0" w:type="auto"/>
            <w:vAlign w:val="center"/>
          </w:tcPr>
          <w:p w14:paraId="7BE3D6BF" w14:textId="4C576B92"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Missing data for quantitative analysis</w:t>
            </w:r>
          </w:p>
        </w:tc>
        <w:tc>
          <w:tcPr>
            <w:tcW w:w="0" w:type="auto"/>
            <w:vAlign w:val="center"/>
          </w:tcPr>
          <w:p w14:paraId="6EB2648E" w14:textId="70BFC09F" w:rsidR="00B25BDD" w:rsidRPr="000309F2" w:rsidRDefault="00B25BDD" w:rsidP="00126314">
            <w:pPr>
              <w:spacing w:line="240" w:lineRule="auto"/>
              <w:jc w:val="center"/>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2</w:t>
            </w:r>
          </w:p>
        </w:tc>
      </w:tr>
      <w:tr w:rsidR="00B25BDD" w:rsidRPr="000309F2" w14:paraId="4549574E" w14:textId="77777777" w:rsidTr="00B25BDD">
        <w:trPr>
          <w:trHeight w:val="360"/>
        </w:trPr>
        <w:tc>
          <w:tcPr>
            <w:tcW w:w="0" w:type="auto"/>
            <w:tcBorders>
              <w:bottom w:val="single" w:sz="4" w:space="0" w:color="auto"/>
            </w:tcBorders>
            <w:vAlign w:val="center"/>
          </w:tcPr>
          <w:p w14:paraId="19CBDB37" w14:textId="77777777"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Other</w:t>
            </w:r>
          </w:p>
        </w:tc>
        <w:tc>
          <w:tcPr>
            <w:tcW w:w="0" w:type="auto"/>
            <w:tcBorders>
              <w:bottom w:val="single" w:sz="4" w:space="0" w:color="auto"/>
            </w:tcBorders>
            <w:vAlign w:val="center"/>
          </w:tcPr>
          <w:p w14:paraId="3CA580FB" w14:textId="77777777" w:rsidR="00B25BDD" w:rsidRPr="000309F2" w:rsidRDefault="00B25BDD" w:rsidP="00126314">
            <w:pPr>
              <w:spacing w:line="240" w:lineRule="auto"/>
              <w:jc w:val="left"/>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Unrelated topic</w:t>
            </w:r>
          </w:p>
        </w:tc>
        <w:tc>
          <w:tcPr>
            <w:tcW w:w="0" w:type="auto"/>
            <w:tcBorders>
              <w:bottom w:val="single" w:sz="4" w:space="0" w:color="auto"/>
            </w:tcBorders>
            <w:vAlign w:val="center"/>
          </w:tcPr>
          <w:p w14:paraId="3451F946" w14:textId="77777777" w:rsidR="00B25BDD" w:rsidRPr="000309F2" w:rsidRDefault="00B25BDD" w:rsidP="00126314">
            <w:pPr>
              <w:spacing w:line="240" w:lineRule="auto"/>
              <w:jc w:val="center"/>
              <w:rPr>
                <w:rFonts w:ascii="Times New Roman" w:eastAsia="Calibri" w:hAnsi="Times New Roman" w:cs="Times New Roman"/>
                <w:color w:val="000000" w:themeColor="text1"/>
                <w:sz w:val="22"/>
                <w:szCs w:val="22"/>
                <w:lang w:val="en-US"/>
              </w:rPr>
            </w:pPr>
            <w:r w:rsidRPr="000309F2">
              <w:rPr>
                <w:rFonts w:ascii="Times New Roman" w:eastAsia="Calibri" w:hAnsi="Times New Roman" w:cs="Times New Roman"/>
                <w:color w:val="000000" w:themeColor="text1"/>
                <w:sz w:val="22"/>
                <w:szCs w:val="22"/>
                <w:lang w:val="en-US"/>
              </w:rPr>
              <w:t>82</w:t>
            </w:r>
          </w:p>
        </w:tc>
      </w:tr>
    </w:tbl>
    <w:p w14:paraId="32E3B700" w14:textId="77777777" w:rsidR="00C57CC8" w:rsidRPr="000309F2" w:rsidRDefault="00C57CC8" w:rsidP="0006494C">
      <w:pPr>
        <w:spacing w:after="0" w:line="480" w:lineRule="auto"/>
        <w:jc w:val="left"/>
        <w:rPr>
          <w:rFonts w:ascii="Times New Roman" w:eastAsia="Calibri" w:hAnsi="Times New Roman" w:cs="Times New Roman"/>
          <w:b/>
          <w:bCs/>
          <w:color w:val="000000" w:themeColor="text1"/>
          <w:lang w:val="en-US"/>
        </w:rPr>
        <w:sectPr w:rsidR="00C57CC8" w:rsidRPr="000309F2" w:rsidSect="0006494C">
          <w:headerReference w:type="default" r:id="rId8"/>
          <w:pgSz w:w="11906" w:h="16838"/>
          <w:pgMar w:top="1440" w:right="1440" w:bottom="1440" w:left="1440" w:header="720" w:footer="720" w:gutter="0"/>
          <w:cols w:space="720"/>
          <w:docGrid w:linePitch="360"/>
        </w:sectPr>
      </w:pPr>
    </w:p>
    <w:p w14:paraId="285D2902" w14:textId="72D8327E" w:rsidR="00156BB0" w:rsidRPr="000309F2" w:rsidRDefault="0006494C" w:rsidP="00156BB0">
      <w:pPr>
        <w:spacing w:after="0" w:line="480" w:lineRule="auto"/>
        <w:rPr>
          <w:rFonts w:ascii="Times New Roman" w:eastAsia="Calibri" w:hAnsi="Times New Roman" w:cs="Times New Roman"/>
          <w:i/>
          <w:iCs/>
          <w:color w:val="000000" w:themeColor="text1"/>
          <w:lang w:val="en-US"/>
        </w:rPr>
      </w:pPr>
      <w:r w:rsidRPr="000309F2">
        <w:rPr>
          <w:rFonts w:ascii="Times New Roman" w:eastAsia="Calibri" w:hAnsi="Times New Roman" w:cs="Times New Roman"/>
          <w:b/>
          <w:bCs/>
          <w:color w:val="000000" w:themeColor="text1"/>
          <w:lang w:val="en-US"/>
        </w:rPr>
        <w:lastRenderedPageBreak/>
        <w:t xml:space="preserve">Supplementary </w:t>
      </w:r>
      <w:r w:rsidR="00156BB0" w:rsidRPr="000309F2">
        <w:rPr>
          <w:rFonts w:ascii="Times New Roman" w:eastAsia="Calibri" w:hAnsi="Times New Roman" w:cs="Times New Roman"/>
          <w:b/>
          <w:bCs/>
          <w:color w:val="000000" w:themeColor="text1"/>
          <w:lang w:val="en-US"/>
        </w:rPr>
        <w:t>3</w:t>
      </w:r>
      <w:r w:rsidRPr="000309F2">
        <w:rPr>
          <w:rFonts w:ascii="Times New Roman" w:eastAsia="Calibri" w:hAnsi="Times New Roman" w:cs="Times New Roman"/>
          <w:b/>
          <w:bCs/>
          <w:color w:val="000000" w:themeColor="text1"/>
          <w:lang w:val="en-US"/>
        </w:rPr>
        <w:t xml:space="preserve">. </w:t>
      </w:r>
      <w:r w:rsidR="00156BB0" w:rsidRPr="000309F2">
        <w:rPr>
          <w:rFonts w:ascii="Times New Roman" w:eastAsia="Calibri" w:hAnsi="Times New Roman" w:cs="Times New Roman"/>
          <w:b/>
          <w:bCs/>
          <w:color w:val="000000" w:themeColor="text1"/>
          <w:lang w:val="en-US"/>
        </w:rPr>
        <w:t xml:space="preserve"> </w:t>
      </w:r>
      <w:r w:rsidR="00156BB0" w:rsidRPr="000309F2">
        <w:rPr>
          <w:rFonts w:ascii="Times New Roman" w:eastAsia="Calibri" w:hAnsi="Times New Roman" w:cs="Times New Roman"/>
          <w:i/>
          <w:iCs/>
          <w:color w:val="000000" w:themeColor="text1"/>
          <w:lang w:val="en-US"/>
        </w:rPr>
        <w:t>Description of study measures</w:t>
      </w:r>
    </w:p>
    <w:tbl>
      <w:tblPr>
        <w:tblStyle w:val="TableGrid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3"/>
        <w:gridCol w:w="7013"/>
      </w:tblGrid>
      <w:tr w:rsidR="00B25BDD" w:rsidRPr="000309F2" w14:paraId="1D34E3C6" w14:textId="77777777" w:rsidTr="00AB5C8F">
        <w:trPr>
          <w:trHeight w:val="20"/>
          <w:jc w:val="center"/>
        </w:trPr>
        <w:tc>
          <w:tcPr>
            <w:tcW w:w="0" w:type="auto"/>
            <w:gridSpan w:val="2"/>
            <w:tcBorders>
              <w:top w:val="single" w:sz="8" w:space="0" w:color="auto"/>
              <w:bottom w:val="single" w:sz="8" w:space="0" w:color="auto"/>
            </w:tcBorders>
            <w:vAlign w:val="center"/>
          </w:tcPr>
          <w:p w14:paraId="6220BE64" w14:textId="77777777" w:rsidR="00156BB0" w:rsidRPr="000309F2" w:rsidRDefault="00156BB0" w:rsidP="008920A6">
            <w:pPr>
              <w:spacing w:before="40" w:after="40" w:line="240" w:lineRule="auto"/>
              <w:jc w:val="center"/>
              <w:rPr>
                <w:rFonts w:ascii="Times New Roman" w:eastAsia="Calibri" w:hAnsi="Times New Roman" w:cs="Times New Roman"/>
                <w:color w:val="000000" w:themeColor="text1"/>
                <w:sz w:val="24"/>
                <w:szCs w:val="24"/>
                <w:lang w:val="en-US"/>
              </w:rPr>
            </w:pPr>
            <w:r w:rsidRPr="000309F2">
              <w:rPr>
                <w:rFonts w:ascii="Times New Roman" w:eastAsia="Calibri" w:hAnsi="Times New Roman" w:cs="Times New Roman"/>
                <w:color w:val="000000" w:themeColor="text1"/>
                <w:sz w:val="24"/>
                <w:szCs w:val="24"/>
                <w:lang w:val="en-US"/>
              </w:rPr>
              <w:t>Empathy</w:t>
            </w:r>
          </w:p>
        </w:tc>
      </w:tr>
      <w:tr w:rsidR="00B25BDD" w:rsidRPr="000309F2" w14:paraId="1EE2957A" w14:textId="77777777" w:rsidTr="00AB5C8F">
        <w:trPr>
          <w:trHeight w:val="20"/>
          <w:jc w:val="center"/>
        </w:trPr>
        <w:tc>
          <w:tcPr>
            <w:tcW w:w="0" w:type="auto"/>
            <w:gridSpan w:val="2"/>
            <w:tcBorders>
              <w:top w:val="single" w:sz="8" w:space="0" w:color="auto"/>
              <w:bottom w:val="single" w:sz="6" w:space="0" w:color="auto"/>
            </w:tcBorders>
            <w:vAlign w:val="center"/>
          </w:tcPr>
          <w:p w14:paraId="1112F235" w14:textId="77777777" w:rsidR="00156BB0" w:rsidRPr="000309F2" w:rsidRDefault="00156BB0" w:rsidP="008920A6">
            <w:pPr>
              <w:spacing w:before="40" w:after="40" w:line="240" w:lineRule="auto"/>
              <w:rPr>
                <w:rFonts w:ascii="Times New Roman" w:eastAsia="Calibri" w:hAnsi="Times New Roman" w:cs="Times New Roman"/>
                <w:i/>
                <w:iCs/>
                <w:color w:val="000000" w:themeColor="text1"/>
                <w:sz w:val="24"/>
                <w:szCs w:val="24"/>
                <w:lang w:val="en-US"/>
              </w:rPr>
            </w:pPr>
            <w:r w:rsidRPr="000309F2">
              <w:rPr>
                <w:rFonts w:ascii="Times New Roman" w:eastAsia="Calibri" w:hAnsi="Times New Roman" w:cs="Times New Roman"/>
                <w:i/>
                <w:iCs/>
                <w:color w:val="000000" w:themeColor="text1"/>
                <w:lang w:val="en-US"/>
              </w:rPr>
              <w:t>Affective Resonance</w:t>
            </w:r>
          </w:p>
        </w:tc>
      </w:tr>
      <w:tr w:rsidR="00B25BDD" w:rsidRPr="000309F2" w14:paraId="01114F95" w14:textId="77777777" w:rsidTr="00AB5C8F">
        <w:trPr>
          <w:trHeight w:val="20"/>
          <w:jc w:val="center"/>
        </w:trPr>
        <w:tc>
          <w:tcPr>
            <w:tcW w:w="0" w:type="auto"/>
            <w:tcBorders>
              <w:top w:val="single" w:sz="6" w:space="0" w:color="auto"/>
              <w:bottom w:val="single" w:sz="6" w:space="0" w:color="auto"/>
            </w:tcBorders>
            <w:vAlign w:val="center"/>
          </w:tcPr>
          <w:p w14:paraId="758D21F7" w14:textId="77777777" w:rsidR="00156BB0" w:rsidRPr="000309F2" w:rsidRDefault="00156BB0" w:rsidP="008920A6">
            <w:pPr>
              <w:spacing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Measures</w:t>
            </w:r>
          </w:p>
        </w:tc>
        <w:tc>
          <w:tcPr>
            <w:tcW w:w="0" w:type="auto"/>
            <w:tcBorders>
              <w:top w:val="single" w:sz="6" w:space="0" w:color="auto"/>
              <w:bottom w:val="single" w:sz="6" w:space="0" w:color="auto"/>
            </w:tcBorders>
            <w:vAlign w:val="center"/>
          </w:tcPr>
          <w:p w14:paraId="425CE6DC" w14:textId="77777777" w:rsidR="00156BB0" w:rsidRPr="000309F2" w:rsidRDefault="00156BB0" w:rsidP="008920A6">
            <w:pPr>
              <w:spacing w:before="40" w:after="40" w:line="240" w:lineRule="auto"/>
              <w:jc w:val="center"/>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Description</w:t>
            </w:r>
          </w:p>
        </w:tc>
      </w:tr>
      <w:tr w:rsidR="00B25BDD" w:rsidRPr="000309F2" w14:paraId="37A9D21D" w14:textId="77777777" w:rsidTr="00AB5C8F">
        <w:trPr>
          <w:trHeight w:val="20"/>
          <w:jc w:val="center"/>
        </w:trPr>
        <w:tc>
          <w:tcPr>
            <w:tcW w:w="0" w:type="auto"/>
            <w:tcBorders>
              <w:top w:val="single" w:sz="6" w:space="0" w:color="auto"/>
            </w:tcBorders>
            <w:vAlign w:val="center"/>
          </w:tcPr>
          <w:p w14:paraId="1026A973" w14:textId="26F0E0ED" w:rsidR="00156BB0" w:rsidRPr="000309F2" w:rsidDel="005366DB"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Emotional images </w:t>
            </w:r>
            <w:r w:rsidRPr="000309F2">
              <w:rPr>
                <w:rFonts w:ascii="Times New Roman" w:eastAsia="Calibri" w:hAnsi="Times New Roman" w:cs="Times New Roman"/>
                <w:color w:val="000000" w:themeColor="text1"/>
                <w:sz w:val="20"/>
                <w:szCs w:val="20"/>
                <w:lang w:val="en-US"/>
              </w:rPr>
              <w:fldChar w:fldCharType="begin"/>
            </w:r>
            <w:r w:rsidR="00104379" w:rsidRPr="000309F2">
              <w:rPr>
                <w:rFonts w:ascii="Times New Roman" w:eastAsia="Calibri" w:hAnsi="Times New Roman" w:cs="Times New Roman"/>
                <w:color w:val="000000" w:themeColor="text1"/>
                <w:sz w:val="20"/>
                <w:szCs w:val="20"/>
                <w:lang w:val="en-US"/>
              </w:rPr>
              <w:instrText xml:space="preserve"> ADDIN ZOTERO_ITEM CSL_CITATION {"citationID":"OemUlATh","properties":{"formattedCitation":"\\super 67,107,206\\uc0\\u8211{}222\\nosupersub{}","plainCitation":"67,107,206–222","noteIndex":0},"citationItems":[{"id":690,"uris":["http://zotero.org/users/local/ww4sk5CR/items/IY44YZMU"],"itemData":{"id":690,"type":"article-journal","abstract":"Repetitive transcranial magnetic stimulation (rTMS) can modulate the excitability of stimulated cortical areas, such as prefrontal areas involved in emotion regulation. Low frequency (LF) rTMS is expected to have inhibitory effects on prefrontal regions, and thereby should disinhibit limbic activity, resulting in enhanced emotional and autonomic reactions. For high frequency (HF) rTMS, the opposite pattern might be assumed. The objective of this study was to determine the effects of different rTMS frequencies applied to the right dlPFC on autonomic functions and on emotional perception. In a crossover design, two groups of 20 healthy young women were either stimulated with one session of LF rTMS (1 Hz) or one session of HF rTMS (10 Hz), compared to sham stimulation. We assessed phasic cardiac responses (PCR), skin conductance reactions (SCR), and emotional appraisal of emotional pictures as well as recognition memory after each rTMS application. After LF rTMS, PCR (heart rate deceleration) during presentation of pictures with negative and neutral valence was significantly increased compared to the presentation of positive pictures. In contrast, the modulatory effect of picture valence and arousal on the cardiac orienting response was absent after HF rTMS. Our results suggest that frontal LF rTMS indirectly activates the ANS via inhibition of the right dlPFC activity, likely by enhancing the sensory processing or attention to aversive and neutral stimuli. (PsycInfo Database Record (c) 2023 APA, all rights reserved)","container-title":"Journal of Neural Transmission","DOI":"10.1007/s00702-015-1491-4","ISSN":"1435-1463(Electronic),0300-9564(Print)","issue":"Suppl 1","note":"publisher-place: Germany\npublisher: Springer","page":"S139-S152","title":"Effects of prefrontal rTMS on autonomic reactions to affective pictures.","volume":"124","author":[{"family":"Berger","given":"Christoph"},{"family":"Domes","given":"Gregor"},{"family":"Balschat","given":"Johannes"},{"family":"Thome","given":"Johannes"},{"family":"Höppner","given":"Jacqueline"}],"issued":{"date-parts":[["2017"]]}}},{"id":724,"uris":["http://zotero.org/users/local/ww4sk5CR/items/474G6Z9R"],"itemData":{"id":724,"type":"article-journal","abstract":"Viewing images of other humans in pain elicits a variety of responses including distress, anxiety, and a sensation that is similar to pain. We aimed to evaluate whether transcranial direct current stimulation (tDCS) could be effective in modulating the emotional aspects of pain as to further explore mechanisms of tDCS in pain relief. Twenty-three healthy subjects rated images with respect to unpleasantness and discomfort/pain (baseline), and then received stimulation with tDCS under four different conditions of stimulation: anodal tDCS of the left primary motor cortex (M1), dorsolateral prefrontal cortex (DLPFC), occipital cortex (V1); and sham tDCS. The order of conditions was randomized and counterbalanced across subjects. During each stimulation session (after 3min of stimulation), subjects were shown a new set of aversive images and were again asked to rate the images with respect to unpleasantness and discomfort/pain. The results showed that ratings of unpleasantness and discomfort/pain were significantly decreased during DLPFC tDCS only, as compared to baseline and sham tDCS. The other conditions of stimulation (M1 and V1 tDCS) did not result in any significant changes. These results support the notion that DLPFC is a critical area for the emotional processing of pain and also suggests that DLPFC may be a potential target of stimulation for alleviation of pain with a significant emotional-affective component. Our results also suggest that the mechanism of tDCS in modulating emotional pain involve pathways that are independent of those modulating the somatosensory perception of pain.","container-title":"Neuropsychologia","DOI":"10.1016/j.neuropsychologia.2008.07.022","ISSN":"0028-3932","issue":"1","journalAbbreviation":"Neuropsychologia","page":"212-217","title":"Modulation of emotions associated with images of human pain using anodal transcranial direct current stimulation (tDCS)","volume":"47","author":[{"family":"Boggio","given":"Paulo S."},{"family":"Zaghi","given":"Soroush"},{"family":"Fregni","given":"Felipe"}],"issued":{"date-parts":[["2009",1,1]]}}},{"id":716,"uris":["http://zotero.org/users/local/ww4sk5CR/items/RL2ZCGXA"],"itemData":{"id":716,"type":"article-journal","abstract":"Summary\nRecent evidence has supported the notion that the hypothalamic-pituitary-adrenal (HPA) and the sympatho-adreno-medullary (SAM) systems are modulated by cortical structures such as the prefrontal cortex. This top-down modulation may play a major role in the neuroendocrine changes associated with stressful events. We aimed to investigate further this hypothesis by modulating directly prefrontal cortex excitability using transcranial direct current stimulation (tDCS) – a non-invasive, neuromodulatory tool that induces polarity-dependent changes in cortical excitability – and measuring effects on salivary cortisol and heart rate variability as proxies of the HPA and SAM systems. Twenty healthy participants with no clinical and neuropsychiatric conditions were randomized to receive bifrontal tDCS (left anodal/right cathodal or left cathodal/right anodal) or sham stimulation, in a within-subject design. During each stimulation session, after a resting period, subjects were shown images with neutral or negative valence. Our findings showed that excitability enhancing left anodal tDCS induced a decrease in cortisol levels. This effect is more pronounced during emotional negative stimuli. Moreover, vagal activity was higher during left anodal tDCS and emotional negative stimuli, as compared to sham stimulation and neutral images. We also observed an association between higher mood scores, higher vagal activation and lower cortisol levels for anodal stimulation. Subjective mood and anxiety evaluation revealed no specific changes after stimulation. Our findings suggest that tDCS induced transient, polarity specific modulatory top-down effects with anodal tDCS leading to a down-regulation of HPA and SAM systems. Further research using tDCS and neuroendocrine markers should explore the mechanisms of stress regulation in healthy and clinical samples.","container-title":"Psychoneuroendocrinology","DOI":"10.1016/j.psyneuen.2012.04.020","ISSN":"0306-4530","issue":"1","journalAbbreviation":"Psychoneuroendocrinology","page":"58-66","title":"Polarity- and valence-dependent effects of prefrontal transcranial direct current stimulation on heart rate variability and salivary cortisol","volume":"38","author":[{"family":"Brunoni","given":"Andre R."},{"family":"Vanderhasselt","given":"Marie-Anne"},{"family":"Boggio","given":"Paulo S."},{"family":"Fregni","given":"Felipe"},{"family":"Dantas","given":"Eduardo Miranda"},{"family":"Mill","given":"José G."},{"family":"Lotufo","given":"Paulo A."},{"family":"Benseñor","given":"Isabela M."}],"issued":{"date-parts":[["2013",1,1]]}}},{"id":1321,"uris":["http://zotero.org/users/local/ww4sk5CR/items/A6KHFM6N"],"itemData":{"id":1321,"type":"article-journal","container-title":"Journal of psychiatric research","ISSN":"0022-3956","journalAbbreviation":"Journal of psychiatric research","note":"publisher: Elsevier","page":"34-39","title":"tDCS increases anxiety reactivity to intentional worry","volume":"120","author":[{"family":"Clarke","given":"Patrick JF"},{"family":"Sprlyan","given":"Brodie F"},{"family":"Hirsch","given":"Colette R"},{"family":"Meeten","given":"Frances"},{"family":"Notebaert","given":"Lies"}],"issued":{"date-parts":[["2020"]]}}},{"id":665,"uris":["http://zotero.org/users/local/ww4sk5CR/items/89G5776T"],"itemData":{"id":665,"type":"article-journal","abstract":"Background.Impaired emotion regulation may underlie exaggerated emotional reactivity in patients with obsessive compulsive disorder (OCD), yet instructed emotion regulation has never been studied in the disorder.Method.This study aimed to assess the neural correlates of emotion processing and regulation in 43 medication-free OCD patients and 38 matched healthy controls, and additionally test if these can be modulated by stimulatory (patients) and inhibitory (controls) repetitive transcranial magnetic stimulation (rTMS) over the left dorsolateral prefrontal cortex (dlPFC). Participants performed an emotion regulation task during functional magnetic resonance imaging before and after a single session of randomly assigned real or sham rTMS. Effect of group and rTMS were assessed on self-reported distress ratings and brain activity in frontal-limbic regions of interest.Results.Patients had higher distress ratings than controls during emotion provocation, but similar rates of distress reduction after voluntary emotion regulation. OCD patients compared with controls showed altered amygdala responsiveness during symptom provocation and diminished left dlPFC activity and frontal-amygdala connectivity during emotion regulation. Real v. sham dlPFC stimulation differentially modulated frontal-amygdala connectivity during emotion regulation in OCD patients.Conclusions.We propose that the increased emotional reactivity in OCD may be due to a deficit in emotion regulation caused by a failure of cognitive control exerted by the dorsal frontal cortex. Modulatory rTMS over the left dlPFC may influence automatic emotion regulation capabilities by influencing frontal-limbic connectivity.","archive":"Cambridge Core","container-title":"Psychological Medicine","DOI":"10.1017/S0033291715001026","ISSN":"0033-2917","issue":"14","note":"edition: 2015/06/01\npublisher: Cambridge University Press","page":"3059-3073","source":"Cambridge University Press","title":"Emotion regulation before and after transcranial magnetic stimulation in obsessive compulsive disorder","volume":"45","author":[{"family":"Wit","given":"S. J.","non-dropping-particle":"de"},{"family":"Werf","given":"Y. D.","non-dropping-particle":"van der"},{"family":"Mataix-Cols","given":"D."},{"family":"Trujillo","given":"J. P."},{"family":"Oppen","given":"P.","non-dropping-particle":"van"},{"family":"Veltman","given":"D. J."},{"family":"Heuvel","given":"O. A.","non-dropping-particle":"van den"}],"issued":{"date-parts":[["2015"]]}}},{"id":721,"uris":["http://zotero.org/users/local/ww4sk5CR/items/L2HUVRK5"],"itemData":{"id":721,"type":"article-journal","abstract":"Background\nCompassion motivation is associated with increased heart rate variability (HRV), reflecting a calm and self-soothing physiological state. Recent work, however, suggests that this association is dynamic for the specific components of compassion.\nObjectives\nThe present study adopted anodal transcranial direct current stimulation (tDCS) targeting the right insula to see whether this would modulate the sensitivity to suffering and the commitment to engage in helpful actions (i.e., the components of compassion motivation).\nMethod\nNinety-seven healthy individuals underwent 15-min anodal or sham tDCS over the frontotemporal lobe, while watching a video inducing empathic sensitivity and performing a Redistribution Game. Tonic and phasic HRV, dispositional traits, and momentary affects were assessed.\nResults\nCompared to sham condition, anodal stimulation favored significant i) HRV reductions during the video and HRV increases during the Redistribution Game; ii) decreases in self-reported levels of negative affect and increases in positive affect during task when the latter was preceded by the video, without influencing altruistic behavior.\nConclusions\nAnodal tDCS over the right insula may modulate the engagement phase of compassion by intensifying the psychophysiological sensitivity to signals of distress and protecting from being subjectively overwhelmed by it.","container-title":"International Journal of Clinical and Health Psychology","DOI":"10.1016/j.ijchp.2022.100362","ISSN":"1697-2600","issue":"3","journalAbbreviation":"International Journal of Clinical and Health Psychology","page":"100362","title":"Modulatory effects of transcranial direct current stimulation of right insula on compassion motivation","volume":"23","author":[{"family":"Di Bello","given":"Maria"},{"family":"Giudetti","given":"Federica"},{"family":"Palani","given":"Sowmya"},{"family":"Petrocchi","given":"Nicola"},{"family":"McIntosh","given":"Roger"},{"family":"Ottaviani","given":"Cristina"}],"issued":{"date-parts":[["2023",7,1]]}}},{"id":1106,"uris":["http://zotero.org/users/local/ww4sk5CR/items/PFMRVRFM"],"itemData":{"id":1106,"type":"article-journal","abstract":"Background\nThe ability to cognitively control emotions is critical for mental health. Previous studies have identified the dorsolateral prefrontal cortex (dlPFC) as a core region in cognitive reappraisal. However, there is only scarce evidence whether directly modulating dlPFC activity results in improved capacities for cognitive reappraisal.\nObjective\nIn this study, we used anodal transcranial direct current stimulation (tDCS) over the right dlPFC to investigate the effects of increased dlPFC excitability on cognitive reappraisal as indexed by subjective emotional arousal ratings and skin conductance responses.\nMethods\nThe study was designed as a double-blind, between-subjects, sham-controlled trial. Half of the healthy participants were randomly assigned to receive either active tDCS (n = 21, 1.5 mA for 20 min over the right dlPFC) or sham stimulation (n = 21). Participants viewed negative and neutral pictures from the International Affective Picture System while they were instructed to either downregulate, upregulate or maintain their emotions. After each picture presentation, participants rated the intensity of emotional arousal. Skin conductance responses and gaze fixation were assessed.\nResults\nOur results revealed that anodal prefrontal tDCS during downregulation resulted in decreased skin conductance responses and decreased emotional arousal ratings. The opposite pattern was observed for the upregulation condition in which anodal tDCS resulted in higher arousal ratings accompanied by marginally enhanced skin conductance responses.\nConclusion\nOur data indicates that tDCS facilitates cognitive reappraisal in both directions by either increasing or decreasing emotional responsiveness depending on the regulatory goal. This provides further evidence for the potential use of tDCS as a tool to modulate cognitive reappraisal. However, given the limitations of the present study, our findings need to be replicated and complimented by further studies.","container-title":"Brain Stimulation","DOI":"10.1016/j.brs.2013.08.006","ISSN":"1935-861X","issue":"1","journalAbbreviation":"Brain Stimulation","page":"105-112","title":"Transcranial Direct Current Stimulation Enhances Cognitive Control During Emotion Regulation","volume":"7","author":[{"family":"Feeser","given":"Melanie"},{"family":"Prehn","given":"Kristin"},{"family":"Kazzer","given":"Philipp"},{"family":"Mungee","given":"Aditya"},{"family":"Bajbouj","given":"Malek"}],"issued":{"date-parts":[["2014",1,1]]}}},{"id":1375,"uris":["http://zotero.org/users/local/ww4sk5CR/items/3Y4LRV3G"],"itemData":{"id":1375,"type":"article-journal","container-title":"Brain Sciences","ISSN":"2076-3425","issue":"9","journalAbbreviation":"Brain Sciences","note":"publisher: MDPI","page":"1326","title":"Cross-Sensory EEG Emotion Recognition with Filter Bank Riemannian Feature and Adversarial Domain Adaptation","volume":"13","author":[{"family":"Gao","given":"Chenguang"},{"family":"Uchitomi","given":"Hirotaka"},{"family":"Miyake","given":"Yoshihiro"}],"issued":{"date-parts":[["2023"]]}}},{"id":661,"uris":["http://zotero.org/users/local/ww4sk5CR/items/J9DQLRBR"],"itemData":{"id":661,"type":"article-journal","abstract":"Impaired cognitive–motivational functioning is present in many psychiatric disorders, including alcohol use disorder (AUD). Emotion regulation is a key intermediate factor, relating to the (cognitive) regulation of emotional and motivational states, such as in regulation of craving or negative emotions that may lead to relapse in alcohol use. These cognitive–motivational functions, including emotion regulation, are a target in cognitive behavioral therapy and may possibly be improved by neurostimulation techniques. The present between-subjects, single-blind study assesses the effects of sham-controlled high-frequency neuronavigated repetitive transcranial magnetic stimulation (10 Hz) of the right dorsolateral prefrontal cortex (dlPFC) on several aspects relevant for emotion regulation (emotion processing and reappraisal abilities) and related brain activity, as well as self-reported craving in a sample of alcohol use disorder patients (AUD; n = 39) and healthy controls (HC; n = 36). During the emotion reappraisal task, participants were instructed to either attend or reappraise their emotions related to the negative, positive, neutral, and alcohol-related images, after which they rated their experienced emotions. We found that repetitive transcranial magnetic stimulation (rTMS) reduces self-reported experienced emotions in response to positive and negative images in AUD patients, whereas experienced emotions were increased in response to neutral and positive images in HCs. In the functional magnetic resonance imaging (fMRI) analyses, we found that rTMS reduces right dlPFC activity during appraisal of affective images relative to sham stimulation only in AUD patients. We could not confirm our hypotheses regarding the effect of rTMS craving levels, or on reappraisal related brain function, since no significant effects of rTMS on craving or reappraisal related brain function were found. These findings imply that rTMS can reduce the emotional impact of images as reflected in blood oxygenation level-dependent (BOLD) response, especially in AUD patients. Future studies should replicate and expand the current study, for instance, by assessing the effect of multiple stimulation sessions on both explicit and implicit emotion regulation paradigms and craving, and assess the effect of rTMS within subgroups with specific addiction-relevant image preferences.Clinical Trial Registration: www.ClinicalTrials.gov, identifier NCT02557815.","container-title":"Frontiers in Psychiatry","ISSN":"1664-0640","journalAbbreviation":"Frontiers in Psychiatry","title":"The Effect of High-Frequency Repetitive Transcranial Magnetic Stimulation on Emotion Processing, Reappraisal, and Craving in Alcohol Use Disorder Patients and Healthy Controls: A Functional Magnetic Resonance Imaging Study","URL":"https://www.frontiersin.org/journals/psychiatry/articles/10.3389/fpsyt.2019.00272","volume":"10","author":[{"family":"Jansen","given":"Jochem M."},{"family":"Heuvel","given":"Odile A.","non-dropping-particle":"van den"},{"family":"Werf","given":"Ysbrand D.","non-dropping-particle":"van der"},{"family":"Wit","given":"Stella J.","non-dropping-particle":"de"},{"family":"Veltman","given":"Dick J."},{"family":"Brink","given":"Wim","non-dropping-particle":"van den"},{"family":"Goudriaan","given":"Anna E."}],"issued":{"date-parts":[["2019"]]}}},{"id":720,"uris":["http://zotero.org/users/local/ww4sk5CR/items/ZXKQKCR8"],"itemData":{"id":720,"type":"article-journal","abstract":"Empathy for pain, a widely studied sub-form of empathy, is an ability to recognize and share the pain of others. It involves brain regions associated with the emotional component of pain. Recent studies found that emotional pain could be modulated by stimulating the dorsolateral prefrontal cortex (DLPFC) with transcranial direct current stimulation (tDCS). We hypothesized that tDCS of the DLPFC could modulate empathy for pain as well. In the present study, healthy subjects were asked to watch pictures depicting somebody under painful or non-painful conditions and to evaluate the pain intensity of others as well as their own pain-related unpleasantness before and after tDCS of the DLPFC. It was found that ratings for others’ pain increased in subjects with an anodal tDCS of the DLPFC in comparison to those with sham tDCS, indicating enhanced pain empathy with the anodal tDCS. Furthermore, the changes of ratings for others’ pain were positively correlated with the changes of pain-related self-unpleasantness. These findings indicate that tDCS could modulate pain empathy and be used as a potential tool for modulating diseases accompanied with empathy deficits.","container-title":"Neuroscience","DOI":"10.1016/j.neuroscience.2014.09.044","ISSN":"0306-4522","journalAbbreviation":"Neuroscience","page":"202-207","title":"Transcranial direct current stimulation of the dorsolateral prefrontal cortex increased pain empathy","volume":"281","author":[{"family":"Wang","given":"J."},{"family":"Wang","given":"Y."},{"family":"Hu","given":"Z."},{"family":"Li","given":"X."}],"issued":{"date-parts":[["2014",12,5]]}}},{"id":697,"uris":["http://zotero.org/users/local/ww4sk5CR/items/CQVC584M"],"itemData":{"id":697,"type":"article-journal","abstract":"The dorsolateral prefrontal cortex (DLPFC) plays a key role in the modulation of affective processing. However, its specific role in the regulation of neurocognitive processes underlying the interplay of affective perception and visual awareness has remained largely unclear. Using a mixed factorial design, this study investigated effects of inhibitory continuous theta-burst stimulation (cTBS) of the right DLPFC (rDLPFC) compared to an Active Control condition on behavioral (N = 48) and electroencephalographic (N = 38) correlates of affective processing in healthy Chinese participants. Event-related potentials (ERPs) in response to passively viewed subliminal and supraliminal negative and neutral natural scenes were recorded before and after cTBS application. We applied minimum-norm approaches to estimate the corresponding neuronal sources. On a behavioral level, we found evidence for reduced emotional interference by, and less negative and aroused ratings of negative supraliminal stimuli following rDLPFC inhibition. We found no evidence for stimulation effects on self-reported mood or the behavioral discrimination of subliminal stimuli. On a neurophysiological level, rDLPFC inhibition relatively enhanced occipito-parietal brain activity for both subliminal and supraliminal negative compared to neutral images (112–268 ms; 320–380 ms). The early onset and localization of these effects suggests that rDLPFC inhibition boosts automatic processes of “emotional attention” independently of visual awareness. Further, our study reveals the first available evidence for a differential influence of rDLPFC inhibition on subliminal versus supraliminal neural emotion processing. Explicitly, our findings indicate that rDLPFC inhibition selectively enhances late (292–360 ms) activity in response to supraliminal negative images. We tentatively suggest that this differential frontal activity likely reflects enhanced awareness-dependent down-regulation of negative scene processing, eventually leading to facilitated disengagement from and less negative and aroused evaluations of negative supraliminal stimuli. (PsycINFO Database Record (c) 2018 APA, all rights reserved)","container-title":"Frontiers in Human Neuroscience","DOI":"10.3389/fnhum.2018.00412","ISSN":"1662-5161(Electronic)","note":"publisher-place: Switzerland\npublisher: Frontiers Media S.A.","title":"How the dorsolateral prefrontal cortex controls affective processing in absence of visual awareness—Insights from a combined EEG-rTMS study.","volume":"12","author":[{"family":"Keuper","given":"Kati"},{"family":"Terrighena","given":"Esslin L."},{"family":"Chan","given":"Chetwyn C. H."},{"family":"Junghoefer","given":"Markus"},{"family":"Lee","given":"Tatia M. C."}],"issued":{"date-parts":[["2018"]]}}},{"id":676,"uris":["http://zotero.org/users/local/ww4sk5CR/items/7HFVCIB2"],"itemData":{"id":676,"type":"article-journal","abstract":"We investigated whether repetitive transcranial magnetic stimulation (rTMS) to the left dorsolateral prefrontal cortex (DLPFC) would reduce anhedonia in a sample of 19 depressed adults (Mage = 45.21, SD = 11.21, 63% women) randomized to either active or sham rTMS. To track anhedonia, patients completed the Snaith-Hamilton Pleasure Scale (SHAPS)1 and a novel behavioral task called “Happy Faces,” which required patients to interpret neutral versus various intensities of positively valenced human facial expressions. Patients had to indicate dichotomously whether any degree of positive emotion was expressed. We expected that more anhedonic patients would struggle most with low intensity happy faces; often incorrectly calling them neutral. Patients also completed a self-report measure of “empathic happiness”—i.e., vicarious joy. Measures were completed pre- to post-treatment. Results indicate rTMS to DLPFC related to improvement in interpretation of subtle forms of happiness in active rTMS patients relative to sham. Furthermore, empathic happiness and anhedonia score were significantly antagonistic across all patients.","container-title":"Translational Psychiatry","DOI":"10.1038/s41398-019-0549-8","ISSN":"2158-3188","issue":"1","journalAbbreviation":"Translational Psychiatry","page":"217","title":"Measuring change in anhedonia using the “Happy Faces” task pre- to post-repetitive transcranial magnetic stimulation (rTMS) treatment to left dorsolateral prefrontal cortex in Major Depressive Disorder (MDD): relation to empathic happiness","volume":"9","author":[{"family":"Light","given":"Sharee N."},{"family":"Bieliauskas","given":"Linas A."},{"family":"Taylor","given":"Stephan F."}],"issued":{"date-parts":[["2019",9,3]]}}},{"id":723,"uris":["http://zotero.org/users/local/ww4sk5CR/items/ZLJ6WSQJ"],"itemData":{"id":723,"type":"article-journal","abstract":"Pain is a multidimensional experience with sensory-discriminative, cognitive-evaluative and affective-motivational components. Emotional factors such as unpleasantness or anxiety are known to have influence on pain in humans. The aim of this single-blinded, cross over study was to evaluate the effects of transcranial direct current stimulation (tDCS) on emotional aspects of pain in pain alleviation. Fifteen subjects (5 females, 10 males) volunteered to participate in this study. In an oddball paradigm, three categories of 20 pictures (unpleasant, neutral, and pleasant) served as rare target pictures from the International Affective Picture System (IAPS). The power of the delta (1–4Hz), theta (4–8Hz), alpha (8–12Hz), beta (12–25Hz), and gamma (30–40Hz) frequency bands in the three categories were measured using electroencephalography during an oddball paradigm at pre- and post-anodal or sham tDCS above the left dorsolateral prefrontal cortex (DLPFC). Results showed that the beta band power was significantly increased, and the alpha band power was significantly decreased during unpleasant pictures after anodal tDCS compared with sham tDCS. Furthermore, regarding unpleasant pictures, subjective reports of Self Assessment Manikin (SAM) for emotional valence after anodal tDCS showed a significant decrease of unpleasantness. Therefore, emotional aspects of pain may be effectively alleviated by tDCS of the left DLPFC as was shown not only by subjective evaluation, but also by objective observation of cerebral neural activity. This processing may be mediated by facilitation of the descending pain inhibitory system through enhancing neural activity of the left DLPFC.","container-title":"Neuroscience Letters","DOI":"10.1016/j.neulet.2012.01.037","ISSN":"0304-3940","issue":"1","journalAbbreviation":"Neuroscience Letters","page":"12-16","title":"Influence of transcranial direct current stimulation of the dorsolateral prefrontal cortex on pain related emotions: A study using electroencephalographic power spectrum analysis","volume":"512","author":[{"family":"Maeoka","given":"Hiroshi"},{"family":"Matsuo","given":"Atsushi"},{"family":"Hiyamizu","given":"Makoto"},{"family":"Morioka","given":"Shu"},{"family":"Ando","given":"Hiroshi"}],"issued":{"date-parts":[["2012",3,14]]}}},{"id":667,"uris":["http://zotero.org/users/local/ww4sk5CR/items/I6IURLZZ"],"itemData":{"id":667,"type":"article-journal","abstract":"Background\nExcitatory repetitive transcranial magnetic stimulation (rTMS) of the left dorsolateral prefrontal cortex (dlPFC) is approved by the U.S. Food and Drug Administration for the treatment of adult patients with treatment-resistant major depressive disorder (MDD). This stimulation is supposed to restore excitability of prefrontal cortex regions that exhibit diminished regulation of emotion-generative systems in MDD. Based on the valence lateralization hypothesis, inhibitory rTMS of the right dlPFC has also been applied in MDD. This approach has proved to be effective, although meta-analyses of emotional perception and affective regulation in healthy control subjects and patients with depression do not support functional asymmetries within dlPFC regions.\nMethods\nTo shed more light on this discrepancy, the effects of excitatory and inhibitory rTMS of the right dlPFC on visual emotional perception were compared in two groups of 41 healthy participants overall. Before and after rTMS stimulation, participants viewed fearful and neutral faces while whole-head magnetoencephalography was recorded and supplemented by behavioral tests.\nResults\nVisual sensory processing of fearful facial expressions, relative to neutral facial expressions, was reduced after excitatory stimulation and was increased after inhibitory stimulation within right occipital and right temporal regions. Correspondingly, after excitatory rTMS compared with inhibitory rTMS, participants displayed relatively reduced reaction times in an emotion discrimination task and showed reduced emotional arousal.\nConclusions\nThese results support the hypothesis that excitatory rTMS compared with inhibitory rTMS of the right dlPFC strengthens top-down control of aversive stimuli in healthy control subjects, which should encourage more research on mechanisms of excitatory/inhibitory dlPFC-rTMS protocols in general and on neuromodulatory treatment of MDD.","container-title":"Biological Psychiatry: Cognitive Neuroscience and Neuroimaging","DOI":"10.1016/j.bpsc.2017.12.007","ISSN":"2451-9022","issue":"4","journalAbbreviation":"Biological Psychiatry: Cognitive Neuroscience and Neuroimaging","page":"329-336","title":"Modulating Emotion Perception: Opposing Effects of Inhibitory and Excitatory Prefrontal Cortex Stimulation","volume":"3","author":[{"family":"Notzon","given":"Swantje"},{"family":"Steinberg","given":"Christian"},{"family":"Zwanzger","given":"Peter"},{"family":"Junghöfer","given":"Markus"}],"issued":{"date-parts":[["2018",4,1]]}}},{"id":715,"uris":["http://zotero.org/users/local/ww4sk5CR/items/CMBTBJ8K"],"itemData":{"id":715,"type":"article-journal","abstract":"Background\nImplicit emotion regulation (ER), a form of ER, is essential for protecting mental health in the process of social interaction. Both the ventrolateral prefrontal cortex (VLPFC) and the dorsolateral prefrontal cortex (DLPFC) have been shown to be involved in ER processes, including explicit ER of social pain, but whether they play a role in implicit ER is unclear.\nMethods\nWe investigated whether anodal high-definition transcranial direct current stimulation (HD-tDCS) of the right VLPFC (rVLPFC) or the right DLPFC (rDLPFC) influences implicit ER. In total, 63 healthy participants completed an emotion priming task, which measures the implicit ER of social pain, before and after receiving active or sham HD-tDCS (2 mA for 20 min, 10 consecutive days). Event-related potentials (ERPs) were recorded during task performance.\nResults\nCombined with the results of the behavioral and electrophysiological indices indicated that stimulation of both the rVLPFC and the rDLPFC by anodic HD-tDCS could significantly reduce the affective responses caused by social exclusion. The further results also suggested that rDLPFC activation may contribute to promoting the involvement of early cognitive resources in the implicit ER process of social pain, thus helping to reduce the subjective negative experience of individuals.\nLimitations\nThere were no dynamic interactive emotional stimuli to induce social pain, and only static images of social exclusion were used.\nConclusion\nOur study provides cognitive and neurological evidence that expands our knowledge of the role of the rDLPFC and the rVLPFC in social ER. It can also serve as a reference for targeted intervention of implicit ER in social pain.","container-title":"Journal of Affective Disorders","DOI":"10.1016/j.jad.2023.05.075","ISSN":"0165-0327","journalAbbreviation":"Journal of Affective Disorders","page":"74-82","title":"Effects of high-definition transcranial direct current stimulation on implicit emotion regulation of social pain in healthy individuals","volume":"338","author":[{"family":"Zhang","given":"Qingqing"},{"family":"Chen","given":"Tingting"},{"family":"Liu","given":"Shanshan"},{"family":"Liu","given":"Xinying"},{"family":"Zhang","given":"Yifan"},{"family":"Yu","given":"Fengqiong"},{"family":"Ji","given":"Gong-Jun"},{"family":"Li","given":"Xiaoming"},{"family":"Zhu","given":"Chunyan"}],"issued":{"date-parts":[["2023",10,1]]}}},{"id":152,"uris":["http://zotero.org/users/local/ww4sk5CR/items/EM5JVNKB"],"itemData":{"id":152,"type":"article-journal","abstract":"Healthy individuals reporting higher (as compared to lower) levels of trait rumination recruit more neural activity in dorso-cortical regions (mostly in the right hemisphere) when inhibiting negative information, possibly to compensate their difficulty to disengage from it. In the present study, we investigated whether these latter neural correlates are causally implicated in cognitive control in these individuals. We administered the Cued Emotional Control Task, a measure of cognitive control indexed by cognitive costs for inhibiting versus providing a habitual response for emotional information, in thirty-five healthy volunteers reporting a broad range of trait rumination levels. Participants completed the task after receiving both real and sham-placebo (counterbalanced order) anodal transcranial Direct Current Stimulation (tDCS) over the right dorsolateral prefrontal cortex (DLPFC). Results reveal that the tDCS induced effects on cognitive costs for emotional information were associated with individual differences in trait rumination: the higher the trait rumination level, the less cognitive costs following real neuromodulation of the right DLPFC. Interestingly, these effects were observed for both positive and negative stimuli, and not only negative information as hypothesized. Overall, the data suggest that the right DLPFC is causally involved in the alteration of cognitive control in healthy individuals who tend to ruminate, possibly by helping them to disengage from emotional material. (PsycINFO Database Record (c) 2019 APA, all rights reserved)","archive":"psyh","archive_location":"2017-05027-014","container-title":"Biological Psychology","DOI":"10.1016/j.biopsycho.2016.12.006","ISSN":"0301-0511","journalAbbreviation":"Biological Psychology","note":"publisher: Elsevier Science","page":"111-118","source":"EBSCOhost","title":"Anodal tDCS over the right dorsolateral prefrontal cortex modulates cognitive processing of emotional information as a function of trait rumination in healthy volunteers","volume":"123","author":[{"family":"Vanderhasselt","given":"Marie-Anne"},{"family":"Sanchez","given":"Alvaro"},{"family":"Josephy","given":"Haeike"},{"family":"Baeken","given":"Chris"},{"family":"Brunoni","given":"Andre R."},{"family":"De Raedt","given":"Rudi"}],"issued":{"date-parts":[["2017",2]]}}},{"id":114,"uris":["http://zotero.org/users/local/ww4sk5CR/items/MF6WHYMT"],"itemData":{"id":114,"type":"article-journal","abstract":"The right ventrolateral prefrontal cortex (rVLPFC) is highly engaged in emotion regulation of social pain. However, there is still lack of both inhibition and excitement evidence to prove the causal relationship between this brain region and voluntary emotion regulation. This study used high‐frequency (10 Hz) and low‐frequency (1 Hz) repetitive transcranial magnetic stimulation (rTMS) to separately activate or inhibit the rVLPFC in two groups of participants. We recorded participants' emotion ratings as well as their social attitude and prosocial behaviors following emotion regulation. Also, we used eye tracker to record the changes of pupil diameter to measure emotional feelings objectively. A total of 108 healthy participants were randomly assigned to the activated, inhibitory or sham rTMS groups. They were required to accomplish three sequential tasks: the emotion regulation (cognitive reappraisal) task, the favorability rating task, and the donation task. Results show that the rVLPFC‐inhibitory group reported more negative emotions and showed larger pupil diameter while the rVLPFC‐activated group showed less negative emotions and reduced pupil diameter during emotion regulation (both compared with the sham rTMS group). In addition, the activated group gave more positive social evaluation to peers and donated more money to a public welfare activity than the rVLPFC‐inhibitory group, among which the change of social attitude was mediated by regulated emotion. Taken together, these findings reveal that the rVLPFC plays a causal role in voluntary emotion regulation of social pain and can be a potential brain target in treating deficits of emotion regulation in psychiatric disorders. (PsycInfo Database Record (c) 2023 APA, all rights reserved)","archive":"psyh","archive_location":"2023-87352-001","container-title":"Human Brain Mapping","DOI":"10.1002/hbm.26411","ISSN":"1065-9471","issue":"13","journalAbbreviation":"Human Brain Mapping","note":"publisher: John Wiley &amp; Sons","page":"4710-4721","source":"EBSCOhost","title":"The role of ventrolateral prefrontal cortex on voluntary emotion regulation of social pain","volume":"44","author":[{"family":"Yu","given":"Wenwen"},{"family":"Li","given":"Yiwei"},{"family":"Cao","given":"Xueying"},{"family":"Mo","given":"Licheng"},{"family":"Chen","given":"Yuming"},{"family":"Zhang","given":"Dandan"}],"issued":{"date-parts":[["2023",9]]}}},{"id":10,"uris":["http://zotero.org/users/local/ww4sk5CR/items/4TRSWIB8"],"itemData":{"id":10,"type":"article-journal","abstract":"With the deepening of internationalization, the population’s mobility has greatly increased, which can impact people’s intergroup relationships. The current research examined the hypothesis that residential mobility plays a crucial role in racial in-group bias in empathy (RIBE) with three studies. By manipulating the residential mobility/stability mindset and measuring subjective pain intensity ratings (Study 1) and event-related potentials (ERPs, Study 2) of Chinese adults on painful and neutral expressions of Asian and Caucasian faces, we found that the RIBE in subjective ratings and N1 amplitudes increased and P3 amplitudes decreased in the stability group. Transcranial direct current stimulation (tDCS) manipulation in Study 3 further found that anodal stimulation of the left dorsolateral prefrontal cortex (DLPFC) increased the RIBE of participants with residential stability experience but had no effect on those with residential mobility experience. As residential mobility continues to increase worldwide, we may observe concomitant changes in racial intergroup relationships. (PsycInfo Database Record (c) 2021 APA, all rights reserved)","archive":"psyh","archive_location":"2022-01394-001","container-title":"Biological Psychology","DOI":"10.1016/j.biopsycho.2021.108194","ISSN":"0301-0511","journalAbbreviation":"Biological Psychology","note":"publisher: Elsevier Science","source":"EBSCOhost","title":"The residential stability mindset increases racial in-group bias in empathy","URL":"https://search.ebscohost.com/login.aspx?direct=true&amp;db=psyh&amp;AN=2022-01394-001&amp;site=ehost-live&amp;authtype=sso&amp;custid=s9814295","volume":"165","author":[{"family":"Xu","given":"Ying"},{"family":"Chen","given":"Shangyi"},{"family":"Kong","given":"Qianting"},{"family":"Luo","given":"Siyang"}],"issued":{"date-parts":[["2021",10]]}}},{"id":696,"uris":["http://zotero.org/users/local/ww4sk5CR/items/V3CXVXHC"],"itemData":{"id":696,"type":"article-journal","abstract":"Previous studies show that neural activities in the medial prefrontal cortex (mPFC) are correlated with moral processing during picture viewing tasks. In this study, we applied transcranial direct current stimulation (tDCS) to determine whether this non-invasive brain stimulation technique could modulate the evaluation of moral violations. Sixty-four subjects were randomly recruited, separated into different groups and tested with 42 pairs of pictures depicting moral violations. Each subject was required to rate the pictures two separate times, i.e., before and after tDCS intervention. We found that anodal tDCS (atDCS) increases cortical excitability over the mPFC (between the Fpz and Fp1 positions) as well as the sense of morality and emotional arousal of the subjects. In conclusion, this study indicated that the mPFC plays an important role in moral judgments while modulating ratings of moral violations under tDCS intervention conditions.","container-title":"Frontiers in Psychology","DOI":"10.3389/fpsyg.2017.01812","ISSN":"1664-1078","journalAbbreviation":"Front. Psychol.","language":"en","page":"1812","source":"DOI.org (Crossref)","title":"Transcranial Direct Current Stimulation of the Medial Prefrontal Cortex Affects Judgments of Moral Violations","volume":"8","author":[{"family":"Yuan","given":"Hong"},{"family":"Tabarak","given":"Serik"},{"family":"Su","given":"Wenxin"},{"family":"Liu","given":"Yong"},{"family":"Yu","given":"Jing"},{"family":"Lei","given":"Xu"}],"issued":{"date-parts":[["2017",10,26]]}}}],"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00104379" w:rsidRPr="000309F2">
              <w:rPr>
                <w:rFonts w:ascii="Times New Roman" w:hAnsi="Times New Roman" w:cs="Times New Roman"/>
                <w:color w:val="000000" w:themeColor="text1"/>
                <w:sz w:val="20"/>
                <w:vertAlign w:val="superscript"/>
                <w:lang w:val="en-US"/>
              </w:rPr>
              <w:t>67,107,206–222</w:t>
            </w:r>
            <w:r w:rsidRPr="000309F2">
              <w:rPr>
                <w:rFonts w:ascii="Times New Roman" w:eastAsia="Calibri" w:hAnsi="Times New Roman" w:cs="Times New Roman"/>
                <w:color w:val="000000" w:themeColor="text1"/>
                <w:sz w:val="20"/>
                <w:szCs w:val="20"/>
                <w:lang w:val="en-US"/>
              </w:rPr>
              <w:fldChar w:fldCharType="end"/>
            </w:r>
          </w:p>
        </w:tc>
        <w:tc>
          <w:tcPr>
            <w:tcW w:w="0" w:type="auto"/>
            <w:tcBorders>
              <w:top w:val="single" w:sz="6" w:space="0" w:color="auto"/>
            </w:tcBorders>
            <w:vAlign w:val="center"/>
          </w:tcPr>
          <w:p w14:paraId="363F5B99" w14:textId="2637FB83"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Participants commonly view images that are </w:t>
            </w:r>
            <w:r w:rsidR="000309F2" w:rsidRPr="000309F2">
              <w:rPr>
                <w:rFonts w:ascii="Times New Roman" w:eastAsia="Calibri" w:hAnsi="Times New Roman" w:cs="Times New Roman"/>
                <w:color w:val="000000" w:themeColor="text1"/>
                <w:sz w:val="20"/>
                <w:szCs w:val="20"/>
                <w:lang w:val="en-US"/>
              </w:rPr>
              <w:t>categorized</w:t>
            </w:r>
            <w:r w:rsidRPr="000309F2">
              <w:rPr>
                <w:rFonts w:ascii="Times New Roman" w:eastAsia="Calibri" w:hAnsi="Times New Roman" w:cs="Times New Roman"/>
                <w:color w:val="000000" w:themeColor="text1"/>
                <w:sz w:val="20"/>
                <w:szCs w:val="20"/>
                <w:lang w:val="en-US"/>
              </w:rPr>
              <w:t xml:space="preserve"> as neutral, positive, negative, and emotionally disturbing. They rate these images based on arousal, valence, and specific emotions they evoke (e.g., sadness, fear, discomfort). </w:t>
            </w:r>
          </w:p>
        </w:tc>
      </w:tr>
      <w:tr w:rsidR="00B25BDD" w:rsidRPr="000309F2" w14:paraId="323F931B" w14:textId="77777777" w:rsidTr="00AB5C8F">
        <w:trPr>
          <w:trHeight w:val="20"/>
          <w:jc w:val="center"/>
        </w:trPr>
        <w:tc>
          <w:tcPr>
            <w:tcW w:w="0" w:type="auto"/>
            <w:vAlign w:val="center"/>
          </w:tcPr>
          <w:p w14:paraId="08EE764F" w14:textId="3A4B0513"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Emotional videos </w:t>
            </w:r>
            <w:r w:rsidRPr="000309F2">
              <w:rPr>
                <w:rFonts w:ascii="Times New Roman" w:eastAsia="Calibri" w:hAnsi="Times New Roman" w:cs="Times New Roman"/>
                <w:color w:val="000000" w:themeColor="text1"/>
                <w:sz w:val="20"/>
                <w:szCs w:val="20"/>
                <w:lang w:val="en-US"/>
              </w:rPr>
              <w:fldChar w:fldCharType="begin"/>
            </w:r>
            <w:r w:rsidR="00104379" w:rsidRPr="000309F2">
              <w:rPr>
                <w:rFonts w:ascii="Times New Roman" w:eastAsia="Calibri" w:hAnsi="Times New Roman" w:cs="Times New Roman"/>
                <w:color w:val="000000" w:themeColor="text1"/>
                <w:sz w:val="20"/>
                <w:szCs w:val="20"/>
                <w:lang w:val="en-US"/>
              </w:rPr>
              <w:instrText xml:space="preserve"> ADDIN ZOTERO_ITEM CSL_CITATION {"citationID":"I4oExo2M","properties":{"formattedCitation":"\\super 223\\uc0\\u8211{}226\\nosupersub{}","plainCitation":"223–226","noteIndex":0},"citationItems":[{"id":689,"uris":["http://zotero.org/users/local/ww4sk5CR/items/XR7LAC5A"],"itemData":{"id":689,"type":"article-journal","abstract":"High frequency repetitive Transcranial Magnetic Stimulation (rTMS) over the left dorsolateral prefrontal cortex (DLPFC) has been found to alleviate depressive symptoms. However, the mechanisms driving these effects are still poorly understood. In the current study, we tested the idea that this intervention protects against negative mood shifts following emotional provocation. We furthermore explored changes in EEG activity (frontal alpha asymmetry) and effects on attentional processing (emotional Stroop). To this end, 23 healthy individuals participated in two sessions separated by one week, whereby they once received 15 min of 10Hz rTMS stimulation (1500 pulses) at 110% of the individual motor threshold, and once sham stimulation. Then, negative mood was induced using sad movie clips. The results revealed a significantly stronger mood decline following rTMS compared to sham stimulation. No changes were observed in frontal alpha asymmetry and attentional processing. Our findings are at odds with the view that high frequency rTMS over the left DLPFC directly protects against the induction of negative mood, but rather suggest that it enhances the effects of emotional provocation. Possibly, in healthy young individuals, this stimulation protocol heightens susceptibility to mood induction procedures in general.","container-title":"Social Cognitive and Affective Neuroscience","DOI":"10.1093/scan/nsw180","ISSN":"1749-5016","issue":"4","note":"_eprint: https://academic.oup.com/scan/article-pdf/12/4/526/27104401/nsw180.pdf","page":"526-533","title":"Repetitive transcranial magnetic stimulation modulates the impact of a negative mood induction","volume":"12","author":[{"family":"Möbius","given":"Martin"},{"family":"Lacomblé","given":"Lylis"},{"family":"Meyer","given":"Thomas"},{"family":"Schutter","given":"Dennis J.L.G."},{"family":"Gielkens","given":"Tom"},{"family":"Becker","given":"Eni S."},{"family":"Tendolkar","given":"Indira"},{"family":"Eijndhoven","given":"Philip","non-dropping-particle":"van"}],"issued":{"date-parts":[["2016",12]]}}},{"id":726,"uris":["http://zotero.org/users/local/ww4sk5CR/items/KY2JU7TG"],"itemData":{"id":726,"type":"article-journal","abstract":"Transcranial direct current stimulation (tDCS) is a neuromodulatory technique which has garnered recent interest in the potential treatment for emotion-based psychopathology. While accumulating evidence suggests that tDCS may attenuate emotional vulnerability, critically, little is known about underlying mechanisms of this effect. The present study sought to clarify this by examining the possibility that tDCS may affect emotional vulnerability via its capacity to modulate attentional bias towards threatening information. Fifty healthy participants were randomly assigned to receive either anodal tDCS (2 mA/min) stimulation to the left dorsolateral prefrontal cortex (DLPFC), or sham. Participants were then eye tracked during a dual-video stressor task designed to elicit emotional reactivity, while providing a concurrent in-vivo measure of attentional bias. Greater attentional bias towards threatening information was associated with greater emotional reactivity to the stressor task. Furthermore, the active tDCS group showed reduced attentional bias to threat, compared to the sham group. Importantly, attentional bias was found to statistically mediate the effect of tDCS on emotional reactivity, while no direct effect of tDCS on emotional reactivity was observed. The findings are consistent with the notion that the effect of tDCS on emotional vulnerability may be mediated by changes in attentional bias, holding implications for the application of tDCS in emotion-based psychopathology. The findings also highlight the utility of in-vivo eye tracking measures in the examination of the mechanisms associated with DLPFC neuromodulation in emotional vulnerability.","container-title":"Journal of Psychiatric Research","DOI":"10.1016/j.jpsychires.2017.05.008","ISSN":"0022-3956","journalAbbreviation":"Journal of Psychiatric Research","page":"12-19","title":"Attentional bias mediates the effect of neurostimulation on emotional vulnerability","volume":"93","author":[{"family":"Chen","given":"Nigel T.M."},{"family":"Basanovic","given":"Julian"},{"family":"Notebaert","given":"Lies"},{"family":"MacLeod","given":"Colin"},{"family":"Clarke","given":"Patrick J.F."}],"issued":{"date-parts":[["2017",10,1]]}}},{"id":717,"uris":["http://zotero.org/users/local/ww4sk5CR/items/W8X5ELS6"],"itemData":{"id":717,"type":"article-journal","abstract":"The dorsolateral prefrontal cortex (DLPFC) is involved in the cognitive appraisal and modulation of the pain experience. In this sham-controlled study, with healthy volunteers, we used bi-hemispheric transcranial direct current stimulation (tDCS) over the DLPFC to assess emotional reactions elicited by pain observation. Left-cathodal/right-anodal tDCS decreased valence and arousal evaluations compared to other tDCS conditions. Compared to sham condition, both left-cathodal/right-anodal and left-anodal/right-cathodal tDCS decreased hostility, sadness and self-pain perception. These decreased sensations after both active tDCS suggest a common role for left and right DLPFC in personal distress modulation. However, the differences in arousal and valence evaluations point to distinct roles of lateralized DLPFC in cognitive empathy, probably through distinct emotion regulation mechanisms.","container-title":"Neuroscience Letters","DOI":"10.1016/j.neulet.2015.03.042","ISSN":"0304-3940","journalAbbreviation":"Neuroscience Letters","page":"12-16","title":"Hemispheric dorsolateral prefrontal cortex lateralization in the regulation of empathy for pain","volume":"594","author":[{"family":"Rêgo","given":"Gabriel G."},{"family":"Lapenta","given":"Olívia M."},{"family":"Marques","given":"Lucas M."},{"family":"Costa","given":"Thiago L."},{"family":"Leite","given":"Jorge"},{"family":"Carvalho","given":"Sandra"},{"family":"Gonçalves","given":"Óscar F."},{"family":"Brunoni","given":"André R."},{"family":"Fregni","given":"Felipe"},{"family":"Boggio","given":"Paulo S."}],"issued":{"date-parts":[["2015",5,6]]}}},{"id":719,"uris":["http://zotero.org/users/local/ww4sk5CR/items/JNRKNS3C"],"itemData":{"id":719,"type":"article-journal","abstract":"Transcranial direct current stimulation targeting lateral prefrontal areas may attenuate attentional vigilance for negative content and reduce emotional reactivity. However, little research to date has examined how such stimulation may affect attention towards and emotional reactivity to positive emotional content. The aim of this study was to examine whether anodal tDCS targeting the left dorsolateral prefrontal cortex would affect attentional bias towards either or both negative and positive content, and similarly, how it would impact emotional reactivity to negative and positive emotional content among healthy individuals. Unselected participants (N = 101) were recruited (Mage = 22.57, SD = 5.60; 66.33% female) and allocated to either an active or sham tDCS condition. Attentional bias was measured using an eye-tracking task involving negative-neutral and positive-neutral image pairs, followed by an emotional reactivity assessment task involving negative and positive video content (self-report and heart rate variability). Results showed no evidence that tDCS influenced attentional patterns towards either positive or negative information, nor was there evidence that tDCS influenced self-reported anxious mood or physiological arousal. However, participants in the active tDCS condition reported higher positive mood in response to both the positive and negative videos compared to those in the sham condition and also higher arousal in response to positive content and lower arousal in response to negative content, with those in the sham tDCS condition showing the reverse pattern of effects. As such, tDCS effects on emotional reactivity to positive and negative content were restricted to self-report measures.","container-title":"Biological Psychology","DOI":"10.1016/j.biopsycho.2023.108640","ISSN":"0301-0511","journalAbbreviation":"Biological Psychology","page":"108640","title":"The effects of left prefrontal stimulation on selective attention and emotional reactivity for positive and negative information","volume":"182","author":[{"family":"Szeremeta","given":"Elise M."},{"family":"Sutton","given":"Dane"},{"family":"Marinovic","given":"Welber"},{"family":"Clarke","given":"Patrick J.F."}],"issued":{"date-parts":[["2023",9,1]]}}}],"schema":"https://github.com/citation-style-language/schema/raw/master/csl-citation.json"}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00104379" w:rsidRPr="000309F2">
              <w:rPr>
                <w:rFonts w:ascii="Times New Roman" w:hAnsi="Times New Roman" w:cs="Times New Roman"/>
                <w:color w:val="000000" w:themeColor="text1"/>
                <w:sz w:val="20"/>
                <w:vertAlign w:val="superscript"/>
                <w:lang w:val="en-US"/>
              </w:rPr>
              <w:t>223–226</w:t>
            </w:r>
            <w:r w:rsidRPr="000309F2">
              <w:rPr>
                <w:rFonts w:ascii="Times New Roman" w:eastAsia="Calibri" w:hAnsi="Times New Roman" w:cs="Times New Roman"/>
                <w:color w:val="000000" w:themeColor="text1"/>
                <w:sz w:val="20"/>
                <w:szCs w:val="20"/>
                <w:lang w:val="en-US"/>
              </w:rPr>
              <w:fldChar w:fldCharType="end"/>
            </w:r>
            <w:r w:rsidRPr="000309F2">
              <w:rPr>
                <w:rFonts w:ascii="Times New Roman" w:eastAsia="Calibri" w:hAnsi="Times New Roman" w:cs="Times New Roman"/>
                <w:color w:val="000000" w:themeColor="text1"/>
                <w:sz w:val="20"/>
                <w:szCs w:val="20"/>
                <w:lang w:val="en-US"/>
              </w:rPr>
              <w:fldChar w:fldCharType="begin"/>
            </w:r>
            <w:r w:rsidRPr="000309F2">
              <w:rPr>
                <w:rFonts w:ascii="Times New Roman" w:eastAsia="Calibri" w:hAnsi="Times New Roman" w:cs="Times New Roman"/>
                <w:color w:val="000000" w:themeColor="text1"/>
                <w:sz w:val="20"/>
                <w:szCs w:val="20"/>
                <w:lang w:val="en-US"/>
              </w:rPr>
              <w:instrText xml:space="preserve"> ADDIN ZOTERO_ITEM CSL_CITATION {"citationID":"AAX8K0hX","properties":{"formattedCitation":"\\super 230\\uc0\\u8211{}233\\nosupersub{}","plainCitation":"230–233","dontUpdate":true,"noteIndex":0},"citationItems":[{"id":689,"uris":["http://zotero.org/users/local/ww4sk5CR/items/XR7LAC5A"],"itemData":{"id":689,"type":"article-journal","abstract":"High frequency repetitive Transcranial Magnetic Stimulation (rTMS) over the left dorsolateral prefrontal cortex (DLPFC) has been found to alleviate depressive symptoms. However, the mechanisms driving these effects are still poorly understood. In the current study, we tested the idea that this intervention protects against negative mood shifts following emotional provocation. We furthermore explored changes in EEG activity (frontal alpha asymmetry) and effects on attentional processing (emotional Stroop). To this end, 23 healthy individuals participated in two sessions separated by one week, whereby they once received 15 min of 10Hz rTMS stimulation (1500 pulses) at 110% of the individual motor threshold, and once sham stimulation. Then, negative mood was induced using sad movie clips. The results revealed a significantly stronger mood decline following rTMS compared to sham stimulation. No changes were observed in frontal alpha asymmetry and attentional processing. Our findings are at odds with the view that high frequency rTMS over the left DLPFC directly protects against the induction of negative mood, but rather suggest that it enhances the effects of emotional provocation. Possibly, in healthy young individuals, this stimulation protocol heightens susceptibility to mood induction procedures in general.","container-title":"Social Cognitive and Affective Neuroscience","DOI":"10.1093/scan/nsw180","ISSN":"1749-5016","issue":"4","note":"_eprint: https://academic.oup.com/scan/article-pdf/12/4/526/27104401/nsw180.pdf","page":"526-533","title":"Repetitive transcranial magnetic stimulation modulates the impact of a negative mood induction","volume":"12","author":[{"family":"Möbius","given":"Martin"},{"family":"Lacomblé","given":"Lylis"},{"family":"Meyer","given":"Thomas"},{"family":"Schutter","given":"Dennis J.L.G."},{"family":"Gielkens","given":"Tom"},{"family":"Becker","given":"Eni S."},{"family":"Tendolkar","given":"Indira"},{"family":"Eijndhoven","given":"Philip","non-dropping-particle":"van"}],"issued":{"date-parts":[["2016",12]]}}},{"id":726,"uris":["http://zotero.org/users/local/ww4sk5CR/items/KY2JU7TG"],"itemData":{"id":726,"type":"article-journal","abstract":"Transcranial direct current stimulation (tDCS) is a neuromodulatory technique which has garnered recent interest in the potential treatment for emotion-based psychopathology. While accumulating evidence suggests that tDCS may attenuate emotional vulnerability, critically, little is known about underlying mechanisms of this effect. The present study sought to clarify this by examining the possibility that tDCS may affect emotional vulnerability via its capacity to modulate attentional bias towards threatening information. Fifty healthy participants were randomly assigned to receive either anodal tDCS (2 mA/min) stimulation to the left dorsolateral prefrontal cortex (DLPFC), or sham. Participants were then eye tracked during a dual-video stressor task designed to elicit emotional reactivity, while providing a concurrent in-vivo measure of attentional bias. Greater attentional bias towards threatening information was associated with greater emotional reactivity to the stressor task. Furthermore, the active tDCS group showed reduced attentional bias to threat, compared to the sham group. Importantly, attentional bias was found to statistically mediate the effect of tDCS on emotional reactivity, while no direct effect of tDCS on emotional reactivity was observed. The findings are consistent with the notion that the effect of tDCS on emotional vulnerability may be mediated by changes in attentional bias, holding implications for the application of tDCS in emotion-based psychopathology. The findings also highlight the utility of in-vivo eye tracking measures in the examination of the mechanisms associated with DLPFC neuromodulation in emotional vulnerability.","container-title":"Journal of Psychiatric Research","DOI":"10.1016/j.jpsychires.2017.05.008","ISSN":"0022-3956","journalAbbreviation":"Journal of Psychiatric Research","page":"12-19","title":"Attentional bias mediates the effect of neurostimulation on emotional vulnerability","volume":"93","author":[{"family":"Chen","given":"Nigel T.M."},{"family":"Basanovic","given":"Julian"},{"family":"Notebaert","given":"Lies"},{"family":"MacLeod","given":"Colin"},{"family":"Clarke","given":"Patrick J.F."}],"issued":{"date-parts":[["2017",10,1]]}}},{"id":717,"uris":["http://zotero.org/users/local/ww4sk5CR/items/W8X5ELS6"],"itemData":{"id":717,"type":"article-journal","abstract":"The dorsolateral prefrontal cortex (DLPFC) is involved in the cognitive appraisal and modulation of the pain experience. In this sham-controlled study, with healthy volunteers, we used bi-hemispheric transcranial direct current stimulation (tDCS) over the DLPFC to assess emotional reactions elicited by pain observation. Left-cathodal/right-anodal tDCS decreased valence and arousal evaluations compared to other tDCS conditions. Compared to sham condition, both left-cathodal/right-anodal and left-anodal/right-cathodal tDCS decreased hostility, sadness and self-pain perception. These decreased sensations after both active tDCS suggest a common role for left and right DLPFC in personal distress modulation. However, the differences in arousal and valence evaluations point to distinct roles of lateralized DLPFC in cognitive empathy, probably through distinct emotion regulation mechanisms.","container-title":"Neuroscience Letters","DOI":"10.1016/j.neulet.2015.03.042","ISSN":"0304-3940","journalAbbreviation":"Neuroscience Letters","page":"12-16","title":"Hemispheric dorsolateral prefrontal cortex lateralization in the regulation of empathy for pain","volume":"594","author":[{"family":"Rêgo","given":"Gabriel G."},{"family":"Lapenta","given":"Olívia M."},{"family":"Marques","given":"Lucas M."},{"family":"Costa","given":"Thiago L."},{"family":"Leite","given":"Jorge"},{"family":"Carvalho","given":"Sandra"},{"family":"Gonçalves","given":"Óscar F."},{"family":"Brunoni","given":"André R."},{"family":"Fregni","given":"Felipe"},{"family":"Boggio","given":"Paulo S."}],"issued":{"date-parts":[["2015",5,6]]}}},{"id":719,"uris":["http://zotero.org/users/local/ww4sk5CR/items/JNRKNS3C"],"itemData":{"id":719,"type":"article-journal","abstract":"Transcranial direct current stimulation targeting lateral prefrontal areas may attenuate attentional vigilance for negative content and reduce emotional reactivity. However, little research to date has examined how such stimulation may affect attention towards and emotional reactivity to positive emotional content. The aim of this study was to examine whether anodal tDCS targeting the left dorsolateral prefrontal cortex would affect attentional bias towards either or both negative and positive content, and similarly, how it would impact emotional reactivity to negative and positive emotional content among healthy individuals. Unselected participants (N = 101) were recruited (Mage = 22.57, SD = 5.60; 66.33% female) and allocated to either an active or sham tDCS condition. Attentional bias was measured using an eye-tracking task involving negative-neutral and positive-neutral image pairs, followed by an emotional reactivity assessment task involving negative and positive video content (self-report and heart rate variability). Results showed no evidence that tDCS influenced attentional patterns towards either positive or negative information, nor was there evidence that tDCS influenced self-reported anxious mood or physiological arousal. However, participants in the active tDCS condition reported higher positive mood in response to both the positive and negative videos compared to those in the sham condition and also higher arousal in response to positive content and lower arousal in response to negative content, with those in the sham tDCS condition showing the reverse pattern of effects. As such, tDCS effects on emotional reactivity to positive and negative content were restricted to self-report measures.","container-title":"Biological Psychology","DOI":"10.1016/j.biopsycho.2023.108640","ISSN":"0301-0511","journalAbbreviation":"Biological Psychology","page":"108640","title":"The effects of left prefrontal stimulation on selective attention and emotional reactivity for positive and negative information","volume":"182","author":[{"family":"Szeremeta","given":"Elise M."},{"family":"Sutton","given":"Dane"},{"family":"Marinovic","given":"Welber"},{"family":"Clarke","given":"Patrick J.F."}],"issued":{"date-parts":[["2023",9,1]]}}}],"schema":"https://github.com/citation-style-language/schema/raw/master/csl-citation.json"}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Pr="000309F2">
              <w:rPr>
                <w:rFonts w:ascii="Times New Roman" w:eastAsia="Calibri" w:hAnsi="Times New Roman" w:cs="Times New Roman"/>
                <w:color w:val="000000" w:themeColor="text1"/>
                <w:sz w:val="20"/>
                <w:szCs w:val="20"/>
                <w:lang w:val="en-US"/>
              </w:rPr>
              <w:fldChar w:fldCharType="end"/>
            </w:r>
          </w:p>
        </w:tc>
        <w:tc>
          <w:tcPr>
            <w:tcW w:w="0" w:type="auto"/>
            <w:vAlign w:val="center"/>
          </w:tcPr>
          <w:p w14:paraId="3F3D6B06" w14:textId="5FF117DA"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Participants watch video clips designed to induce specific moods and then </w:t>
            </w:r>
            <w:r w:rsidR="000309F2" w:rsidRPr="000309F2">
              <w:rPr>
                <w:rFonts w:ascii="Times New Roman" w:eastAsia="Calibri" w:hAnsi="Times New Roman" w:cs="Times New Roman"/>
                <w:color w:val="000000" w:themeColor="text1"/>
                <w:sz w:val="20"/>
                <w:szCs w:val="20"/>
                <w:lang w:val="en-US"/>
              </w:rPr>
              <w:t>report</w:t>
            </w:r>
            <w:r w:rsidRPr="000309F2">
              <w:rPr>
                <w:rFonts w:ascii="Times New Roman" w:eastAsia="Calibri" w:hAnsi="Times New Roman" w:cs="Times New Roman"/>
                <w:color w:val="000000" w:themeColor="text1"/>
                <w:sz w:val="20"/>
                <w:szCs w:val="20"/>
                <w:lang w:val="en-US"/>
              </w:rPr>
              <w:t xml:space="preserve"> their emotional reactions using standardi</w:t>
            </w:r>
            <w:r w:rsidR="00AB5C8F" w:rsidRPr="000309F2">
              <w:rPr>
                <w:rFonts w:ascii="Times New Roman" w:eastAsia="Calibri" w:hAnsi="Times New Roman" w:cs="Times New Roman"/>
                <w:color w:val="000000" w:themeColor="text1"/>
                <w:sz w:val="20"/>
                <w:szCs w:val="20"/>
                <w:lang w:val="en-US"/>
              </w:rPr>
              <w:t>z</w:t>
            </w:r>
            <w:r w:rsidRPr="000309F2">
              <w:rPr>
                <w:rFonts w:ascii="Times New Roman" w:eastAsia="Calibri" w:hAnsi="Times New Roman" w:cs="Times New Roman"/>
                <w:color w:val="000000" w:themeColor="text1"/>
                <w:sz w:val="20"/>
                <w:szCs w:val="20"/>
                <w:lang w:val="en-US"/>
              </w:rPr>
              <w:t>ed measures.</w:t>
            </w:r>
          </w:p>
        </w:tc>
      </w:tr>
      <w:tr w:rsidR="00B25BDD" w:rsidRPr="000309F2" w14:paraId="46606E75" w14:textId="77777777" w:rsidTr="00AB5C8F">
        <w:trPr>
          <w:trHeight w:val="20"/>
          <w:jc w:val="center"/>
        </w:trPr>
        <w:tc>
          <w:tcPr>
            <w:tcW w:w="0" w:type="auto"/>
            <w:vAlign w:val="center"/>
          </w:tcPr>
          <w:p w14:paraId="4BFB490D" w14:textId="6F945EB5"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Music </w:t>
            </w:r>
            <w:r w:rsidRPr="000309F2">
              <w:rPr>
                <w:rFonts w:ascii="Times New Roman" w:eastAsia="Calibri" w:hAnsi="Times New Roman" w:cs="Times New Roman"/>
                <w:color w:val="000000" w:themeColor="text1"/>
                <w:sz w:val="20"/>
                <w:szCs w:val="20"/>
                <w:lang w:val="en-US"/>
              </w:rPr>
              <w:fldChar w:fldCharType="begin"/>
            </w:r>
            <w:r w:rsidR="00104379" w:rsidRPr="000309F2">
              <w:rPr>
                <w:rFonts w:ascii="Times New Roman" w:eastAsia="Calibri" w:hAnsi="Times New Roman" w:cs="Times New Roman"/>
                <w:color w:val="000000" w:themeColor="text1"/>
                <w:sz w:val="20"/>
                <w:szCs w:val="20"/>
                <w:lang w:val="en-US"/>
              </w:rPr>
              <w:instrText xml:space="preserve"> ADDIN ZOTERO_ITEM CSL_CITATION {"citationID":"YQyF3jEv","properties":{"formattedCitation":"\\super 227\\nosupersub{}","plainCitation":"227","noteIndex":0},"citationItems":[{"id":731,"uris":["http://zotero.org/users/local/ww4sk5CR/items/SMYQSCCG"],"itemData":{"id":731,"type":"article-journal","abstract":"Evidence reported in the literature suggests that the mirror system not only plays a role in recognizing motor action but also fosters a better understanding of other people because it helps an individual assume another’s perspective. This led to the idea, supported by research findings, that people with higher empathy scores should show higher activation of the mirror system. Recently, it has been hypothesized that a purely auditory mirror system exists. In this study, we aimed to explore the possibility that this system might play a particular role for musicians. Specifically, this system would impact their response to a new piece of music by using non-invasive brain stimulation to modulate the activation of the mirror system. A sample of 40 young musicians was involved in this study. Half of the participants were randomly assigned to a cathodal stimulation condition, while the other half was used as a control. After listening to a new piece of music, participants were asked to rate the creativity of the piece (by focusing on how interesting, innovative, and exciting the piece was) as well as their general emotional response to it. Their empathy levels were also assessed using the Interpersonal Reactivity Index (IRI). Results showed that the cathodal stimulation of the mirror system negatively affected both the perception of creativity (level of innovation) and the emotional response to the music. There was no significant difference in the ratings of how interesting the piece was perceived. The effect was mediated by the individuals’ level of empathy. Specifically, empathic concern and fantasy dimensions increased the evaluation of creativity. Results also showed that participants reported less emotion with a negative valence in the cathodal stimulation condition.","container-title":"Frontiers in Neuroscience","ISSN":"1662-453X","journalAbbreviation":"Frontiers in Neuroscience","title":"The Role of the Mirror System in Influencing Musicians’ Evaluation of Musical Creativity: A tDCS Study","URL":"https://www.frontiersin.org/journals/neuroscience/articles/10.3389/fnins.2021.624653","volume":"15","author":[{"family":"Colombo","given":"Barbara"},{"family":"Anctil","given":"Reid"},{"family":"Balzarotti","given":"Stefania"},{"family":"Biassoni","given":"Federica"},{"family":"Antonietti","given":"Alessandro"}],"issued":{"date-parts":[["2021"]]}}}],"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00104379" w:rsidRPr="000309F2">
              <w:rPr>
                <w:rFonts w:ascii="Times New Roman" w:hAnsi="Times New Roman" w:cs="Times New Roman"/>
                <w:color w:val="000000" w:themeColor="text1"/>
                <w:sz w:val="20"/>
                <w:vertAlign w:val="superscript"/>
                <w:lang w:val="en-US"/>
              </w:rPr>
              <w:t>227</w:t>
            </w:r>
            <w:r w:rsidRPr="000309F2">
              <w:rPr>
                <w:rFonts w:ascii="Times New Roman" w:eastAsia="Calibri" w:hAnsi="Times New Roman" w:cs="Times New Roman"/>
                <w:color w:val="000000" w:themeColor="text1"/>
                <w:sz w:val="20"/>
                <w:szCs w:val="20"/>
                <w:lang w:val="en-US"/>
              </w:rPr>
              <w:fldChar w:fldCharType="end"/>
            </w:r>
          </w:p>
        </w:tc>
        <w:tc>
          <w:tcPr>
            <w:tcW w:w="0" w:type="auto"/>
            <w:vAlign w:val="center"/>
          </w:tcPr>
          <w:p w14:paraId="022E5430" w14:textId="77777777"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Participants rate their emotional reactions to a piece of sad music.</w:t>
            </w:r>
          </w:p>
        </w:tc>
      </w:tr>
      <w:tr w:rsidR="00B25BDD" w:rsidRPr="000309F2" w14:paraId="7065BF9F" w14:textId="77777777" w:rsidTr="00AB5C8F">
        <w:trPr>
          <w:trHeight w:val="20"/>
          <w:jc w:val="center"/>
        </w:trPr>
        <w:tc>
          <w:tcPr>
            <w:tcW w:w="0" w:type="auto"/>
            <w:vAlign w:val="center"/>
          </w:tcPr>
          <w:p w14:paraId="7C7A611C" w14:textId="17FCA290"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Word-fragment completion task </w:t>
            </w:r>
            <w:r w:rsidRPr="000309F2">
              <w:rPr>
                <w:rFonts w:ascii="Times New Roman" w:eastAsia="Calibri" w:hAnsi="Times New Roman" w:cs="Times New Roman"/>
                <w:color w:val="000000" w:themeColor="text1"/>
                <w:sz w:val="20"/>
                <w:szCs w:val="20"/>
                <w:lang w:val="en-US"/>
              </w:rPr>
              <w:fldChar w:fldCharType="begin"/>
            </w:r>
            <w:r w:rsidR="00104379" w:rsidRPr="000309F2">
              <w:rPr>
                <w:rFonts w:ascii="Times New Roman" w:eastAsia="Calibri" w:hAnsi="Times New Roman" w:cs="Times New Roman"/>
                <w:color w:val="000000" w:themeColor="text1"/>
                <w:sz w:val="20"/>
                <w:szCs w:val="20"/>
                <w:lang w:val="en-US"/>
              </w:rPr>
              <w:instrText xml:space="preserve"> ADDIN ZOTERO_ITEM CSL_CITATION {"citationID":"7k8JdEJY","properties":{"formattedCitation":"\\super 228,229\\nosupersub{}","plainCitation":"228,229","noteIndex":0},"citationItems":[{"id":144,"uris":["http://zotero.org/users/local/ww4sk5CR/items/GTT79CQQ"],"itemData":{"id":144,"type":"article-journal","abstract":"Previous studies empirically support the existence of a distinctive association between deontological (but not altruistic) guilt and both disgust and obsessive-compulsive (OC) symptoms. Given that the neural substrate underlying deontological guilt comprises brain regions strictly implicated in the emotion of disgust (i.e. the insula), the present study aimed to test the hypothesis that indirect stimulation of the insula via transcranial direct current stimulation (tDCS) would enhance disgust and morality in the deontological domain. A randomized, sham-controlled, within-subject design was used. Thirty-seven healthy individuals (25 women) underwent 15-min anodal and sham tDCS over T3 in two different days, while their heart rate (HR) was recorded to derive measures of parasympathetic nervous system activity (HR variability; HRV). After the first 10-min of sham or active tDCS stimulation, participants were asked to 1) complete a series of 6-item words that could be completed with either a disgust-related word (cleaning/dirtiness) or neutral alternatives; 2) rate how much a series of vignettes, each depicting a behavior that violated a specific moral foundation, were morally wrong. Levels of trait anxiety, depression, disgust sensitivity, scrupulosity, and altruism as well as pre- and post- stimulation momentary emotional states were assessed. Compared to the sham condition, after active stimulation of T3 a) HRV significantly increased and participants b) completed more words in terms of cleaning/dirtiness and c) reported greater subjective levels of disgust, all suggesting the elicitation of the emotion of disgust. Although the results are only marginally significant, they point to the absence of difference between the two experimental conditions for moral vignettes in the altruistic domain (i.e., animal care, emotional and physical human care), but not in the deontological domain (i.e., authority, fairness, liberty, and sacrality), where vignettes were judged as more morally wrong in the active compared to the sham condition. Moreover, scores on the OCI-R correlated with how much vignettes were evaluated as morally wrong in the deontological domain only. Results preliminarily support the association between disgust and morality in the deontological domain, with important implications for OC disorder (OCD). Future studies should explore the possibility of decreasing both disgust and morality in patients with OCD by the use of non-invasive brain stimulation techniques. (PsycInfo Database Record (c) 2022 APA, all rights reserved)","archive":"psyh","archive_location":"2018-52617-049","container-title":"Neuropsychologia","DOI":"10.1016/j.neuropsychologia.2018.09.009","ISSN":"0028-3932","journalAbbreviation":"Neuropsychologia","note":"publisher: Elsevier Science","page":"474-481","source":"EBSCOhost","title":"Deontological morality can be experimentally enhanced by increasing disgust: A transcranial direct current stimulation study","volume":"119","author":[{"family":"Ottaviani","given":"Cristina"},{"family":"Mancini","given":"Francesco"},{"family":"Provenzano","given":"Samantha"},{"family":"Collazzoni","given":"Alberto"},{"family":"D'Olimpio","given":"Francesca"}],"issued":{"date-parts":[["2018",10]]}}},{"id":616,"uris":["http://zotero.org/users/local/ww4sk5CR/items/Y5ZTX8AX"],"itemData":{"id":616,"type":"article-journal","abstract":"The study was designed to test the hypothesis that indirect inhibition of the insula via cathodal transcranial direct current stimulation (tDCS) would decrease disgust and moral rigidity in 36 healthy individuals undergoing 15 min of tDCS over the temporal lobe. To obtain a comprehensive assessment of disgust, we used subjective (affect rating), physiological (heart rate variability [HRV]), and implicit measures (word-fragment completion), and moral judgment was assessed by asking participants to rate the deontological and altruistic moral wrongness of a revised version of the moral foundations vignettes. We found anodal and cathodal stimulations to, respectively, enhance and decrease self-reported disgust, deontological morality, and HRV. Note that these effects were stronger in individuals with higher levels of obsessive compulsive (OC) traits. Because disgust and sensitivity to deontological guilt are among the most impairing features in OC disorder, it is auspicious that cathodal tDCS could be implemented to reduce such symptoms.","container-title":"Clinical Psychological Science","DOI":"10.1177/21677026211009508","issue":"1","note":"_eprint: https://doi.org/10.1177/21677026211009508","page":"127-140","title":"Filthiness of Immorality: Manipulating Disgust and Moral Rigidity Through Noninvasive Brain Stimulation as a Promising Therapeutic Tool for Obsessive Compulsive Disorder","volume":"10","author":[{"family":"Salvo","given":"Giuseppe"},{"family":"Provenzano","given":"Samantha"},{"family":"Bello","given":"Maria Di"},{"family":"D’Olimpio","given":"Francesca"},{"family":"Ottaviani","given":"Cristina"},{"family":"Mancini","given":"Francesco"}],"issued":{"date-parts":[["2022"]]}}}],"schema":"https://github.com/citation-style-language/schema/raw/master/csl-citation.json"}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00104379" w:rsidRPr="000309F2">
              <w:rPr>
                <w:rFonts w:ascii="Times New Roman" w:hAnsi="Times New Roman" w:cs="Times New Roman"/>
                <w:color w:val="000000" w:themeColor="text1"/>
                <w:sz w:val="20"/>
                <w:vertAlign w:val="superscript"/>
                <w:lang w:val="en-US"/>
              </w:rPr>
              <w:t>228,229</w:t>
            </w:r>
            <w:r w:rsidRPr="000309F2">
              <w:rPr>
                <w:rFonts w:ascii="Times New Roman" w:eastAsia="Calibri" w:hAnsi="Times New Roman" w:cs="Times New Roman"/>
                <w:color w:val="000000" w:themeColor="text1"/>
                <w:sz w:val="20"/>
                <w:szCs w:val="20"/>
                <w:lang w:val="en-US"/>
              </w:rPr>
              <w:fldChar w:fldCharType="end"/>
            </w:r>
          </w:p>
        </w:tc>
        <w:tc>
          <w:tcPr>
            <w:tcW w:w="0" w:type="auto"/>
            <w:vAlign w:val="center"/>
          </w:tcPr>
          <w:p w14:paraId="7DEC6182" w14:textId="77777777"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Participants complete disgust-related words with missing letters. Faster word completion indicates more attention (reactivity) to emotional content.</w:t>
            </w:r>
          </w:p>
        </w:tc>
      </w:tr>
      <w:tr w:rsidR="00B25BDD" w:rsidRPr="000309F2" w14:paraId="55D122F9" w14:textId="77777777" w:rsidTr="00AB5C8F">
        <w:trPr>
          <w:trHeight w:val="20"/>
          <w:jc w:val="center"/>
        </w:trPr>
        <w:tc>
          <w:tcPr>
            <w:tcW w:w="0" w:type="auto"/>
            <w:vAlign w:val="center"/>
          </w:tcPr>
          <w:p w14:paraId="0A75194C" w14:textId="05BA39F3"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Handgrip-force task </w:t>
            </w:r>
            <w:r w:rsidRPr="000309F2">
              <w:rPr>
                <w:rFonts w:ascii="Times New Roman" w:eastAsia="Calibri" w:hAnsi="Times New Roman" w:cs="Times New Roman"/>
                <w:color w:val="000000" w:themeColor="text1"/>
                <w:sz w:val="20"/>
                <w:szCs w:val="20"/>
                <w:lang w:val="en-US"/>
              </w:rPr>
              <w:fldChar w:fldCharType="begin"/>
            </w:r>
            <w:r w:rsidR="00104379" w:rsidRPr="000309F2">
              <w:rPr>
                <w:rFonts w:ascii="Times New Roman" w:eastAsia="Calibri" w:hAnsi="Times New Roman" w:cs="Times New Roman"/>
                <w:color w:val="000000" w:themeColor="text1"/>
                <w:sz w:val="20"/>
                <w:szCs w:val="20"/>
                <w:lang w:val="en-US"/>
              </w:rPr>
              <w:instrText xml:space="preserve"> ADDIN ZOTERO_ITEM CSL_CITATION {"citationID":"zU4GTZka","properties":{"formattedCitation":"\\super 230\\nosupersub{}","plainCitation":"230","noteIndex":0},"citationItems":[{"id":26,"uris":["http://zotero.org/users/local/ww4sk5CR/items/I26IUZ5K"],"itemData":{"id":26,"type":"article-journal","abstract":"Infant signals, including infant sounds and facial expressions, play a critical role in eliciting parental proximity and care. Processing of infant signals in the adulthood brain is likely to recruit emotional empathy neural circuits, including the inferior frontal gyrus (IFG). Here, we used transcranial magnetic stimulation (TMS) to test the role of right IFG (rIFG) in behavioral responses to infant signals. Specifically, a group of nulliparous women were asked to perform a handgrip dynamometer task and an Approach-Avoidance Task (AAT) after receiving TMS over the right IFG or over a control site (vertex). Suppressing activity in the rIFG affected the modulation of handgrip force in response to infant crying. Moreover, the AAT showed that participants tend to avoid the sad infant face after Vertex stimulation, and this bias was counteracted by rIFG stimulation. Our results suggest a causal role of rIFG in sensitive responding towards sad infants and point to the rIFG as a critical node in the neural network underlying the innate releasing mechanism for feelings of love, affection and caring of sad infants. (PsycINFO Database Record (c) 2019 APA, all rights reserved)","archive":"psyh","archive_location":"2019-59435-001","container-title":"Social Neuroscience","DOI":"10.1080/17470919.2019.1574891","ISSN":"1747-0919","issue":"6","journalAbbreviation":"Social Neuroscience","note":"publisher: Taylor &amp; Francis","page":"697-704","source":"EBSCOhost","title":"A walk on the dark side: TMS over the right inferior frontal gyrus (rIFG) disrupts behavioral responses to infant stimuli","volume":"14","author":[{"family":"De Carli","given":"Pietro"},{"family":"Bakermans-Kranenburg","given":"Marian J."},{"family":"Parolin","given":"Laura"},{"family":"Lega","given":"Carlotta"},{"family":"Zanardo","given":"Beatrice"},{"family":"Cattaneo","given":"Zaira"},{"family":"Riem","given":"Madelon M. E."}],"issued":{"date-parts":[["2019",12]]}}}],"schema":"https://github.com/citation-style-language/schema/raw/master/csl-citation.json"}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00104379" w:rsidRPr="000309F2">
              <w:rPr>
                <w:rFonts w:ascii="Times New Roman" w:hAnsi="Times New Roman" w:cs="Times New Roman"/>
                <w:color w:val="000000" w:themeColor="text1"/>
                <w:sz w:val="20"/>
                <w:vertAlign w:val="superscript"/>
                <w:lang w:val="en-US"/>
              </w:rPr>
              <w:t>230</w:t>
            </w:r>
            <w:r w:rsidRPr="000309F2">
              <w:rPr>
                <w:rFonts w:ascii="Times New Roman" w:eastAsia="Calibri" w:hAnsi="Times New Roman" w:cs="Times New Roman"/>
                <w:color w:val="000000" w:themeColor="text1"/>
                <w:sz w:val="20"/>
                <w:szCs w:val="20"/>
                <w:lang w:val="en-US"/>
              </w:rPr>
              <w:fldChar w:fldCharType="end"/>
            </w:r>
          </w:p>
        </w:tc>
        <w:tc>
          <w:tcPr>
            <w:tcW w:w="0" w:type="auto"/>
            <w:vAlign w:val="center"/>
          </w:tcPr>
          <w:p w14:paraId="495826B1" w14:textId="77777777"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Participants hold a handgrip while watching videos of crying infants. Increased pressure on the handgrip indicates more reactivity.</w:t>
            </w:r>
          </w:p>
        </w:tc>
      </w:tr>
      <w:tr w:rsidR="00B25BDD" w:rsidRPr="000309F2" w14:paraId="3B909417" w14:textId="77777777" w:rsidTr="00AB5C8F">
        <w:trPr>
          <w:trHeight w:val="20"/>
          <w:jc w:val="center"/>
        </w:trPr>
        <w:tc>
          <w:tcPr>
            <w:tcW w:w="0" w:type="auto"/>
            <w:tcBorders>
              <w:bottom w:val="single" w:sz="6" w:space="0" w:color="auto"/>
            </w:tcBorders>
            <w:vAlign w:val="center"/>
          </w:tcPr>
          <w:p w14:paraId="5337A005" w14:textId="2AD451E8"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Empathy Quotient </w:t>
            </w:r>
            <w:r w:rsidRPr="000309F2">
              <w:rPr>
                <w:rFonts w:ascii="Times New Roman" w:eastAsia="Calibri" w:hAnsi="Times New Roman" w:cs="Times New Roman"/>
                <w:color w:val="000000" w:themeColor="text1"/>
                <w:sz w:val="20"/>
                <w:szCs w:val="20"/>
                <w:lang w:val="en-US"/>
              </w:rPr>
              <w:fldChar w:fldCharType="begin"/>
            </w:r>
            <w:r w:rsidR="00104379" w:rsidRPr="000309F2">
              <w:rPr>
                <w:rFonts w:ascii="Times New Roman" w:eastAsia="Calibri" w:hAnsi="Times New Roman" w:cs="Times New Roman"/>
                <w:color w:val="000000" w:themeColor="text1"/>
                <w:sz w:val="20"/>
                <w:szCs w:val="20"/>
                <w:lang w:val="en-US"/>
              </w:rPr>
              <w:instrText xml:space="preserve"> ADDIN ZOTERO_ITEM CSL_CITATION {"citationID":"CbjWfDOv","properties":{"formattedCitation":"\\super 231\\nosupersub{}","plainCitation":"231","noteIndex":0},"citationItems":[{"id":664,"uris":["http://zotero.org/users/local/ww4sk5CR/items/LE9SGRF9"],"itemData":{"id":664,"type":"article-journal","abstract":"Introduction: Empathy is critical for human interactions to become shared and meaningful, and it is facilitated by the expression and processing of facial emotions. Deficits in empathy and facial emotion recognition are associated with individuals with autism spectrum disorder (ASD), with specific concerns over inaccurate recognition of facial emotion expressions conveying a threat. Yet, the number of evidenced interventions for facial emotion recognition and processing (FERP), emotion, and empathy remains limited, particularly for adults with ASD. Transcranial direct current stimulation (tDCS), a noninvasive brain stimulation, may be a promising treatment modality to safely accelerate or enhance treatment interventions to increase their efficacy. Methods: This study investigates the effectiveness of FERP, emotion, and empathy treatment interventions paired with tDCS for adults with ASD. Verum or sham tDCS was randomly assigned in a within-subjects, double-blinded design with seven adults with ASD without intellectual disability. Outcomes were measured using scores from the Empathy Quotient (EQ) and a FERP test for both verum and sham tDCS. Results: Verum tDCS significantly improved EQ scores and FERP scores for emotions that conveyed threat. Conclusions: These results suggest the potential for increasing the efficacy of treatment interventions by pairing them with tDCS for individuals with ASD.","container-title":"NeuroRegulation","DOI":"10.15540/nr.8.2.87","ISSN":"23730587","issue":"2","journalAbbreviation":"NR","language":"en","page":"87-95","source":"DOI.org (Crossref)","title":"Transcranial Direct Current Stimulation (tDCS) Improves Empathy and Recognition of Facial Emotions Conveying Threat in Adults with Autism Spectrum Disorder (ASD): A Randomized Controlled Pilot Study","title-short":"Transcranial Direct Current Stimulation (tDCS) Improves Empathy and Recognition of Facial Emotions Conveying Threat in Adults with Autism Spectrum Disorder (ASD)","volume":"8","author":[{"family":"Wilson","given":"Joan"},{"family":"Trumbo","given":"Michael"},{"family":"Tesche","given":"Claudia"}],"issued":{"date-parts":[["2021",6,30]]}}}],"schema":"https://github.com/citation-style-language/schema/raw/master/csl-citation.json"}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00104379" w:rsidRPr="000309F2">
              <w:rPr>
                <w:rFonts w:ascii="Times New Roman" w:hAnsi="Times New Roman" w:cs="Times New Roman"/>
                <w:color w:val="000000" w:themeColor="text1"/>
                <w:sz w:val="20"/>
                <w:vertAlign w:val="superscript"/>
                <w:lang w:val="en-US"/>
              </w:rPr>
              <w:t>231</w:t>
            </w:r>
            <w:r w:rsidRPr="000309F2">
              <w:rPr>
                <w:rFonts w:ascii="Times New Roman" w:eastAsia="Calibri" w:hAnsi="Times New Roman" w:cs="Times New Roman"/>
                <w:color w:val="000000" w:themeColor="text1"/>
                <w:sz w:val="20"/>
                <w:szCs w:val="20"/>
                <w:lang w:val="en-US"/>
              </w:rPr>
              <w:fldChar w:fldCharType="end"/>
            </w:r>
            <w:r w:rsidRPr="000309F2">
              <w:rPr>
                <w:rFonts w:ascii="Times New Roman" w:eastAsia="Calibri" w:hAnsi="Times New Roman" w:cs="Times New Roman"/>
                <w:color w:val="000000" w:themeColor="text1"/>
                <w:sz w:val="20"/>
                <w:szCs w:val="20"/>
                <w:lang w:val="en-US"/>
              </w:rPr>
              <w:t xml:space="preserve"> </w:t>
            </w:r>
          </w:p>
        </w:tc>
        <w:tc>
          <w:tcPr>
            <w:tcW w:w="0" w:type="auto"/>
            <w:tcBorders>
              <w:bottom w:val="single" w:sz="6" w:space="0" w:color="auto"/>
            </w:tcBorders>
            <w:vAlign w:val="center"/>
          </w:tcPr>
          <w:p w14:paraId="1802B96F" w14:textId="77777777"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A self-report questionnaire designed to measure empathy in adults, including a subscale to assess emotional reactivity.</w:t>
            </w:r>
          </w:p>
        </w:tc>
      </w:tr>
      <w:tr w:rsidR="00B25BDD" w:rsidRPr="000309F2" w14:paraId="4AD92B46" w14:textId="77777777" w:rsidTr="00AB5C8F">
        <w:trPr>
          <w:trHeight w:val="20"/>
          <w:jc w:val="center"/>
        </w:trPr>
        <w:tc>
          <w:tcPr>
            <w:tcW w:w="0" w:type="auto"/>
            <w:gridSpan w:val="2"/>
            <w:tcBorders>
              <w:bottom w:val="single" w:sz="6" w:space="0" w:color="auto"/>
            </w:tcBorders>
            <w:vAlign w:val="center"/>
          </w:tcPr>
          <w:p w14:paraId="348E1C1C" w14:textId="77777777" w:rsidR="00156BB0" w:rsidRPr="000309F2" w:rsidRDefault="00156BB0" w:rsidP="008920A6">
            <w:pPr>
              <w:spacing w:before="40" w:after="40" w:line="240" w:lineRule="auto"/>
              <w:rPr>
                <w:rFonts w:ascii="Times New Roman" w:eastAsia="Calibri" w:hAnsi="Times New Roman" w:cs="Times New Roman"/>
                <w:i/>
                <w:iCs/>
                <w:color w:val="000000" w:themeColor="text1"/>
                <w:sz w:val="20"/>
                <w:szCs w:val="20"/>
                <w:lang w:val="en-US"/>
              </w:rPr>
            </w:pPr>
            <w:r w:rsidRPr="000309F2">
              <w:rPr>
                <w:rFonts w:ascii="Times New Roman" w:eastAsia="Calibri" w:hAnsi="Times New Roman" w:cs="Times New Roman"/>
                <w:i/>
                <w:iCs/>
                <w:color w:val="000000" w:themeColor="text1"/>
                <w:lang w:val="en-US"/>
              </w:rPr>
              <w:t>Empathic Concern</w:t>
            </w:r>
          </w:p>
        </w:tc>
      </w:tr>
      <w:tr w:rsidR="00B25BDD" w:rsidRPr="000309F2" w14:paraId="1DF96931" w14:textId="77777777" w:rsidTr="00AB5C8F">
        <w:trPr>
          <w:trHeight w:val="20"/>
          <w:jc w:val="center"/>
        </w:trPr>
        <w:tc>
          <w:tcPr>
            <w:tcW w:w="0" w:type="auto"/>
            <w:tcBorders>
              <w:top w:val="single" w:sz="6" w:space="0" w:color="auto"/>
              <w:bottom w:val="single" w:sz="6" w:space="0" w:color="auto"/>
            </w:tcBorders>
            <w:vAlign w:val="center"/>
          </w:tcPr>
          <w:p w14:paraId="085DF2C0" w14:textId="77777777" w:rsidR="00156BB0" w:rsidRPr="000309F2" w:rsidRDefault="00156BB0" w:rsidP="008920A6">
            <w:pPr>
              <w:spacing w:before="40" w:after="40" w:line="240" w:lineRule="auto"/>
              <w:rPr>
                <w:rFonts w:ascii="Times New Roman" w:eastAsia="Calibri" w:hAnsi="Times New Roman" w:cs="Times New Roman"/>
                <w:i/>
                <w:iCs/>
                <w:color w:val="000000" w:themeColor="text1"/>
                <w:sz w:val="20"/>
                <w:szCs w:val="20"/>
                <w:lang w:val="en-US"/>
              </w:rPr>
            </w:pPr>
            <w:r w:rsidRPr="000309F2">
              <w:rPr>
                <w:rFonts w:ascii="Times New Roman" w:eastAsia="Calibri" w:hAnsi="Times New Roman" w:cs="Times New Roman"/>
                <w:i/>
                <w:iCs/>
                <w:color w:val="000000" w:themeColor="text1"/>
                <w:sz w:val="20"/>
                <w:szCs w:val="20"/>
                <w:lang w:val="en-US"/>
              </w:rPr>
              <w:t>Measures</w:t>
            </w:r>
          </w:p>
        </w:tc>
        <w:tc>
          <w:tcPr>
            <w:tcW w:w="0" w:type="auto"/>
            <w:tcBorders>
              <w:top w:val="single" w:sz="6" w:space="0" w:color="auto"/>
              <w:bottom w:val="single" w:sz="6" w:space="0" w:color="auto"/>
            </w:tcBorders>
            <w:vAlign w:val="center"/>
          </w:tcPr>
          <w:p w14:paraId="17366CD2" w14:textId="77777777" w:rsidR="00156BB0" w:rsidRPr="000309F2" w:rsidRDefault="00156BB0" w:rsidP="008920A6">
            <w:pPr>
              <w:spacing w:before="40" w:after="40" w:line="240" w:lineRule="auto"/>
              <w:jc w:val="center"/>
              <w:rPr>
                <w:rFonts w:ascii="Times New Roman" w:eastAsia="Calibri" w:hAnsi="Times New Roman" w:cs="Times New Roman"/>
                <w:i/>
                <w:iCs/>
                <w:color w:val="000000" w:themeColor="text1"/>
                <w:sz w:val="20"/>
                <w:szCs w:val="20"/>
                <w:lang w:val="en-US"/>
              </w:rPr>
            </w:pPr>
            <w:r w:rsidRPr="000309F2">
              <w:rPr>
                <w:rFonts w:ascii="Times New Roman" w:eastAsia="Calibri" w:hAnsi="Times New Roman" w:cs="Times New Roman"/>
                <w:i/>
                <w:iCs/>
                <w:color w:val="000000" w:themeColor="text1"/>
                <w:sz w:val="20"/>
                <w:szCs w:val="20"/>
                <w:lang w:val="en-US"/>
              </w:rPr>
              <w:t>Description</w:t>
            </w:r>
          </w:p>
        </w:tc>
      </w:tr>
      <w:tr w:rsidR="00B25BDD" w:rsidRPr="000309F2" w14:paraId="3A535648" w14:textId="77777777" w:rsidTr="00AB5C8F">
        <w:trPr>
          <w:trHeight w:val="20"/>
          <w:jc w:val="center"/>
        </w:trPr>
        <w:tc>
          <w:tcPr>
            <w:tcW w:w="0" w:type="auto"/>
            <w:tcBorders>
              <w:top w:val="single" w:sz="6" w:space="0" w:color="auto"/>
            </w:tcBorders>
            <w:vAlign w:val="center"/>
          </w:tcPr>
          <w:p w14:paraId="0445396C" w14:textId="0DE8A0C7"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Pain empathy task </w:t>
            </w:r>
            <w:r w:rsidRPr="000309F2">
              <w:rPr>
                <w:rFonts w:ascii="Times New Roman" w:eastAsia="Calibri" w:hAnsi="Times New Roman" w:cs="Times New Roman"/>
                <w:color w:val="000000" w:themeColor="text1"/>
                <w:sz w:val="20"/>
                <w:szCs w:val="20"/>
                <w:lang w:val="en-US"/>
              </w:rPr>
              <w:fldChar w:fldCharType="begin"/>
            </w:r>
            <w:r w:rsidR="00104379" w:rsidRPr="000309F2">
              <w:rPr>
                <w:rFonts w:ascii="Times New Roman" w:eastAsia="Calibri" w:hAnsi="Times New Roman" w:cs="Times New Roman"/>
                <w:color w:val="000000" w:themeColor="text1"/>
                <w:sz w:val="20"/>
                <w:szCs w:val="20"/>
                <w:lang w:val="en-US"/>
              </w:rPr>
              <w:instrText xml:space="preserve"> ADDIN ZOTERO_ITEM CSL_CITATION {"citationID":"keBe5he7","properties":{"formattedCitation":"\\super 232\\uc0\\u8211{}236\\nosupersub{}","plainCitation":"232–236","noteIndex":0},"citationItems":[{"id":138,"uris":["http://zotero.org/users/local/ww4sk5CR/items/3NT9DX9A"],"itemData":{"id":138,"type":"article-journal","abstract":"Research indicates that the posterior medial frontal cortex (pMFC) functions as a ‘neural alarm’ complex broadly involved in registering threats and helping to muster relevant responses. Holbrook and colleagues investigated whether pMFC similarly mediates ideological threat responses, finding that downregulating pMFC via transcranial magnetic stimulation (TMS) caused (i) less avowed religious belief despite being reminded of death and (ii) less group bias despite encountering a sharp critique of the national in-group. While suggestive, these findings were limited by the absence of a non-threat comparison condition and reliance on sham rather than control TMS. Here, in a pre-registered replication and extension, we downregulated pMFC or a control region (MT/V5) and then primed participants with either a reminder of death or a threat-neutral topic. As mentioned previously, participants reminded of death reported less religious belief when pMFC was downregulated. No such effect of pMFC downregulation was observed in the neutral condition, consistent with construing pMFC as monitoring for salient threats (e.g. death) and helping to recruit ideological responses (e.g. enhanced religious belief). However, no effect of downregulating pMFC on group bias was observed, possibly due to reliance on a collegiate in-group framing rather than a national framing as in the prior study. (PsycInfo Database Record (c) 2021 APA, all rights reserved)","archive":"psyh","archive_location":"2021-17014-008","container-title":"Social Cognitive and Affective Neuroscience","DOI":"10.1093/scan/nsaa153","ISSN":"1749-5016","issue":"12","journalAbbreviation":"Social Cognitive and Affective Neuroscience","note":"publisher: Oxford University Press","page":"1350-1356","source":"EBSCOhost","title":"Posterior medial frontal cortex and threat-enhanced religious belief: A replication and extension","volume":"15","author":[{"family":"Holbrook","given":"Colin"},{"family":"Iacoboni","given":"Marco"},{"family":"Gordon","given":"Chelsea"},{"family":"Proksch","given":"Shannon"},{"family":"Balasubramaniam","given":"Ramesh"}],"issued":{"date-parts":[["2020",12]]}}},{"id":24,"uris":["http://zotero.org/users/local/ww4sk5CR/items/7EFMJL6Z"],"itemData":{"id":24,"type":"article-journal","abstract":"Functional neuroimaging studies have emphasized distinct networks for social cognition and affective aspects of empathy. However, studies have not considered whether substrates of social cognition, such as the right temporoparietal junction (TPJ), play a role in affective responses to complex empathy-related stimuli. Here, we used repetitive transcranial magnetic stimulation (TMS) to test whether the right TPJ contributes to psychophysiological responses to another person’s emotional suffering. We used a theory of mind functional localizer and image-guided TMS to target the sub-region of the right TPJ implicated in social cognition, and measured autonomic and subjective responses to an empathy induction video. We found evidence that TMS applied at 1 Hz over the right TPJ increased withdrawal of parasympathetic nervous system activity during the empathy induction (n = 32), but did not affect sympathetic nervous system activity (n = 27). Participants who received TMS over the right TPJ also reported feeling more irritation and annoyance, and were less likely to report feeling compassion over and above empathic sadness, than participants who received TMS over the vertex (N = 34). This study provides preliminary evidence for the role of right TPJ functioning in empathy-related psychophysiological and affective responding, potentially blurring the distinction between neural regions specific to social cognition vs. affective aspects of empathy. (PsycINFO Database Record (c) 2020 APA, all rights reserved)","archive":"psyh","archive_location":"2020-10489-001","container-title":"Frontiers in Human Neuroscience","DOI":"10.3389/fnhum.2020.00007","ISSN":"1662-5161","journalAbbreviation":"Frontiers in Human Neuroscience","note":"publisher: Frontiers Media S.A.","source":"EBSCOhost","title":"Right temporoparietal junction involvement in autonomic responses to the suffering of others: A preliminary transcranial magnetic stimulation study","URL":"https://search.ebscohost.com/login.aspx?direct=true&amp;db=psyh&amp;AN=2020-10489-001&amp;site=ehost-live&amp;authtype=sso&amp;custid=s9814295","volume":"14","author":[{"family":"Miller","given":"Jonas G."},{"family":"Xia","given":"Guohua"},{"family":"Hastings","given":"Paul D."}],"issued":{"date-parts":[["2020",1,28]]}}},{"id":8,"uris":["http://zotero.org/users/local/ww4sk5CR/items/JAPCR4LX"],"itemData":{"id":8,"type":"article-journal","abstract":"Pain empathy has a number of social benefits, but can be problematic in those who feel the pain of others too much. The current study examined the use of transcranial direct current stimulation (tDCS) as a modifier of pain empathy with the expectation that cathodal stimulation would decrease pain empathy. Anxiety and general empathy were controlled for, given past work demonstrating their impact on pain empathy. Participants were randomized to either active (cathodal; n = 55) or sham tDCS (n = 55) at 2 mA for 20 min while watching videos of painful events and completing a pain empathy simulation questionnaire. Bayesian linear regression analysis indicated no evidence that tDCS condition affected pain empathy. However, there was strong evidence in favor of a positive relationship between anxiety and pain empathy, and extreme evidence between general empathy and pain empathy. The current study examined a montage over the temporoparietal junction though future work should also investigate other areas related to pain empathy such as the anterior cingulate cortex. Results provide evidence of the need for stronger methodological considerations with regard to tDCS including larger sample sizes. Further, the connection between anxiety and pain empathy demonstrates the need for treatments to not only target classic anxiety symptoms, but other factors than may worsen daily functioning. (PsycInfo Database Record (c) 2022 APA, all rights reserved)","archive":"psyh","archive_location":"2022-88864-002","container-title":"International Journal of Psychophysiology","DOI":"10.1016/j.ijpsycho.2022.06.012","ISSN":"0167-8760","journalAbbreviation":"International Journal of Psychophysiology","note":"publisher: Elsevier Science","page":"1-5","source":"EBSCOhost","title":"You feel me? A randomized trial of tDCS on pain empathy","volume":"179","author":[{"family":"Repetti","given":"Crysten"},{"family":"Eskenazi","given":"Michael"},{"family":"Garcia","given":"Sarah"}],"issued":{"date-parts":[["2022",9]]}}},{"id":660,"uris":["http://zotero.org/users/local/ww4sk5CR/items/M4EDXIVC"],"itemData":{"id":660,"type":"article-journal","abstract":"Background\nStudies have shown that impairments in the ventromedial prefrontal cortex play a crucial role in violent behavior in forensic patients who also abuse cocaine and alcohol. Moreover, interventions that aimed to reduce violence risk in those patients are found not to be optimal. A promising intervention might be to modulate the ventromedial prefrontal cortex by high-definition (HD) transcranial direct current stimulation (tDCS). The current study aimed to examine HD-tDCS as an intervention to increase empathic abilities and reduce violent behavior in forensic substance dependent offenders. In addition, using electroencephalography, we examined the effects on the P3 and the late positive potential of the event-related potentials in reaction to situations that depict victims of aggression.\nMethods\nFifty male forensic patients with a substance dependence were tested in a double-blind, placebo-controlled randomized study. The patients received HD-tDCS 2 times a day for 20 minutes for 5 consecutive days. Before and after the intervention, the patients completed self-reports and performed the Point Subtraction Aggression Paradigm, and electroencephalography was recorded while patients performed an empathy task.\nResults\nResults showed a decrease in aggressive responses on the Point Subtraction Aggression Paradigm and in self-reported reactive aggression in the active tDCS group. Additionally, we found a general increase in late positive potential amplitude after active tDCS. No effects on trait empathy and the P3 were found.\nConclusions\nCurrent findings are the first to find positive effects of HD-tDCS in reducing aggression and modulating electrophysiological responses in forensic patients, showing the potential of using tDCS as an intervention to reduce aggression in forensic mental health care.","container-title":"Biological Psychiatry: Cognitive Neuroscience and Neuroimaging","DOI":"10.1016/j.bpsc.2021.05.007","ISSN":"2451-9022","issue":"1","journalAbbreviation":"Biological Psychiatry: Cognitive Neuroscience and Neuroimaging","page":"95-107","title":"Transcranial Direct Current Stimulation Targeting the Ventromedial Prefrontal Cortex Reduces Reactive Aggression and Modulates Electrophysiological Responses in a Forensic Population","volume":"7","author":[{"family":"Sergiou","given":"Carmen S."},{"family":"Santarnecchi","given":"Emiliano"},{"family":"Romanella","given":"Sara M."},{"family":"Wieser","given":"Matthias J."},{"family":"Franken","given":"Ingmar H.A."},{"family":"Rassin","given":"Eric G.C."},{"family":"Dongen","given":"Josanne D.M.","non-dropping-particle":"van"}],"issued":{"date-parts":[["2022",1,1]]}}},{"id":146,"uris":["http://zotero.org/users/local/ww4sk5CR/items/8AY7BDF8"],"itemData":{"id":146,"type":"article-journal","abstract":"Previous studies suggest the dorsolateral prefrontal cortex (DLPFC) is involved in processing of empathic concern. This has not been experimentally tested to date. We tested the hypotheses that electrical potentiation in the right DLPFC would be associated with increased empathic concern and prosocial behavior. Participants were randomly allocated to one of three transcranial Direct Current Stimulation (tDCS) conditions: (a) relative right potentiation, (b) relative left potentiation, and (c) sham. Participants viewed images of African children in distressing circumstances, and completed measures of empathic concern pre- and post-tDCS manipulation. Contrary to our prediction, neither effects, nor interactions of heightened empathic concern were observed. These results conflict with previous studies using this bilateral tDCS montage. Explanations could be that stimulation used in this study had been simply too weak (1.5 mA). Alternatively, the area of the DLPFC involved in emotion regulation is closer to the cortex than the area involved in empathic concern, and more easily potentiated by tDCS. Therefore, the DLPFC potentiation in the present study may have linked empathic concern with adaptive emotion regulation strategies. Future research could examine this possibility using measures of emotion regulation and higher fidelity neurostimulation (e.g., repetitive Transcranial Magnetic Stimulation [rTMS]). (PsycINFO Database Record (c) 2019 APA, all rights reserved)","archive":"psyh","archive_location":"2018-01935-004","container-title":"Social Neuroscience","DOI":"10.1080/17470919.2016.1273133","ISSN":"1747-0919","issue":"2","journalAbbreviation":"Social Neuroscience","note":"publisher: Taylor &amp; Francis","page":"190-201","source":"EBSCOhost","title":"tDCS potentiation provides no evidence for a link between right dorsal–lateral prefrontal cortical activity and empathic responding","volume":"13","author":[{"family":"Snowdon","given":"Marion E."},{"family":"Cathcart","given":"Stuart"}],"issued":{"date-parts":[["2018",3]]}}}],"schema":"https://github.com/citation-style-language/schema/raw/master/csl-citation.json"}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00104379" w:rsidRPr="000309F2">
              <w:rPr>
                <w:rFonts w:ascii="Times New Roman" w:hAnsi="Times New Roman" w:cs="Times New Roman"/>
                <w:color w:val="000000" w:themeColor="text1"/>
                <w:sz w:val="20"/>
                <w:vertAlign w:val="superscript"/>
                <w:lang w:val="en-US"/>
              </w:rPr>
              <w:t>232–236</w:t>
            </w:r>
            <w:r w:rsidRPr="000309F2">
              <w:rPr>
                <w:rFonts w:ascii="Times New Roman" w:eastAsia="Calibri" w:hAnsi="Times New Roman" w:cs="Times New Roman"/>
                <w:color w:val="000000" w:themeColor="text1"/>
                <w:sz w:val="20"/>
                <w:szCs w:val="20"/>
                <w:lang w:val="en-US"/>
              </w:rPr>
              <w:fldChar w:fldCharType="end"/>
            </w:r>
          </w:p>
        </w:tc>
        <w:tc>
          <w:tcPr>
            <w:tcW w:w="0" w:type="auto"/>
            <w:tcBorders>
              <w:top w:val="single" w:sz="6" w:space="0" w:color="auto"/>
            </w:tcBorders>
            <w:vAlign w:val="center"/>
          </w:tcPr>
          <w:p w14:paraId="6EB895AF" w14:textId="77777777"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Participants assess their emotional responses to images or videos that depict individuals in distressing situations (e.g., injured children). Ratings often include levels of empathic concern, vicarious pain, and distress.</w:t>
            </w:r>
          </w:p>
        </w:tc>
      </w:tr>
      <w:tr w:rsidR="00B25BDD" w:rsidRPr="000309F2" w14:paraId="67221736" w14:textId="77777777" w:rsidTr="00AB5C8F">
        <w:trPr>
          <w:trHeight w:val="20"/>
          <w:jc w:val="center"/>
        </w:trPr>
        <w:tc>
          <w:tcPr>
            <w:tcW w:w="0" w:type="auto"/>
            <w:vAlign w:val="center"/>
          </w:tcPr>
          <w:p w14:paraId="2A21DDCD" w14:textId="2DC326BF"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Interpersonal Reactivity Index </w:t>
            </w:r>
            <w:r w:rsidRPr="000309F2">
              <w:rPr>
                <w:rFonts w:ascii="Times New Roman" w:eastAsia="Calibri" w:hAnsi="Times New Roman" w:cs="Times New Roman"/>
                <w:color w:val="000000" w:themeColor="text1"/>
                <w:sz w:val="20"/>
                <w:szCs w:val="20"/>
                <w:lang w:val="en-US"/>
              </w:rPr>
              <w:fldChar w:fldCharType="begin"/>
            </w:r>
            <w:r w:rsidR="00104379" w:rsidRPr="000309F2">
              <w:rPr>
                <w:rFonts w:ascii="Times New Roman" w:eastAsia="Calibri" w:hAnsi="Times New Roman" w:cs="Times New Roman"/>
                <w:color w:val="000000" w:themeColor="text1"/>
                <w:sz w:val="20"/>
                <w:szCs w:val="20"/>
                <w:lang w:val="en-US"/>
              </w:rPr>
              <w:instrText xml:space="preserve"> ADDIN ZOTERO_ITEM CSL_CITATION {"citationID":"PbnwkvVK","properties":{"formattedCitation":"\\super 227,235,237\\nosupersub{}","plainCitation":"227,235,237","noteIndex":0},"citationItems":[{"id":731,"uris":["http://zotero.org/users/local/ww4sk5CR/items/SMYQSCCG"],"itemData":{"id":731,"type":"article-journal","abstract":"Evidence reported in the literature suggests that the mirror system not only plays a role in recognizing motor action but also fosters a better understanding of other people because it helps an individual assume another’s perspective. This led to the idea, supported by research findings, that people with higher empathy scores should show higher activation of the mirror system. Recently, it has been hypothesized that a purely auditory mirror system exists. In this study, we aimed to explore the possibility that this system might play a particular role for musicians. Specifically, this system would impact their response to a new piece of music by using non-invasive brain stimulation to modulate the activation of the mirror system. A sample of 40 young musicians was involved in this study. Half of the participants were randomly assigned to a cathodal stimulation condition, while the other half was used as a control. After listening to a new piece of music, participants were asked to rate the creativity of the piece (by focusing on how interesting, innovative, and exciting the piece was) as well as their general emotional response to it. Their empathy levels were also assessed using the Interpersonal Reactivity Index (IRI). Results showed that the cathodal stimulation of the mirror system negatively affected both the perception of creativity (level of innovation) and the emotional response to the music. There was no significant difference in the ratings of how interesting the piece was perceived. The effect was mediated by the individuals’ level of empathy. Specifically, empathic concern and fantasy dimensions increased the evaluation of creativity. Results also showed that participants reported less emotion with a negative valence in the cathodal stimulation condition.","container-title":"Frontiers in Neuroscience","ISSN":"1662-453X","journalAbbreviation":"Frontiers in Neuroscience","title":"The Role of the Mirror System in Influencing Musicians’ Evaluation of Musical Creativity: A tDCS Study","URL":"https://www.frontiersin.org/journals/neuroscience/articles/10.3389/fnins.2021.624653","volume":"15","author":[{"family":"Colombo","given":"Barbara"},{"family":"Anctil","given":"Reid"},{"family":"Balzarotti","given":"Stefania"},{"family":"Biassoni","given":"Federica"},{"family":"Antonietti","given":"Alessandro"}],"issued":{"date-parts":[["2021"]]}}},{"id":660,"uris":["http://zotero.org/users/local/ww4sk5CR/items/M4EDXIVC"],"itemData":{"id":660,"type":"article-journal","abstract":"Background\nStudies have shown that impairments in the ventromedial prefrontal cortex play a crucial role in violent behavior in forensic patients who also abuse cocaine and alcohol. Moreover, interventions that aimed to reduce violence risk in those patients are found not to be optimal. A promising intervention might be to modulate the ventromedial prefrontal cortex by high-definition (HD) transcranial direct current stimulation (tDCS). The current study aimed to examine HD-tDCS as an intervention to increase empathic abilities and reduce violent behavior in forensic substance dependent offenders. In addition, using electroencephalography, we examined the effects on the P3 and the late positive potential of the event-related potentials in reaction to situations that depict victims of aggression.\nMethods\nFifty male forensic patients with a substance dependence were tested in a double-blind, placebo-controlled randomized study. The patients received HD-tDCS 2 times a day for 20 minutes for 5 consecutive days. Before and after the intervention, the patients completed self-reports and performed the Point Subtraction Aggression Paradigm, and electroencephalography was recorded while patients performed an empathy task.\nResults\nResults showed a decrease in aggressive responses on the Point Subtraction Aggression Paradigm and in self-reported reactive aggression in the active tDCS group. Additionally, we found a general increase in late positive potential amplitude after active tDCS. No effects on trait empathy and the P3 were found.\nConclusions\nCurrent findings are the first to find positive effects of HD-tDCS in reducing aggression and modulating electrophysiological responses in forensic patients, showing the potential of using tDCS as an intervention to reduce aggression in forensic mental health care.","container-title":"Biological Psychiatry: Cognitive Neuroscience and Neuroimaging","DOI":"10.1016/j.bpsc.2021.05.007","ISSN":"2451-9022","issue":"1","journalAbbreviation":"Biological Psychiatry: Cognitive Neuroscience and Neuroimaging","page":"95-107","title":"Transcranial Direct Current Stimulation Targeting the Ventromedial Prefrontal Cortex Reduces Reactive Aggression and Modulates Electrophysiological Responses in a Forensic Population","volume":"7","author":[{"family":"Sergiou","given":"Carmen S."},{"family":"Santarnecchi","given":"Emiliano"},{"family":"Romanella","given":"Sara M."},{"family":"Wieser","given":"Matthias J."},{"family":"Franken","given":"Ingmar H.A."},{"family":"Rassin","given":"Eric G.C."},{"family":"Dongen","given":"Josanne D.M.","non-dropping-particle":"van"}],"issued":{"date-parts":[["2022",1,1]]}}},{"id":6,"uris":["http://zotero.org/users/local/ww4sk5CR/items/SSTH4Z8L"],"itemData":{"id":6,"type":"article-journal","abstract":"Background: Previous studies have shown that interpersonal neural synchronization (INS) is a ubiquitous phenomenon between individuals, and recent studies have further demonstrated close associations between INS and shared external sensorimotor input and/or internal mental processes within a dyad. However, most previous studies have employed an observational approach to describe the behavior-INS correlation, leading to difficulties in causally disentangling the relationship among INS, external sensorimotor input and the internal mental process. Objective/hypothesis: The present study aimed to directly change the level of INS through anodal transcranial direct current stimulation (tDCS) to test whether the change in INS would directly impact the internal mental process (Hypothesis 1) or indirectly through external sensorimotor input; the interaction behaviors were also changed (Hypothesis 2) or not (Hypothesis 3). Methods: Thirty pairs of romantically involved heterosexual couples were recruited for a within-subjects design. Three conditions were assessed: a true stimulation condition with 20-min anodal high-definition tDCS to the right anterior temporal lobe (rATL) of women before they communicated with their partners, a sham stimulation condition and a control brain region stimulation condition. The comparison between the true and sham or control brain region conditions allows us to detect the true effect of brain stimulation on INS. Functional near-infrared spectroscopy (fNIRS) hyperscanning was used to simultaneously collect dyadic participants' hemodynamic signals during communication. INS, empathy, and interaction behaviors were examined and compared among different stimulation conditions. Results: True brain stimulation significantly decreased INS between the rATL of the women and sensorimotor cortex (SMC) of the men compared to the sham stimulation condition (t(27.8) = −2.821, P = 0.009, d = 0.714) and control brain region stimulation condition (t(27.2) = −2.606, P = 0.015, d = 0.664) during communication. It also significantly decreased the level of emotional empathy (F(2,145) = 6.893, P = 0.001) but did not change sensorimotor processes, such as verbal or nonverbal interaction behaviors. However, nonverbal behaviors mediated the relationship between the changes in INS and emotional empathy (lower limit confidence interval = 0.01, upper limit confidence interval = 2.66). Conclusion(s): These findings support the third hypothesis, suggesting that INS is associated with the shared internal mental process indirectly via the sensorimotor process, but the sensorimotor process itself does not covary with the INS and the associated internal mental process. These results provide new insight into the hierarchical architecture of dual-brain function from a bottom-up perspective. (PsycInfo Database Record (c) 2023 APA, all rights reserved)","archive":"psyh","archive_location":"2023-48589-009","container-title":"Brain Stimulation","DOI":"10.1016/j.brs.2022.12.009","ISSN":"1935-861X","issue":"1","journalAbbreviation":"Brain Stimulation","note":"publisher: Elsevier Science","page":"28-39","source":"EBSCOhost","title":"Transcranial direct current stimulation of the right anterior temporal lobe changes interpersonal neural synchronization and shared mental processes","volume":"16","author":[{"family":"Long","given":"Yuhang"},{"family":"Zhong","given":"Miao"},{"family":"Aili","given":"Ruhuiya"},{"family":"Zhang","given":"Huan"},{"family":"Fang","given":"Xiaoyi"},{"family":"Lu","given":"Chunming"}],"issued":{"date-parts":[["2023",1]]}}}],"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00104379" w:rsidRPr="000309F2">
              <w:rPr>
                <w:rFonts w:ascii="Times New Roman" w:hAnsi="Times New Roman" w:cs="Times New Roman"/>
                <w:color w:val="000000" w:themeColor="text1"/>
                <w:sz w:val="20"/>
                <w:vertAlign w:val="superscript"/>
                <w:lang w:val="en-US"/>
              </w:rPr>
              <w:t>227,235,237</w:t>
            </w:r>
            <w:r w:rsidRPr="000309F2">
              <w:rPr>
                <w:rFonts w:ascii="Times New Roman" w:eastAsia="Calibri" w:hAnsi="Times New Roman" w:cs="Times New Roman"/>
                <w:color w:val="000000" w:themeColor="text1"/>
                <w:sz w:val="20"/>
                <w:szCs w:val="20"/>
                <w:lang w:val="en-US"/>
              </w:rPr>
              <w:fldChar w:fldCharType="end"/>
            </w:r>
          </w:p>
        </w:tc>
        <w:tc>
          <w:tcPr>
            <w:tcW w:w="0" w:type="auto"/>
            <w:vAlign w:val="center"/>
          </w:tcPr>
          <w:p w14:paraId="7046CC8C" w14:textId="77777777"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A self-report questionnaire designed to measure dispositional empathy, including a subscale to assess empathic concern.</w:t>
            </w:r>
          </w:p>
        </w:tc>
      </w:tr>
      <w:tr w:rsidR="00B25BDD" w:rsidRPr="000309F2" w14:paraId="32EB3936" w14:textId="77777777" w:rsidTr="00AB5C8F">
        <w:trPr>
          <w:trHeight w:val="20"/>
          <w:jc w:val="center"/>
        </w:trPr>
        <w:tc>
          <w:tcPr>
            <w:tcW w:w="0" w:type="auto"/>
            <w:vAlign w:val="center"/>
          </w:tcPr>
          <w:p w14:paraId="21E1524E" w14:textId="38281AF2"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Affect rating </w:t>
            </w:r>
            <w:r w:rsidRPr="000309F2">
              <w:rPr>
                <w:rFonts w:ascii="Times New Roman" w:eastAsia="Calibri" w:hAnsi="Times New Roman" w:cs="Times New Roman"/>
                <w:color w:val="000000" w:themeColor="text1"/>
                <w:sz w:val="20"/>
                <w:szCs w:val="20"/>
                <w:lang w:val="en-US"/>
              </w:rPr>
              <w:fldChar w:fldCharType="begin"/>
            </w:r>
            <w:r w:rsidR="00104379" w:rsidRPr="000309F2">
              <w:rPr>
                <w:rFonts w:ascii="Times New Roman" w:eastAsia="Calibri" w:hAnsi="Times New Roman" w:cs="Times New Roman"/>
                <w:color w:val="000000" w:themeColor="text1"/>
                <w:sz w:val="20"/>
                <w:szCs w:val="20"/>
                <w:lang w:val="en-US"/>
              </w:rPr>
              <w:instrText xml:space="preserve"> ADDIN ZOTERO_ITEM CSL_CITATION {"citationID":"zhQ47gp7","properties":{"formattedCitation":"\\super 228\\nosupersub{}","plainCitation":"228","noteIndex":0},"citationItems":[{"id":144,"uris":["http://zotero.org/users/local/ww4sk5CR/items/GTT79CQQ"],"itemData":{"id":144,"type":"article-journal","abstract":"Previous studies empirically support the existence of a distinctive association between deontological (but not altruistic) guilt and both disgust and obsessive-compulsive (OC) symptoms. Given that the neural substrate underlying deontological guilt comprises brain regions strictly implicated in the emotion of disgust (i.e. the insula), the present study aimed to test the hypothesis that indirect stimulation of the insula via transcranial direct current stimulation (tDCS) would enhance disgust and morality in the deontological domain. A randomized, sham-controlled, within-subject design was used. Thirty-seven healthy individuals (25 women) underwent 15-min anodal and sham tDCS over T3 in two different days, while their heart rate (HR) was recorded to derive measures of parasympathetic nervous system activity (HR variability; HRV). After the first 10-min of sham or active tDCS stimulation, participants were asked to 1) complete a series of 6-item words that could be completed with either a disgust-related word (cleaning/dirtiness) or neutral alternatives; 2) rate how much a series of vignettes, each depicting a behavior that violated a specific moral foundation, were morally wrong. Levels of trait anxiety, depression, disgust sensitivity, scrupulosity, and altruism as well as pre- and post- stimulation momentary emotional states were assessed. Compared to the sham condition, after active stimulation of T3 a) HRV significantly increased and participants b) completed more words in terms of cleaning/dirtiness and c) reported greater subjective levels of disgust, all suggesting the elicitation of the emotion of disgust. Although the results are only marginally significant, they point to the absence of difference between the two experimental conditions for moral vignettes in the altruistic domain (i.e., animal care, emotional and physical human care), but not in the deontological domain (i.e., authority, fairness, liberty, and sacrality), where vignettes were judged as more morally wrong in the active compared to the sham condition. Moreover, scores on the OCI-R correlated with how much vignettes were evaluated as morally wrong in the deontological domain only. Results preliminarily support the association between disgust and morality in the deontological domain, with important implications for OC disorder (OCD). Future studies should explore the possibility of decreasing both disgust and morality in patients with OCD by the use of non-invasive brain stimulation techniques. (PsycInfo Database Record (c) 2022 APA, all rights reserved)","archive":"psyh","archive_location":"2018-52617-049","container-title":"Neuropsychologia","DOI":"10.1016/j.neuropsychologia.2018.09.009","ISSN":"0028-3932","journalAbbreviation":"Neuropsychologia","note":"publisher: Elsevier Science","page":"474-481","source":"EBSCOhost","title":"Deontological morality can be experimentally enhanced by increasing disgust: A transcranial direct current stimulation study","volume":"119","author":[{"family":"Ottaviani","given":"Cristina"},{"family":"Mancini","given":"Francesco"},{"family":"Provenzano","given":"Samantha"},{"family":"Collazzoni","given":"Alberto"},{"family":"D'Olimpio","given":"Francesca"}],"issued":{"date-parts":[["2018",10]]}}}],"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00104379" w:rsidRPr="000309F2">
              <w:rPr>
                <w:rFonts w:ascii="Times New Roman" w:hAnsi="Times New Roman" w:cs="Times New Roman"/>
                <w:color w:val="000000" w:themeColor="text1"/>
                <w:sz w:val="20"/>
                <w:vertAlign w:val="superscript"/>
                <w:lang w:val="en-US"/>
              </w:rPr>
              <w:t>228</w:t>
            </w:r>
            <w:r w:rsidRPr="000309F2">
              <w:rPr>
                <w:rFonts w:ascii="Times New Roman" w:eastAsia="Calibri" w:hAnsi="Times New Roman" w:cs="Times New Roman"/>
                <w:color w:val="000000" w:themeColor="text1"/>
                <w:sz w:val="20"/>
                <w:szCs w:val="20"/>
                <w:lang w:val="en-US"/>
              </w:rPr>
              <w:fldChar w:fldCharType="end"/>
            </w:r>
            <w:r w:rsidRPr="000309F2">
              <w:rPr>
                <w:rFonts w:ascii="Times New Roman" w:eastAsia="Calibri" w:hAnsi="Times New Roman" w:cs="Times New Roman"/>
                <w:color w:val="000000" w:themeColor="text1"/>
                <w:sz w:val="20"/>
                <w:szCs w:val="20"/>
                <w:lang w:val="en-US"/>
              </w:rPr>
              <w:t xml:space="preserve"> </w:t>
            </w:r>
          </w:p>
        </w:tc>
        <w:tc>
          <w:tcPr>
            <w:tcW w:w="0" w:type="auto"/>
            <w:vAlign w:val="center"/>
          </w:tcPr>
          <w:p w14:paraId="5C1F2C16" w14:textId="77777777"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Participants rate their levels of pity before and after stimulation.</w:t>
            </w:r>
          </w:p>
        </w:tc>
      </w:tr>
      <w:tr w:rsidR="00B25BDD" w:rsidRPr="000309F2" w14:paraId="35286C00" w14:textId="77777777" w:rsidTr="00AB5C8F">
        <w:trPr>
          <w:trHeight w:val="20"/>
          <w:jc w:val="center"/>
        </w:trPr>
        <w:tc>
          <w:tcPr>
            <w:tcW w:w="0" w:type="auto"/>
            <w:gridSpan w:val="2"/>
            <w:tcBorders>
              <w:top w:val="single" w:sz="8" w:space="0" w:color="auto"/>
              <w:bottom w:val="single" w:sz="8" w:space="0" w:color="auto"/>
            </w:tcBorders>
            <w:vAlign w:val="center"/>
          </w:tcPr>
          <w:p w14:paraId="04FE91B4" w14:textId="77777777" w:rsidR="00156BB0" w:rsidRPr="000309F2" w:rsidRDefault="00156BB0" w:rsidP="008920A6">
            <w:pPr>
              <w:spacing w:before="40" w:after="40" w:line="240" w:lineRule="auto"/>
              <w:jc w:val="center"/>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4"/>
                <w:szCs w:val="24"/>
                <w:lang w:val="en-US"/>
              </w:rPr>
              <w:t>Prosociality</w:t>
            </w:r>
          </w:p>
        </w:tc>
      </w:tr>
      <w:tr w:rsidR="00B25BDD" w:rsidRPr="000309F2" w14:paraId="7E0E1BB7" w14:textId="77777777" w:rsidTr="00AB5C8F">
        <w:trPr>
          <w:trHeight w:val="20"/>
          <w:jc w:val="center"/>
        </w:trPr>
        <w:tc>
          <w:tcPr>
            <w:tcW w:w="0" w:type="auto"/>
            <w:gridSpan w:val="2"/>
            <w:tcBorders>
              <w:top w:val="single" w:sz="8" w:space="0" w:color="auto"/>
              <w:bottom w:val="single" w:sz="6" w:space="0" w:color="auto"/>
            </w:tcBorders>
            <w:vAlign w:val="center"/>
          </w:tcPr>
          <w:p w14:paraId="6AC40C05" w14:textId="77777777" w:rsidR="00156BB0" w:rsidRPr="000309F2" w:rsidRDefault="00156BB0" w:rsidP="008920A6">
            <w:pPr>
              <w:spacing w:before="40" w:after="40" w:line="240" w:lineRule="auto"/>
              <w:rPr>
                <w:rFonts w:ascii="Times New Roman" w:eastAsia="Calibri" w:hAnsi="Times New Roman" w:cs="Times New Roman"/>
                <w:i/>
                <w:iCs/>
                <w:color w:val="000000" w:themeColor="text1"/>
                <w:sz w:val="20"/>
                <w:szCs w:val="20"/>
                <w:lang w:val="en-US"/>
              </w:rPr>
            </w:pPr>
            <w:r w:rsidRPr="000309F2">
              <w:rPr>
                <w:rFonts w:ascii="Times New Roman" w:eastAsia="Calibri" w:hAnsi="Times New Roman" w:cs="Times New Roman"/>
                <w:i/>
                <w:iCs/>
                <w:color w:val="000000" w:themeColor="text1"/>
                <w:lang w:val="en-US"/>
              </w:rPr>
              <w:t>Charitable giving/altruism</w:t>
            </w:r>
          </w:p>
        </w:tc>
      </w:tr>
      <w:tr w:rsidR="00B25BDD" w:rsidRPr="000309F2" w14:paraId="194B2EB5" w14:textId="77777777" w:rsidTr="00AB5C8F">
        <w:trPr>
          <w:trHeight w:val="20"/>
          <w:jc w:val="center"/>
        </w:trPr>
        <w:tc>
          <w:tcPr>
            <w:tcW w:w="0" w:type="auto"/>
            <w:tcBorders>
              <w:top w:val="single" w:sz="6" w:space="0" w:color="auto"/>
              <w:bottom w:val="single" w:sz="6" w:space="0" w:color="auto"/>
            </w:tcBorders>
            <w:vAlign w:val="center"/>
          </w:tcPr>
          <w:p w14:paraId="7E4A3E01" w14:textId="77777777" w:rsidR="00156BB0" w:rsidRPr="000309F2" w:rsidRDefault="00156BB0" w:rsidP="008920A6">
            <w:pPr>
              <w:spacing w:line="240" w:lineRule="auto"/>
              <w:rPr>
                <w:rFonts w:ascii="Times New Roman" w:eastAsia="Calibri" w:hAnsi="Times New Roman" w:cs="Times New Roman"/>
                <w:i/>
                <w:iCs/>
                <w:color w:val="000000" w:themeColor="text1"/>
                <w:sz w:val="20"/>
                <w:szCs w:val="20"/>
                <w:lang w:val="en-US"/>
              </w:rPr>
            </w:pPr>
            <w:r w:rsidRPr="000309F2">
              <w:rPr>
                <w:rFonts w:ascii="Times New Roman" w:eastAsia="Calibri" w:hAnsi="Times New Roman" w:cs="Times New Roman"/>
                <w:i/>
                <w:iCs/>
                <w:color w:val="000000" w:themeColor="text1"/>
                <w:sz w:val="20"/>
                <w:szCs w:val="20"/>
                <w:lang w:val="en-US"/>
              </w:rPr>
              <w:t>Measures</w:t>
            </w:r>
          </w:p>
        </w:tc>
        <w:tc>
          <w:tcPr>
            <w:tcW w:w="0" w:type="auto"/>
            <w:tcBorders>
              <w:top w:val="single" w:sz="6" w:space="0" w:color="auto"/>
              <w:bottom w:val="single" w:sz="6" w:space="0" w:color="auto"/>
            </w:tcBorders>
            <w:vAlign w:val="center"/>
          </w:tcPr>
          <w:p w14:paraId="01399664" w14:textId="77777777" w:rsidR="00156BB0" w:rsidRPr="000309F2" w:rsidRDefault="00156BB0" w:rsidP="008920A6">
            <w:pPr>
              <w:spacing w:before="40" w:after="40" w:line="240" w:lineRule="auto"/>
              <w:jc w:val="center"/>
              <w:rPr>
                <w:rFonts w:ascii="Times New Roman" w:eastAsia="Calibri" w:hAnsi="Times New Roman" w:cs="Times New Roman"/>
                <w:i/>
                <w:iCs/>
                <w:color w:val="000000" w:themeColor="text1"/>
                <w:sz w:val="20"/>
                <w:szCs w:val="20"/>
                <w:lang w:val="en-US"/>
              </w:rPr>
            </w:pPr>
            <w:r w:rsidRPr="000309F2">
              <w:rPr>
                <w:rFonts w:ascii="Times New Roman" w:eastAsia="Calibri" w:hAnsi="Times New Roman" w:cs="Times New Roman"/>
                <w:i/>
                <w:iCs/>
                <w:color w:val="000000" w:themeColor="text1"/>
                <w:sz w:val="20"/>
                <w:szCs w:val="20"/>
                <w:lang w:val="en-US"/>
              </w:rPr>
              <w:t>Description</w:t>
            </w:r>
          </w:p>
        </w:tc>
      </w:tr>
      <w:tr w:rsidR="00B25BDD" w:rsidRPr="000309F2" w14:paraId="22850F52" w14:textId="77777777" w:rsidTr="00AB5C8F">
        <w:trPr>
          <w:trHeight w:val="20"/>
          <w:jc w:val="center"/>
        </w:trPr>
        <w:tc>
          <w:tcPr>
            <w:tcW w:w="0" w:type="auto"/>
            <w:tcBorders>
              <w:top w:val="single" w:sz="6" w:space="0" w:color="auto"/>
            </w:tcBorders>
            <w:vAlign w:val="center"/>
          </w:tcPr>
          <w:p w14:paraId="744B87F4" w14:textId="38302A7F" w:rsidR="00156BB0" w:rsidRPr="000309F2" w:rsidRDefault="00156BB0" w:rsidP="008920A6">
            <w:pPr>
              <w:spacing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Dictator Game </w:t>
            </w:r>
            <w:r w:rsidRPr="000309F2">
              <w:rPr>
                <w:rFonts w:ascii="Times New Roman" w:eastAsia="Calibri" w:hAnsi="Times New Roman" w:cs="Times New Roman"/>
                <w:color w:val="000000" w:themeColor="text1"/>
                <w:sz w:val="20"/>
                <w:szCs w:val="20"/>
                <w:lang w:val="en-US"/>
              </w:rPr>
              <w:fldChar w:fldCharType="begin"/>
            </w:r>
            <w:r w:rsidR="00104379" w:rsidRPr="000309F2">
              <w:rPr>
                <w:rFonts w:ascii="Times New Roman" w:eastAsia="Calibri" w:hAnsi="Times New Roman" w:cs="Times New Roman"/>
                <w:color w:val="000000" w:themeColor="text1"/>
                <w:sz w:val="20"/>
                <w:szCs w:val="20"/>
                <w:lang w:val="en-US"/>
              </w:rPr>
              <w:instrText xml:space="preserve"> ADDIN ZOTERO_ITEM CSL_CITATION {"citationID":"gOauskP0","properties":{"formattedCitation":"\\super 238\\uc0\\u8211{}246\\nosupersub{}","plainCitation":"238–246","noteIndex":0},"citationItems":[{"id":703,"uris":["http://zotero.org/users/local/ww4sk5CR/items/454Y7IVV"],"itemData":{"id":703,"type":"article-journal","container-title":"Social Neuroscience","DOI":"10.1080/17470919.2016.1154105","ISSN":"1747-0919","issue":"2","journalAbbreviation":"Social Neuroscience","note":"publisher: Routledge","page":"174-181","title":"Increasing generosity by disrupting prefrontal cortex","volume":"12","author":[{"family":"Christov-Moore","given":"Leonardo"},{"family":"Sugiyama","given":"Taisei"},{"family":"Grigaityte","given":"Kristina"},{"family":"Iacoboni","given":"Marco"}],"issued":{"date-parts":[["2017",3,4]]}}},{"id":714,"uris":["http://zotero.org/users/local/ww4sk5CR/items/BMVND5MW"],"itemData":{"id":714,"type":"article-journal","abstract":"We tested the hypothesis that modulation of neurocomputational inputs to value-based decision-making affects the rationality of economic choices. The brain’s right temporoparietal junction (rTPJ) has been functionally associated with both social behavior and with domain-general information processing and attention. To identify the causal function of rTPJ in prosocial decisions, we administered focal high definition transcranial direct current stimulation (HD-tDCS) while participants allocated money between themselves and a charity in a modified dictator game. Anodal stimulation led to improved rationality as well as increased charitable giving and egalitarianism, resulting in more consistent and efficient choices and increased sensitivity to the price of giving. These results are consistent with the theory that anodal stimulation of the rTPJ increases the precision of value computations in social decision-making. Our results demonstrate that theories of rTPJ function should account for the multifaceted role of the rTPJ in the representation of social inputs into value-based decisions.","container-title":"Scientific Reports","DOI":"10.1038/s41598-020-76956-9","ISSN":"2045-2322","issue":"1","journalAbbreviation":"Scientific Reports","page":"20275","title":"Focal stimulation of the temporoparietal junction improves rationality in prosocial decision-making","volume":"10","author":[{"family":"Li","given":"Flora"},{"family":"Ball","given":"Sheryl"},{"family":"Zhang","given":"Xiaomeng"},{"family":"Smith","given":"Alec"}],"issued":{"date-parts":[["2020",11,20]]}}},{"id":124,"uris":["http://zotero.org/users/local/ww4sk5CR/items/NCHUIW2L"],"itemData":{"id":124,"type":"article-journal","abstract":"The right temporoparietal junction (rTPJ) and dorsomedial prefrontal cortex (dmPFC), which are involved in social cognition, have been proposed to play key roles in guiding human altruistic behavior. However, no study has provided empirical evidence that the rTPJ and dmPFC play distinct roles in altruism under situations of inequality. A total of 107 healthy young adults were randomly assigned to receive anodal or sham transcranial direct current stimulation (tDCS) to either the dmPFC or rTPJ, and they participated in a modified dictator game. The stimulation of the dmPFC increased the level of altruistic behavior, while the stimulation of the rTPJ did not. Furthermore, we determined that the increase in altruism induced by tDCS of the dmPFC could be modulated by perspective taking. These results demonstrate that the dmPFC and rTPJ play distinct roles in the enhancement of altruism in situations of inequality; this finding is consistent with theories proposing that the dmPFC has evolved mechanisms dedicated to perspective taking. (PsycInfo Database Record (c) 2022 APA, all rights reserved)","archive":"psyh","archive_location":"2022-52462-001","container-title":"Frontiers in Human Neuroscience","DOI":"10.3389/fnhum.2022.821360","ISSN":"1662-5161","journalAbbreviation":"Frontiers in Human Neuroscience","note":"publisher: Frontiers Media S.A.","source":"EBSCOhost","title":"Distinguishing the roles of the dorsomedial prefrontal cortex and right temporoparietal junction in altruism in situations of inequality: A transcranial direct current stimulation study","URL":"https://search.ebscohost.com/login.aspx?direct=true&amp;db=psyh&amp;AN=2022-52462-001&amp;site=ehost-live&amp;authtype=sso&amp;custid=s9814295","volume":"16","author":[{"family":"Zhang","given":"Hanqi"},{"family":"Dong","given":"Zhiqiang"},{"family":"Cai","given":"Shenggang"},{"family":"Zhao","given":"Jun"}],"issued":{"date-parts":[["2022",3,23]]}}},{"id":154,"uris":["http://zotero.org/users/local/ww4sk5CR/items/AYBQDKWV"],"itemData":{"id":154,"type":"article-journal","abstract":"Trust and trustworthiness are essential to an efficient economy and play crucial roles in social life. Previous evidence from behavioral experiments has revealed that the trustworthiness of individuals is closely related with their altruistic preference. It has been demonstrated that the ventromedial prefrontal cortex (vmPFC) is associated with decisions involving trustworthiness. Moreover, vmPFC lesion patients showed less trustworthiness and altruism than control subjects, indicating the indispensable role of this specific brain area in human social interactions. However, the causal relationship between this neural area and trustworthiness, as well as altruism, has not been fully revealed. The potential neural basis behind the behavior of trustees’ repayment has also seldom been discussed. In the present study, we aimed to provide evidence of a direct link between the neural and behavioral results through the application of transcranial direct current stimulation (tDCS) over the vmPFC of our participants. We found that activating the vmPFC could promote both the trustworthiness and altruism of our participants. We also show that enhancing the excitability of the vmPFC using tDCS increased the trustworthiness of the participants, and this promoting effect might be attributable to the enhancement of individuals’ altruistic preference. In addition, we revealed that the enhancing effect in trustworthiness and altruism might be specific to the activation of the vmPFC by applying tDCS over another brain region within the prefrontal cortex as a control site. Crucially, our findings provide direct evidence supporting the critical role of the vmPFC in cooperative behaviors in economic interactions, especially the trustees’ repayment in the trust game and the dictators’ altruistic transfer in the dictator game. (PsycInfo Database Record (c) 2020 APA, all rights reserved)","archive":"psyh","archive_location":"2016-48295-001","container-title":"Frontiers in Psychology","DOI":"10.3389/fpsyg.2016.01437","ISSN":"1664-1078","journalAbbreviation":"Frontiers in Psychology","note":"publisher: Frontiers Media S.A.","source":"EBSCOhost","title":"Modulating the activity of ventromedial prefrontal cortex by anodal tDCS enhances the trustee’s repayment through altruism","URL":"https://search.ebscohost.com/login.aspx?direct=true&amp;db=psyh&amp;AN=2016-48295-001&amp;site=ehost-live&amp;authtype=sso&amp;custid=s9814295","volume":"7","author":[{"family":"Zheng","given":"Haoli"},{"family":"Huang","given":"Daqiang"},{"family":"Chen","given":"Shu"},{"family":"Wang","given":"Siqi"},{"family":"Guo","given":"Wenmin"},{"family":"Luo","given":"Jun"},{"family":"Ye","given":"Hang"},{"family":"Chen","given":"Yefeng"}],"issued":{"date-parts":[["2016",9,22]]}}},{"id":727,"uris":["http://zotero.org/users/local/ww4sk5CR/items/59HDJLSM"],"itemData":{"id":727,"type":"article-journal","abstract":"For centuries, scientists have pondered why people would help others at a cost to themselves even in the absence of expectation for future benefit. While a growing body of neuroimaging studies has suggested that the ventromedial prefrontal cortex (vmPFC) may be particularly critical for the regulation of altruistic behavior. However, evidence is still lacking in the field of neuroscience regarding the causal link between the region of vmPFC and pure altruistic behavior. In the present study, we designed a modified dictator game with a binary choice in the contexts of gain and loss that aimed to provide a simple and direct measure of participants’ altruistic tendency. Using tDCS, we found that modulating the activity of vmPFC could significantly alter altruistic behaviors. Specifically, anodal stimulation of the vmPFC resulted in increasing altruistic choices compared with the cathodal stimulation, and the effect was found both in the gain and loss contexts. In addition, the subsequent inferences about others’ altruistic behaviors were correlated with their own choices, and cathodal vmPFC stimulation resulted in a lower inference than sham stimulation in the gain context.","container-title":"Behavioural Brain Research","DOI":"10.1016/j.bbr.2022.113946","ISSN":"0166-4328","journalAbbreviation":"Behavioural Brain Research","page":"113946","title":"Modulating the activity of vmPFC alters altruistic behavior: A tDCS study","volume":"430","author":[{"family":"Yu","given":"Jiaxin"},{"family":"Wang","given":"Yan"},{"family":"Yu","given":"Jianling"},{"family":"Zeng","given":"Lulu"},{"family":"Zheng","given":"Wanjun"},{"family":"Ye","given":"Hang"}],"issued":{"date-parts":[["2022",7,26]]}}},{"id":699,"uris":["http://zotero.org/users/local/ww4sk5CR/items/KAYUCRYD"],"itemData":{"id":699,"type":"article-journal","container-title":"Social Neuroscience","DOI":"10.1080/17470919.2017.1411828","ISSN":"1747-0919","issue":"6","journalAbbreviation":"Social Neuroscience","note":"publisher: Routledge","page":"701-709","title":"Retaliation or selfishness? An rTMS investigation of the role of the dorsolateral prefrontal cortex in prosocial motives","volume":"13","author":[{"family":"Müller-Leinß","given":"Jan-Martin"},{"family":"Enzi","given":"Björn"},{"family":"Flasbeck","given":"Vera"},{"family":"Brüne","given":"Martin"}],"issued":{"date-parts":[["2018",11,2]]}}},{"id":158,"uris":["http://zotero.org/users/local/ww4sk5CR/items/RBU3727Z"],"itemData":{"id":158,"type":"article-journal","abstract":"Social norms, such as treating others fairly regardless of kin relations, are essential for the functioning of human societies. Their existence may explain why humans, among all species, show unique patterns of prosocial behaviour. The maintenance of social norms often depends on external enforcement, as in the absence of credible sanctioning mechanisms prosocial behaviour deteriorates quickly. This sanction-dependent prosocial behaviour suggests that humans strategically adapt their behaviour and act selfishly if possible but control selfish impulses if necessary. Recent studies point at the role of the dorsolateral prefrontal cortex (DLPFC) in controlling selfish impulses. We test whether the DLPFC is indeed involved in the control of selfish impulses as well as the strategic acquisition of this control mechanism. Using repetitive transcranial magnetic stimulation, we provide evidence for the causal role of the right DLPFC in strategic fairness. Because the DLPFC is phylogenetically one of the latest developed neocortical regions, this could explain why complex norm systems exist in humans but not in other social animals. (PsycINFO Database Record (c) 2016 APA, all rights reserved)","archive":"psyh","archive_location":"2015-25464-005","container-title":"Social Cognitive and Affective Neuroscience","ISSN":"1749-5016","issue":"6","journalAbbreviation":"Social Cognitive and Affective Neuroscience","note":"publisher: Oxford University Press","page":"790-796","source":"EBSCOhost","title":"Be nice if you have to—The neurobiological roots of strategic fairness","volume":"10","author":[{"family":"Strang","given":"Sabrina"},{"family":"Gross","given":"Jörg"},{"family":"Schuhmann","given":"Teresa"},{"family":"Riedl","given":"Arno"},{"family":"Weber","given":"Bernd"},{"family":"Sack","given":"Alexander T."}],"issued":{"date-parts":[["2015",6]]}}},{"id":730,"uris":["http://zotero.org/users/local/ww4sk5CR/items/QCI9ESXY"],"itemData":{"id":730,"type":"article-journal","abstract":"Altruism is defined as the performance of “costly acts that confer economic benefits on other individuals”, which is one of the major puzzles in the behavioural sciences today. Altruistic behaviour not only facilitates interpersonal adaptation and harmony but also enhances social welfare and social responsibility. The right temporo-parietal junction (rTPJ) has been proposed as playing a key role in guiding human altruistic behaviour, but its precise functional contribution to altruistic behaviour in situations of advantageous and disadvantageous inequity remains unclear. The purpose of this study was to modulate the activation of the rTPJ through transcranial direct current stimulation (tDCS) in order to clarify the causal role of the rTPJ in altruistic behaviour in situations of advantageous and disadvantageous inequity. A total of 106 participants were randomly assigned to one of three stimulation conditions: anodal tDCS stimulation on the rTPJ; sham tDCS stimulation on the rTPJ and anodal tDCS stimulation on the primary visual cortex (VC)as the control group, and. After 20 min of stimulation, participants undertook a modified dictator game that measured altruistic behaviour. Mixed-effect logistic regressions were applied to statistical analyses in this study. The results indicated that anodal tDCS over the rTPJ increased participants’ altruistic tendency by increasing their tendency to choose altruistic options in trials with higher cost, as well as their tendency to behave altruistically in situations of advantageous but not disadvantageous inequity. These results suggested that increased neural activity of the rTPJ leads to different impacts on altruism in these two different inequity situations.","container-title":"Brain and Cognition","DOI":"10.1016/j.bandc.2023.106061","ISSN":"0278-2626","journalAbbreviation":"Brain and Cognition","page":"106061","title":"Increased neural activity of right temporo-parietal junction causes different effect on altruism in situations of advantageous and disadvantageous inequity","volume":"171","author":[{"family":"Wu","given":"Shijing"},{"family":"Cai","given":"Shenggang"},{"family":"Li","given":"Yingxiao"},{"family":"Xiong","given":"Guanxing"},{"family":"Zhang","given":"Hanqi"}],"issued":{"date-parts":[["2023",10,1]]}}},{"id":702,"uris":["http://zotero.org/users/local/ww4sk5CR/items/KRTMZCX7"],"itemData":{"id":702,"type":"article-journal","abstract":"More than a decade of neuroimaging and brain stimulation studies point to a crucial role for the right dorsolateral prefrontal cortex (rDLPFC) in prosocial behavior. The intuitive prosociality model postulates that the rDLPFC controls intuitive prosocial behavior, whereas the reflective model assumes that the rDLPFC controls selfish impulses during prosocial behavior. The intuitive prosociality model implies that the transient disruption of the rDLPFC should increase voluntary transfers in both dictator and generosity games. In contrast, the reflective model suggests that the transient disruption of the rDLPFC should decrease transfers in the dictator game, without affecting voluntary transfers in the generosity game, in which selfish motives are minimized. The aim of this paper was to compare predictions of the intuitive and reflective models using the classic dictator game and generosity game and continuous theta burst stimulation (cTBS). In this study, two groups of healthy participants (dictators) received either cTBS over the rDLPFC or right extrastriate visual areas. As shown by the results, the transient disruption of the rDLPFC significantly promoted prosocial motives in the dictator game only, particularly in the trials with the lowest dictator’s costs. These findings partially support the notion that the rDLPFC controls intuitive prosocial behavior.","container-title":"Scientific Reports","DOI":"10.1038/s41598-021-01588-6","ISSN":"2045-2322","issue":"1","journalAbbreviation":"Scientific Reports","page":"22334","title":"Role of the prefrontal cortex in prosocial and self-maximization motivations: an rTMS study","volume":"11","author":[{"family":"Zinchenko","given":"Oksana"},{"family":"Savelo","given":"Olga"},{"family":"Klucharev","given":"Vasily"}],"issued":{"date-parts":[["2021",11,16]]}}}],"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00104379" w:rsidRPr="000309F2">
              <w:rPr>
                <w:rFonts w:ascii="Times New Roman" w:hAnsi="Times New Roman" w:cs="Times New Roman"/>
                <w:color w:val="000000" w:themeColor="text1"/>
                <w:sz w:val="20"/>
                <w:vertAlign w:val="superscript"/>
                <w:lang w:val="en-US"/>
              </w:rPr>
              <w:t>238–246</w:t>
            </w:r>
            <w:r w:rsidRPr="000309F2">
              <w:rPr>
                <w:rFonts w:ascii="Times New Roman" w:eastAsia="Calibri" w:hAnsi="Times New Roman" w:cs="Times New Roman"/>
                <w:color w:val="000000" w:themeColor="text1"/>
                <w:sz w:val="20"/>
                <w:szCs w:val="20"/>
                <w:lang w:val="en-US"/>
              </w:rPr>
              <w:fldChar w:fldCharType="end"/>
            </w:r>
          </w:p>
        </w:tc>
        <w:tc>
          <w:tcPr>
            <w:tcW w:w="0" w:type="auto"/>
            <w:tcBorders>
              <w:top w:val="single" w:sz="6" w:space="0" w:color="auto"/>
            </w:tcBorders>
            <w:vAlign w:val="center"/>
          </w:tcPr>
          <w:p w14:paraId="10AB9BCF" w14:textId="39F7D5DC"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In various studies using the Dictator Game, participants are asked to divide a sum of money (e.g., $10) between themselves and another player or recipient, with different variations to explore factors influencing altruistic behavior and decision-making processes.</w:t>
            </w:r>
          </w:p>
        </w:tc>
      </w:tr>
      <w:tr w:rsidR="00B25BDD" w:rsidRPr="000309F2" w14:paraId="30C47EAA" w14:textId="77777777" w:rsidTr="00AB5C8F">
        <w:trPr>
          <w:trHeight w:val="20"/>
          <w:jc w:val="center"/>
        </w:trPr>
        <w:tc>
          <w:tcPr>
            <w:tcW w:w="0" w:type="auto"/>
            <w:vAlign w:val="center"/>
          </w:tcPr>
          <w:p w14:paraId="65A97C54" w14:textId="55CBF591" w:rsidR="00156BB0" w:rsidRPr="000309F2" w:rsidRDefault="00156BB0" w:rsidP="008920A6">
            <w:pPr>
              <w:spacing w:line="240" w:lineRule="auto"/>
              <w:rPr>
                <w:rFonts w:ascii="Times New Roman" w:eastAsia="Calibri" w:hAnsi="Times New Roman" w:cs="Times New Roman"/>
                <w:color w:val="000000" w:themeColor="text1"/>
                <w:sz w:val="20"/>
                <w:szCs w:val="20"/>
                <w:vertAlign w:val="subscript"/>
                <w:lang w:val="en-US"/>
              </w:rPr>
            </w:pPr>
            <w:r w:rsidRPr="000309F2">
              <w:rPr>
                <w:rFonts w:ascii="Times New Roman" w:eastAsia="Calibri" w:hAnsi="Times New Roman" w:cs="Times New Roman"/>
                <w:color w:val="000000" w:themeColor="text1"/>
                <w:sz w:val="20"/>
                <w:szCs w:val="20"/>
                <w:lang w:val="en-US"/>
              </w:rPr>
              <w:t>Costly helping</w:t>
            </w:r>
            <w:r w:rsidRPr="000309F2">
              <w:rPr>
                <w:rFonts w:ascii="Times New Roman" w:eastAsia="Calibri" w:hAnsi="Times New Roman" w:cs="Times New Roman"/>
                <w:color w:val="000000" w:themeColor="text1"/>
                <w:sz w:val="20"/>
                <w:szCs w:val="20"/>
                <w:vertAlign w:val="subscript"/>
                <w:lang w:val="en-US"/>
              </w:rPr>
              <w:t xml:space="preserve"> </w:t>
            </w:r>
            <w:r w:rsidRPr="000309F2">
              <w:rPr>
                <w:rFonts w:ascii="Times New Roman" w:eastAsia="Calibri" w:hAnsi="Times New Roman" w:cs="Times New Roman"/>
                <w:color w:val="000000" w:themeColor="text1"/>
                <w:sz w:val="20"/>
                <w:szCs w:val="20"/>
                <w:vertAlign w:val="subscript"/>
                <w:lang w:val="en-US"/>
              </w:rPr>
              <w:fldChar w:fldCharType="begin"/>
            </w:r>
            <w:r w:rsidR="00104379" w:rsidRPr="000309F2">
              <w:rPr>
                <w:rFonts w:ascii="Times New Roman" w:eastAsia="Calibri" w:hAnsi="Times New Roman" w:cs="Times New Roman"/>
                <w:color w:val="000000" w:themeColor="text1"/>
                <w:sz w:val="20"/>
                <w:szCs w:val="20"/>
                <w:vertAlign w:val="subscript"/>
                <w:lang w:val="en-US"/>
              </w:rPr>
              <w:instrText xml:space="preserve"> ADDIN ZOTERO_ITEM CSL_CITATION {"citationID":"3P3qoOSa","properties":{"formattedCitation":"\\super 153,247\\uc0\\u8211{}250\\nosupersub{}","plainCitation":"153,247–250","noteIndex":0},"citationItems":[{"id":666,"uris":["http://zotero.org/users/local/ww4sk5CR/items/PDN5USII"],"itemData":{"id":666,"type":"article-journal","abstract":"Witnessing another person’s suffering elicits vicarious brain activity in areas that are active when we ourselves are in pain. Whether this activity influences prosocial behavior remains the subject of debate. Here participants witnessed a confederate express pain through a reaction of the swatted hand or through a facial expression, and could decide to reduce that pain by donating money. Participants donate more money on trials in which the confederate expressed more pain. Electroencephalography shows that activity of the somatosensory cortex I (SI) hand region explains variance in donation. Transcranial magnetic stimulation (TMS) shows that altering this activity interferes with the pain–donation coupling only when pain is expressed by the hand. High-definition transcranial direct current stimulation (HD-tDCS) shows that altering SI activity also interferes with pain perception. These experiments show that vicarious somatosensory activations contribute to prosocial decision-making and suggest that they do so by helping to transform observed reactions of affected body-parts into accurate perceptions of pain that are necessary for decision-making.","container-title":"eLife","DOI":"10.7554/eLife.32740","ISSN":"2050-084X","note":"publisher: eLife Sciences Publications, Ltd","page":"e32740","title":"The causal role of the somatosensory cortex in prosocial behaviour","volume":"7","author":[{"family":"Gallo","given":"Selene"},{"family":"Paracampo","given":"Riccardo"},{"family":"Müller-Pinzler","given":"Laura"},{"family":"Severo","given":"Mario Carlo"},{"family":"Blömer","given":"Laila"},{"family":"Fernandes-Henriques","given":"Carolina"},{"family":"Henschel","given":"Anna"},{"family":"Lammes","given":"Balint Kalista"},{"family":"Maskaljunas","given":"Tatjana"},{"family":"Suttrup","given":"Judith"},{"family":"Avenanti","given":"Alessio"},{"family":"Keysers","given":"Christian"},{"family":"Gazzola","given":"Valeria"}],"editor":[{"family":"Mason","given":"Peggy"}],"issued":{"date-parts":[["2018",5]]}}},{"id":150,"uris":["http://zotero.org/users/local/ww4sk5CR/items/XWLYLPTM"],"itemData":{"id":150,"type":"article-journal","abstract":"Altruistic behavior, i.e., promoting the welfare of others at a cost to oneself, is subserved by the integration of various social, affective, and economic factors represented in extensive brain regions. However, it is unclear how different regions interact to process/integrate information regarding the helper's interest and recipient's need when deciding whether to behave altruistically. Here we combined an interactive game with functional Magnetic Resonance Imaging (fMRI) and transcranial direct current stimulation (tDCS) to characterize the neural network underlying the processing/integration of self-interest and other-need. At the behavioral level, high self-risk decreased helping behavior and high other-need increased helping behavior. At the neural level, activity in medial prefrontal cortex (MPFC) and right dorsolateral prefrontal cortex (rDLPFC) were positively associated with self-risk levels, and activity in right inferior parietal lobe (rIPL) and rDLPFC were negatively associated with other-need levels. Dynamic causal modeling further suggested that both MPFC and rIPL were extrinsically connected to rDLPFC; high self-risk enhanced the effective connectivity from MPFC to rDLPFC, and the modulatory effect of other-need on the connectivity from rIPL to rDLPFC positively correlated with the modulatory effect of other-need on individuals’ helping rate. Two tDCS experiments provided causal evidence that rDLPFC affects both self-interest and other-need concerns, and rIPL selectively affects the other-need concerns. These findings suggest a crucial role of the MPFC-IPL-DLPFC network during altruistic decision-making, with rDLPFC as a central node for integrating and modulating motives regarding self-interest and other-need. (PsycINFO Database Record (c) 2017 APA, all rights reserved)","archive":"psyh","archive_location":"2017-42973-051","container-title":"NeuroImage","DOI":"10.1016/j.neuroimage.2017.06.040","ISSN":"1053-8119","journalAbbreviation":"NeuroImage","note":"publisher: Elsevier Science","page":"598-611","source":"EBSCOhost","title":"How do self-interest and other-need interact in the brain to determine altruistic behavior?","volume":"157","author":[{"family":"Hu","given":"Jie"},{"family":"Li","given":"Yue"},{"family":"Yin","given":"Yunlu"},{"family":"Blue","given":"Philip R."},{"family":"Yu","given":"Hongbo"},{"family":"Zhou","given":"Xiaolin"}],"issued":{"date-parts":[["2017",8,15]]}}},{"id":712,"uris":["http://zotero.org/users/local/ww4sk5CR/items/SI7HN4CG"],"itemData":{"id":712,"type":"article-journal","abstract":"Social decision-making engages traditional decision-making processes (e.g. valuation), as well as social cognition processes (e.g. inferring the affective and mental states of another person). Neuroimaging and neuro-stimulation studies have suggested the involvement of the medial prefrontal cortex (mPFC) in a variety of social decision-making tasks. Yet no study has investigated the effect of the cortical excitability of mPFC in the decision-making of costly helping behavior. Here, we used tDCS to demonstrate the causal relationship between the cortical excitability of mPFC and costly helping decision-making. Subjects assigned to the anodal, cathodal and sham groups were required to decide whether they would like to cost their own money to relieve another subject (a confederate actually) from painful electrical shocks with a certain probability of success. Results showed that the subjects receiving anodal stimulation acted more prosaically than the subjects receiving cathodal stimulation. And this effect was only significant when the probability of success was high. We proposed that tDCS induced modulation of the cortical excitability, targeting the mPFC, can affect the prosocial propensity in costly helping behavior, and the possible underlying mechanisms were discussed.","container-title":"Neuroscience Letters","DOI":"10.1016/j.neulet.2018.03.027","ISSN":"0304-3940","journalAbbreviation":"Neuroscience Letters","page":"54-59","title":"Transcranial direct current stimulation of the medial prefrontal cortex modulates the propensity to help in costly helping behavior","volume":"674","author":[{"family":"Liao","given":"Chong"},{"family":"Wu","given":"Song"},{"family":"Luo","given":"Yue-jia"},{"family":"Guan","given":"Qing"},{"family":"Cui","given":"Fang"}],"issued":{"date-parts":[["2018",5,1]]}}},{"id":136,"uris":["http://zotero.org/users/local/ww4sk5CR/items/EFDXVU7A"],"itemData":{"id":136,"type":"article-journal","abstract":"Antisocial behavior and prosocial behavior in the condition of inequality have long been observed in daily life. Understanding the neurological mechanisms and brain regions associated with antisocial and prosocial behavior and the development of new interventions are important for reducing violence and inequality. Fortunately, neurocognitive research and brain imaging research have found a correlation between antisocial or prosocial behavior and the prefrontal cortex. Recent brain stimulation research adopting transcranial direct current stimulation or transcranial magnetic stimulation has shown a causal relationship between brain regions and behaviors, but the findings are mixed. In the present study, we aimed to study whether stimulation of the DLPFC can change participants’ antisocial and prosocial behavior in the condition of inequality. We integrated antisocial and prosocial behavior in a unified paradigm. Based on this paradigm, we discussed costly and cost-free antisocial and prosocial behavior. In addition, we also measured participants’ disadvantageous and advantageous inequality aversion. The current study revealed an asymmetric effect of bilateral stimulation over the DLPFC on costly antisocial behavior, while such an effect of antisocial behavior without cost and prosocial behavior with and without cost were not observed. Moreover, costly antisocial behavior exhibited by men increased after receiving right anodal/left cathodal stimulation and decreased after receiving right cathodal anodal/left anodal stimulation compared with the behavior observed under sham stimulation. However, subjects’ inequality aversion was not influenced by tDCS. (PsycInfo Database Record (c) 2022 APA, all rights reserved)","archive":"psyh","archive_location":"2021-12523-001","container-title":"Frontiers in Psychology","DOI":"10.3389/fpsyg.2020.579792","ISSN":"1664-1078","journalAbbreviation":"Frontiers in Psychology","note":"publisher: Frontiers Media S.A.","source":"EBSCOhost","title":"Effect of modulating DLPFC activity on antisocial and prosocial behavior: Evidence from a tDCS study","URL":"https://search.ebscohost.com/login.aspx?direct=true&amp;db=psyh&amp;AN=2021-12523-001&amp;site=ehost-live&amp;authtype=sso&amp;custid=s9814295","volume":"11","author":[{"family":"Zheng","given":"Wanjun"},{"family":"Li","given":"Yuzhen"},{"family":"Ye","given":"Hang"},{"family":"Luo","given":"Jun"}],"issued":{"date-parts":[["2021",1,13]]}}},{"id":132,"uris":["http://zotero.org/users/local/ww4sk5CR/items/VJVU74S9"],"itemData":{"id":132,"type":"article-journal","abstract":"Numerous experimental studies have replicated the social framing effect-the observation that people’s decisions related to economic benefits and feelings depend on the method of presentation. Previous neuroimaging studies have shown that the ventromedial prefrontal cortex (VMPFC) plays a part in the influence of framing and how individuals think about the feelings of others. Based on this, we used transcranial direct current stimulation (tDCS) to modulate neuronal activity in the VMPFC to determine the likelihood of a direct association between VMPFC activity and the social framing effect. Subsequently, in three stimulation treatments, we assessed the presence of the social framing effect, as demonstrated by a disparity between harm degree and help degree. The findings revealed a social framing effect in the participants in the control group and the sham treatment but no social framing effect in the participants in the anodal or cathodal treatments. Furthermore, sex differences were observed in the sham treatment’s social framing effect, whereas no sex differences were observed in the anodal or cathodal treatments. The participants tended to harm the victim after receiving anodal or cathodal tDCS over the VMPFC and did not change their helping behaviour in any stimulations. Consequently, a clear causal link between the behaviour of the VMPFC and the social framing effect was found in the present research. (PsycInfo Database Record (c) 2021 APA, all rights reserved)","archive":"psyh","archive_location":"2021-84962-001","container-title":"Frontiers in Behavioral Neuroscience","DOI":"10.3389/fnbeh.2021.677006","ISSN":"1662-5153","journalAbbreviation":"Frontiers in Behavioral Neuroscience","note":"publisher: Frontiers Media S.A.","source":"EBSCOhost","title":"Modulating the activity of the VMPFC with tDCS alters the social framing effect","URL":"https://search.ebscohost.com/login.aspx?direct=true&amp;db=psyh&amp;AN=2021-84962-001&amp;site=ehost-live&amp;authtype=sso&amp;custid=s9814295","volume":"15","author":[{"family":"Chen","given":"Yuyou"},{"family":"Lu","given":"Xinbo"},{"family":"Yu","given":"Ping"},{"family":"Zeng","given":"Lulu"},{"family":"Ye","given":"Hang"},{"family":"Shi","given":"Qing"},{"family":"Guo","given":"Wenmin"}],"issued":{"date-parts":[["2021",8,26]]}}}],"schema":"https://github.com/citation-style-language/schema/raw/master/csl-citation.json"} </w:instrText>
            </w:r>
            <w:r w:rsidRPr="000309F2">
              <w:rPr>
                <w:rFonts w:ascii="Times New Roman" w:eastAsia="Calibri" w:hAnsi="Times New Roman" w:cs="Times New Roman"/>
                <w:color w:val="000000" w:themeColor="text1"/>
                <w:sz w:val="20"/>
                <w:szCs w:val="20"/>
                <w:vertAlign w:val="subscript"/>
                <w:lang w:val="en-US"/>
              </w:rPr>
              <w:fldChar w:fldCharType="separate"/>
            </w:r>
            <w:r w:rsidR="00104379" w:rsidRPr="000309F2">
              <w:rPr>
                <w:rFonts w:ascii="Times New Roman" w:hAnsi="Times New Roman" w:cs="Times New Roman"/>
                <w:color w:val="000000" w:themeColor="text1"/>
                <w:sz w:val="20"/>
                <w:vertAlign w:val="superscript"/>
                <w:lang w:val="en-US"/>
              </w:rPr>
              <w:t>153,247–250</w:t>
            </w:r>
            <w:r w:rsidRPr="000309F2">
              <w:rPr>
                <w:rFonts w:ascii="Times New Roman" w:eastAsia="Calibri" w:hAnsi="Times New Roman" w:cs="Times New Roman"/>
                <w:color w:val="000000" w:themeColor="text1"/>
                <w:sz w:val="20"/>
                <w:szCs w:val="20"/>
                <w:lang w:val="en-US"/>
              </w:rPr>
              <w:fldChar w:fldCharType="end"/>
            </w:r>
            <w:r w:rsidRPr="000309F2">
              <w:rPr>
                <w:rFonts w:ascii="Times New Roman" w:eastAsia="Calibri" w:hAnsi="Times New Roman" w:cs="Times New Roman"/>
                <w:color w:val="000000" w:themeColor="text1"/>
                <w:sz w:val="20"/>
                <w:szCs w:val="20"/>
                <w:vertAlign w:val="subscript"/>
                <w:lang w:val="en-US"/>
              </w:rPr>
              <w:t xml:space="preserve"> </w:t>
            </w:r>
          </w:p>
        </w:tc>
        <w:tc>
          <w:tcPr>
            <w:tcW w:w="0" w:type="auto"/>
            <w:vAlign w:val="center"/>
          </w:tcPr>
          <w:p w14:paraId="32137D8E" w14:textId="77777777"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Participants choose how much of their own tokens to donate to either reduce someone else’s distress or increase others’ tokens at a personal cost.</w:t>
            </w:r>
          </w:p>
        </w:tc>
      </w:tr>
      <w:tr w:rsidR="00B25BDD" w:rsidRPr="000309F2" w14:paraId="0432E7E6" w14:textId="77777777" w:rsidTr="00AB5C8F">
        <w:trPr>
          <w:trHeight w:val="20"/>
          <w:jc w:val="center"/>
        </w:trPr>
        <w:tc>
          <w:tcPr>
            <w:tcW w:w="0" w:type="auto"/>
            <w:tcBorders>
              <w:bottom w:val="single" w:sz="6" w:space="0" w:color="auto"/>
            </w:tcBorders>
            <w:vAlign w:val="center"/>
          </w:tcPr>
          <w:p w14:paraId="7D3BFD92" w14:textId="42230EF7" w:rsidR="00156BB0" w:rsidRPr="000309F2" w:rsidRDefault="00156BB0" w:rsidP="008920A6">
            <w:pPr>
              <w:spacing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Donation task </w:t>
            </w:r>
            <w:r w:rsidRPr="000309F2">
              <w:rPr>
                <w:rFonts w:ascii="Times New Roman" w:eastAsia="Calibri" w:hAnsi="Times New Roman" w:cs="Times New Roman"/>
                <w:color w:val="000000" w:themeColor="text1"/>
                <w:sz w:val="20"/>
                <w:szCs w:val="20"/>
                <w:lang w:val="en-US"/>
              </w:rPr>
              <w:fldChar w:fldCharType="begin"/>
            </w:r>
            <w:r w:rsidR="00104379" w:rsidRPr="000309F2">
              <w:rPr>
                <w:rFonts w:ascii="Times New Roman" w:eastAsia="Calibri" w:hAnsi="Times New Roman" w:cs="Times New Roman"/>
                <w:color w:val="000000" w:themeColor="text1"/>
                <w:sz w:val="20"/>
                <w:szCs w:val="20"/>
                <w:lang w:val="en-US"/>
              </w:rPr>
              <w:instrText xml:space="preserve"> ADDIN ZOTERO_ITEM CSL_CITATION {"citationID":"Basb7nYM","properties":{"formattedCitation":"\\super 220,236,246,251,252\\nosupersub{}","plainCitation":"220,236,246,251,252","noteIndex":0},"citationItems":[{"id":114,"uris":["http://zotero.org/users/local/ww4sk5CR/items/MF6WHYMT"],"itemData":{"id":114,"type":"article-journal","abstract":"The right ventrolateral prefrontal cortex (rVLPFC) is highly engaged in emotion regulation of social pain. However, there is still lack of both inhibition and excitement evidence to prove the causal relationship between this brain region and voluntary emotion regulation. This study used high‐frequency (10 Hz) and low‐frequency (1 Hz) repetitive transcranial magnetic stimulation (rTMS) to separately activate or inhibit the rVLPFC in two groups of participants. We recorded participants' emotion ratings as well as their social attitude and prosocial behaviors following emotion regulation. Also, we used eye tracker to record the changes of pupil diameter to measure emotional feelings objectively. A total of 108 healthy participants were randomly assigned to the activated, inhibitory or sham rTMS groups. They were required to accomplish three sequential tasks: the emotion regulation (cognitive reappraisal) task, the favorability rating task, and the donation task. Results show that the rVLPFC‐inhibitory group reported more negative emotions and showed larger pupil diameter while the rVLPFC‐activated group showed less negative emotions and reduced pupil diameter during emotion regulation (both compared with the sham rTMS group). In addition, the activated group gave more positive social evaluation to peers and donated more money to a public welfare activity than the rVLPFC‐inhibitory group, among which the change of social attitude was mediated by regulated emotion. Taken together, these findings reveal that the rVLPFC plays a causal role in voluntary emotion regulation of social pain and can be a potential brain target in treating deficits of emotion regulation in psychiatric disorders. (PsycInfo Database Record (c) 2023 APA, all rights reserved)","archive":"psyh","archive_location":"2023-87352-001","container-title":"Human Brain Mapping","DOI":"10.1002/hbm.26411","ISSN":"1065-9471","issue":"13","journalAbbreviation":"Human Brain Mapping","note":"publisher: John Wiley &amp; Sons","page":"4710-4721","source":"EBSCOhost","title":"The role of ventrolateral prefrontal cortex on voluntary emotion regulation of social pain","volume":"44","author":[{"family":"Yu","given":"Wenwen"},{"family":"Li","given":"Yiwei"},{"family":"Cao","given":"Xueying"},{"family":"Mo","given":"Licheng"},{"family":"Chen","given":"Yuming"},{"family":"Zhang","given":"Dandan"}],"issued":{"date-parts":[["2023",9]]}}},{"id":146,"uris":["http://zotero.org/users/local/ww4sk5CR/items/8AY7BDF8"],"itemData":{"id":146,"type":"article-journal","abstract":"Previous studies suggest the dorsolateral prefrontal cortex (DLPFC) is involved in processing of empathic concern. This has not been experimentally tested to date. We tested the hypotheses that electrical potentiation in the right DLPFC would be associated with increased empathic concern and prosocial behavior. Participants were randomly allocated to one of three transcranial Direct Current Stimulation (tDCS) conditions: (a) relative right potentiation, (b) relative left potentiation, and (c) sham. Participants viewed images of African children in distressing circumstances, and completed measures of empathic concern pre- and post-tDCS manipulation. Contrary to our prediction, neither effects, nor interactions of heightened empathic concern were observed. These results conflict with previous studies using this bilateral tDCS montage. Explanations could be that stimulation used in this study had been simply too weak (1.5 mA). Alternatively, the area of the DLPFC involved in emotion regulation is closer to the cortex than the area involved in empathic concern, and more easily potentiated by tDCS. Therefore, the DLPFC potentiation in the present study may have linked empathic concern with adaptive emotion regulation strategies. Future research could examine this possibility using measures of emotion regulation and higher fidelity neurostimulation (e.g., repetitive Transcranial Magnetic Stimulation [rTMS]). (PsycINFO Database Record (c) 2019 APA, all rights reserved)","archive":"psyh","archive_location":"2018-01935-004","container-title":"Social Neuroscience","DOI":"10.1080/17470919.2016.1273133","ISSN":"1747-0919","issue":"2","journalAbbreviation":"Social Neuroscience","note":"publisher: Taylor &amp; Francis","page":"190-201","source":"EBSCOhost","title":"tDCS potentiation provides no evidence for a link between right dorsal–lateral prefrontal cortical activity and empathic responding","volume":"13","author":[{"family":"Snowdon","given":"Marion E."},{"family":"Cathcart","given":"Stuart"}],"issued":{"date-parts":[["2018",3]]}}},{"id":702,"uris":["http://zotero.org/users/local/ww4sk5CR/items/KRTMZCX7"],"itemData":{"id":702,"type":"article-journal","abstract":"More than a decade of neuroimaging and brain stimulation studies point to a crucial role for the right dorsolateral prefrontal cortex (rDLPFC) in prosocial behavior. The intuitive prosociality model postulates that the rDLPFC controls intuitive prosocial behavior, whereas the reflective model assumes that the rDLPFC controls selfish impulses during prosocial behavior. The intuitive prosociality model implies that the transient disruption of the rDLPFC should increase voluntary transfers in both dictator and generosity games. In contrast, the reflective model suggests that the transient disruption of the rDLPFC should decrease transfers in the dictator game, without affecting voluntary transfers in the generosity game, in which selfish motives are minimized. The aim of this paper was to compare predictions of the intuitive and reflective models using the classic dictator game and generosity game and continuous theta burst stimulation (cTBS). In this study, two groups of healthy participants (dictators) received either cTBS over the rDLPFC or right extrastriate visual areas. As shown by the results, the transient disruption of the rDLPFC significantly promoted prosocial motives in the dictator game only, particularly in the trials with the lowest dictator’s costs. These findings partially support the notion that the rDLPFC controls intuitive prosocial behavior.","container-title":"Scientific Reports","DOI":"10.1038/s41598-021-01588-6","ISSN":"2045-2322","issue":"1","journalAbbreviation":"Scientific Reports","page":"22334","title":"Role of the prefrontal cortex in prosocial and self-maximization motivations: an rTMS study","volume":"11","author":[{"family":"Zinchenko","given":"Oksana"},{"family":"Savelo","given":"Olga"},{"family":"Klucharev","given":"Vasily"}],"issued":{"date-parts":[["2021",11,16]]}}},{"id":728,"uris":["http://zotero.org/users/local/ww4sk5CR/items/CS972ZYM"],"itemData":{"id":728,"type":"article-journal","abstract":"Social norms play an essential role in human interactions and the development of the evolution of human history. Extensive studies corroborate that compliance with social norms typically requires a punishment threat as almost always specific individuals have self-interests that tempt them to violate the norm. Neural imaging studies demonstrate that lateral orbitofrontal cortex (LOFC) and right dorsolateral prefrontal cortex (rDLPFC) are activated when individuals decide to increase social norm compliance when punishment is possible. Moreover, rDLPFC is affirmed to be involved in social norm compliance with or without external punishment threats in a series of transcranial direct current stimulation (tDCS) research. However, these neuroscience studies are based on the ultimatum game (UG) in which the decision-making power between the proposer and the responder is unequal, and no studies support the causal relationship between rDLPFC and voluntary cooperative norms compliance among the equal decision-making power of subjects. Whether modulating the excitability of rDLPFC, which plays a role in norm compliance, alters the extent of compliance with voluntary cooperative norms under equal decision-making power and how norms from different types with asymmetric endowment influence compliance remain unknown. The present study aimed to provide evidence of a direct link between the neural and behavioral results through the application of tDCS over rDLPFC on compliance with voluntary cooperative norms under equal decision-making power. Results verified that activating rDLPFC altered voluntary cooperative norms compliance of all our participants and significant effect over different initial endowments was observed. The role of norm.own and norm.other in compliance was changed in the anodal treatment. Findings validate that enhancing the excitability of the rDLPFC using tDCS leads to high compliance in voluntary cooperation and this effect is specific to equal decision-making power rather than unequal decision-making power.","container-title":"Frontiers in Human Neuroscience","ISSN":"1662-5161","journalAbbreviation":"Frontiers in Human Neuroscience","title":"Transcranial Direct Current Stimulation Altered Voluntary Cooperative Norms Compliance Under Equal Decision-Making Power","URL":"https://www.frontiersin.org/articles/10.3389/fnhum.2018.00265","volume":"12","author":[{"family":"Li","given":"Jianbiao"},{"family":"Liu","given":"Xiaoli"},{"family":"Yin","given":"Xile"},{"family":"Li","given":"Shuaiqi"},{"family":"Wang","given":"Guangrong"},{"family":"Niu","given":"Xiaofei"},{"family":"Zhu","given":"Chengkang"}],"issued":{"date-parts":[["2018"]]}}},{"id":732,"uris":["http://zotero.org/users/local/ww4sk5CR/items/54AAGNVF"],"itemData":{"id":732,"type":"article-journal","abstract":"Socially responsible investment (SRI) is an emerging philosophy that integrates social and environmental impacts into investment considerations, and it has gradually developed into an important form of investment. Previous studies have shown that both financial and non-financial motivations account for SRI behaviors, but it is unclear whether the non-financial motive to adopt SRI derives from investors’ altruism. This study uses neuroscientific techniques to explore the role of altruism in SRI decision-making. Given that existing evidence has supported the involvement of the right temporoparietal junction (rTPJ) in altruism and altruistic behaviors, we used transcranial direct current stimulation (tDCS) to temporarily modulate activity in the rTPJ and tested its effect on charitable donations and SRI behaviors. We found that anodal stimulation increased the subjects’ donations, while cathodal stimulation decreased them, suggesting that tDCS changed the subjects’ levels of altruism. More importantly, anodal stimulation enhanced the subjects’ willingness to make SRIs, while cathodal stimulation did not have a significant impact. These findings indicate that altruism plays an important role in SRI decision-making. Furthermore, cathodal stimulation changed the subjects’ perceived effectiveness of charitable donation but not that of socially responsible fund. This result may help explain the inconsistent effects of cathodal stimulation on charitable donations and SRI behaviors. The main contribution of our study lies in its pioneering application of tDCS to conduct research on SRI behaviors and provision of neuroscientific evidence regarding the role of altruism in SRI decision-making.","container-title":"Frontiers in Neuroscience","ISSN":"1662-453X","journalAbbreviation":"Frontiers in Neuroscience","title":"Are People Altruistic When Making Socially Responsible Investments? Evidence From a tDCS Study","URL":"https://www.frontiersin.org/journals/neuroscience/articles/10.3389/fnins.2021.704537","volume":"15","author":[{"family":"Yang","given":"Xiaolan"},{"family":"Meng","given":"Wenting"},{"family":"Chen","given":"Shu"},{"family":"Gao","given":"Mei"},{"family":"Zhang","given":"Jian"}],"issued":{"date-parts":[["2021"]]}}}],"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00104379" w:rsidRPr="000309F2">
              <w:rPr>
                <w:rFonts w:ascii="Times New Roman" w:hAnsi="Times New Roman" w:cs="Times New Roman"/>
                <w:color w:val="000000" w:themeColor="text1"/>
                <w:sz w:val="20"/>
                <w:vertAlign w:val="superscript"/>
                <w:lang w:val="en-US"/>
              </w:rPr>
              <w:t>220,236,246,251,252</w:t>
            </w:r>
            <w:r w:rsidRPr="000309F2">
              <w:rPr>
                <w:rFonts w:ascii="Times New Roman" w:eastAsia="Calibri" w:hAnsi="Times New Roman" w:cs="Times New Roman"/>
                <w:color w:val="000000" w:themeColor="text1"/>
                <w:sz w:val="20"/>
                <w:szCs w:val="20"/>
                <w:lang w:val="en-US"/>
              </w:rPr>
              <w:fldChar w:fldCharType="end"/>
            </w:r>
            <w:r w:rsidRPr="000309F2">
              <w:rPr>
                <w:rFonts w:ascii="Times New Roman" w:eastAsia="Calibri" w:hAnsi="Times New Roman" w:cs="Times New Roman"/>
                <w:color w:val="000000" w:themeColor="text1"/>
                <w:sz w:val="20"/>
                <w:szCs w:val="20"/>
                <w:lang w:val="en-US"/>
              </w:rPr>
              <w:t xml:space="preserve"> </w:t>
            </w:r>
          </w:p>
        </w:tc>
        <w:tc>
          <w:tcPr>
            <w:tcW w:w="0" w:type="auto"/>
            <w:vAlign w:val="center"/>
          </w:tcPr>
          <w:p w14:paraId="017BC4A0" w14:textId="2AEC1FB5"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Participants decide how to allocate resources – such as money or credits – to various causes or organi</w:t>
            </w:r>
            <w:r w:rsidR="00AB5C8F" w:rsidRPr="000309F2">
              <w:rPr>
                <w:rFonts w:ascii="Times New Roman" w:eastAsia="Calibri" w:hAnsi="Times New Roman" w:cs="Times New Roman"/>
                <w:color w:val="000000" w:themeColor="text1"/>
                <w:sz w:val="20"/>
                <w:szCs w:val="20"/>
                <w:lang w:val="en-US"/>
              </w:rPr>
              <w:t>z</w:t>
            </w:r>
            <w:r w:rsidRPr="000309F2">
              <w:rPr>
                <w:rFonts w:ascii="Times New Roman" w:eastAsia="Calibri" w:hAnsi="Times New Roman" w:cs="Times New Roman"/>
                <w:color w:val="000000" w:themeColor="text1"/>
                <w:sz w:val="20"/>
                <w:szCs w:val="20"/>
                <w:lang w:val="en-US"/>
              </w:rPr>
              <w:t>ations. Their decisions were influenced by the conditions of the task, such as whether they were making donations publicly or privately.</w:t>
            </w:r>
          </w:p>
        </w:tc>
      </w:tr>
      <w:tr w:rsidR="00B25BDD" w:rsidRPr="000309F2" w14:paraId="35572B1A" w14:textId="77777777" w:rsidTr="00AB5C8F">
        <w:trPr>
          <w:trHeight w:val="20"/>
          <w:jc w:val="center"/>
        </w:trPr>
        <w:tc>
          <w:tcPr>
            <w:tcW w:w="0" w:type="auto"/>
            <w:gridSpan w:val="2"/>
            <w:tcBorders>
              <w:top w:val="single" w:sz="6" w:space="0" w:color="auto"/>
              <w:bottom w:val="single" w:sz="6" w:space="0" w:color="auto"/>
            </w:tcBorders>
            <w:vAlign w:val="center"/>
          </w:tcPr>
          <w:p w14:paraId="2FF717C2" w14:textId="77777777" w:rsidR="00156BB0" w:rsidRPr="000309F2" w:rsidRDefault="00156BB0" w:rsidP="008920A6">
            <w:pPr>
              <w:spacing w:before="40" w:after="40" w:line="240" w:lineRule="auto"/>
              <w:rPr>
                <w:rFonts w:ascii="Times New Roman" w:eastAsia="Calibri" w:hAnsi="Times New Roman" w:cs="Times New Roman"/>
                <w:i/>
                <w:iCs/>
                <w:color w:val="000000" w:themeColor="text1"/>
                <w:sz w:val="20"/>
                <w:szCs w:val="20"/>
                <w:lang w:val="en-US"/>
              </w:rPr>
            </w:pPr>
            <w:r w:rsidRPr="000309F2">
              <w:rPr>
                <w:rFonts w:ascii="Times New Roman" w:eastAsia="Calibri" w:hAnsi="Times New Roman" w:cs="Times New Roman"/>
                <w:i/>
                <w:iCs/>
                <w:color w:val="000000" w:themeColor="text1"/>
                <w:lang w:val="en-US"/>
              </w:rPr>
              <w:t>Helping/Cooperation</w:t>
            </w:r>
          </w:p>
        </w:tc>
      </w:tr>
      <w:tr w:rsidR="00B25BDD" w:rsidRPr="000309F2" w14:paraId="0DBDFB17" w14:textId="77777777" w:rsidTr="00AB5C8F">
        <w:trPr>
          <w:trHeight w:val="20"/>
          <w:jc w:val="center"/>
        </w:trPr>
        <w:tc>
          <w:tcPr>
            <w:tcW w:w="0" w:type="auto"/>
            <w:tcBorders>
              <w:top w:val="single" w:sz="6" w:space="0" w:color="auto"/>
              <w:bottom w:val="single" w:sz="6" w:space="0" w:color="auto"/>
            </w:tcBorders>
            <w:vAlign w:val="center"/>
          </w:tcPr>
          <w:p w14:paraId="6C1D52C8" w14:textId="77777777" w:rsidR="00156BB0" w:rsidRPr="000309F2" w:rsidRDefault="00156BB0" w:rsidP="008920A6">
            <w:pPr>
              <w:spacing w:line="240" w:lineRule="auto"/>
              <w:rPr>
                <w:rFonts w:ascii="Times New Roman" w:eastAsia="Calibri" w:hAnsi="Times New Roman" w:cs="Times New Roman"/>
                <w:i/>
                <w:iCs/>
                <w:color w:val="000000" w:themeColor="text1"/>
                <w:sz w:val="20"/>
                <w:szCs w:val="20"/>
                <w:lang w:val="en-US"/>
              </w:rPr>
            </w:pPr>
            <w:r w:rsidRPr="000309F2">
              <w:rPr>
                <w:rFonts w:ascii="Times New Roman" w:eastAsia="Calibri" w:hAnsi="Times New Roman" w:cs="Times New Roman"/>
                <w:i/>
                <w:iCs/>
                <w:color w:val="000000" w:themeColor="text1"/>
                <w:sz w:val="20"/>
                <w:szCs w:val="20"/>
                <w:lang w:val="en-US"/>
              </w:rPr>
              <w:t>Measures</w:t>
            </w:r>
          </w:p>
        </w:tc>
        <w:tc>
          <w:tcPr>
            <w:tcW w:w="0" w:type="auto"/>
            <w:tcBorders>
              <w:top w:val="single" w:sz="6" w:space="0" w:color="auto"/>
              <w:bottom w:val="single" w:sz="6" w:space="0" w:color="auto"/>
            </w:tcBorders>
            <w:vAlign w:val="center"/>
          </w:tcPr>
          <w:p w14:paraId="3BFDAC0B" w14:textId="77777777" w:rsidR="00156BB0" w:rsidRPr="000309F2" w:rsidRDefault="00156BB0" w:rsidP="008920A6">
            <w:pPr>
              <w:spacing w:before="40" w:after="40" w:line="240" w:lineRule="auto"/>
              <w:jc w:val="center"/>
              <w:rPr>
                <w:rFonts w:ascii="Times New Roman" w:eastAsia="Calibri" w:hAnsi="Times New Roman" w:cs="Times New Roman"/>
                <w:i/>
                <w:iCs/>
                <w:color w:val="000000" w:themeColor="text1"/>
                <w:sz w:val="20"/>
                <w:szCs w:val="20"/>
                <w:lang w:val="en-US"/>
              </w:rPr>
            </w:pPr>
            <w:r w:rsidRPr="000309F2">
              <w:rPr>
                <w:rFonts w:ascii="Times New Roman" w:eastAsia="Calibri" w:hAnsi="Times New Roman" w:cs="Times New Roman"/>
                <w:i/>
                <w:iCs/>
                <w:color w:val="000000" w:themeColor="text1"/>
                <w:sz w:val="20"/>
                <w:szCs w:val="20"/>
                <w:lang w:val="en-US"/>
              </w:rPr>
              <w:t>Description</w:t>
            </w:r>
          </w:p>
        </w:tc>
      </w:tr>
      <w:tr w:rsidR="00B25BDD" w:rsidRPr="000309F2" w14:paraId="000934C2" w14:textId="77777777" w:rsidTr="00AB5C8F">
        <w:trPr>
          <w:trHeight w:val="20"/>
          <w:jc w:val="center"/>
        </w:trPr>
        <w:tc>
          <w:tcPr>
            <w:tcW w:w="0" w:type="auto"/>
            <w:tcBorders>
              <w:top w:val="single" w:sz="6" w:space="0" w:color="auto"/>
            </w:tcBorders>
            <w:vAlign w:val="center"/>
          </w:tcPr>
          <w:p w14:paraId="4C5653B5" w14:textId="1F508C19" w:rsidR="00156BB0" w:rsidRPr="000309F2" w:rsidRDefault="00156BB0" w:rsidP="008920A6">
            <w:pPr>
              <w:spacing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Helping tasks </w:t>
            </w:r>
            <w:r w:rsidRPr="000309F2">
              <w:rPr>
                <w:rFonts w:ascii="Times New Roman" w:eastAsia="Calibri" w:hAnsi="Times New Roman" w:cs="Times New Roman"/>
                <w:color w:val="000000" w:themeColor="text1"/>
                <w:sz w:val="20"/>
                <w:szCs w:val="20"/>
                <w:lang w:val="en-US"/>
              </w:rPr>
              <w:fldChar w:fldCharType="begin"/>
            </w:r>
            <w:r w:rsidR="00104379" w:rsidRPr="000309F2">
              <w:rPr>
                <w:rFonts w:ascii="Times New Roman" w:eastAsia="Calibri" w:hAnsi="Times New Roman" w:cs="Times New Roman"/>
                <w:color w:val="000000" w:themeColor="text1"/>
                <w:sz w:val="20"/>
                <w:szCs w:val="20"/>
                <w:lang w:val="en-US"/>
              </w:rPr>
              <w:instrText xml:space="preserve"> ADDIN ZOTERO_ITEM CSL_CITATION {"citationID":"eD4lC8m1","properties":{"formattedCitation":"\\super 153,253\\nosupersub{}","plainCitation":"153,253","noteIndex":0},"citationItems":[{"id":136,"uris":["http://zotero.org/users/local/ww4sk5CR/items/EFDXVU7A"],"itemData":{"id":136,"type":"article-journal","abstract":"Antisocial behavior and prosocial behavior in the condition of inequality have long been observed in daily life. Understanding the neurological mechanisms and brain regions associated with antisocial and prosocial behavior and the development of new interventions are important for reducing violence and inequality. Fortunately, neurocognitive research and brain imaging research have found a correlation between antisocial or prosocial behavior and the prefrontal cortex. Recent brain stimulation research adopting transcranial direct current stimulation or transcranial magnetic stimulation has shown a causal relationship between brain regions and behaviors, but the findings are mixed. In the present study, we aimed to study whether stimulation of the DLPFC can change participants’ antisocial and prosocial behavior in the condition of inequality. We integrated antisocial and prosocial behavior in a unified paradigm. Based on this paradigm, we discussed costly and cost-free antisocial and prosocial behavior. In addition, we also measured participants’ disadvantageous and advantageous inequality aversion. The current study revealed an asymmetric effect of bilateral stimulation over the DLPFC on costly antisocial behavior, while such an effect of antisocial behavior without cost and prosocial behavior with and without cost were not observed. Moreover, costly antisocial behavior exhibited by men increased after receiving right anodal/left cathodal stimulation and decreased after receiving right cathodal anodal/left anodal stimulation compared with the behavior observed under sham stimulation. However, subjects’ inequality aversion was not influenced by tDCS. (PsycInfo Database Record (c) 2022 APA, all rights reserved)","archive":"psyh","archive_location":"2021-12523-001","container-title":"Frontiers in Psychology","DOI":"10.3389/fpsyg.2020.579792","ISSN":"1664-1078","journalAbbreviation":"Frontiers in Psychology","note":"publisher: Frontiers Media S.A.","source":"EBSCOhost","title":"Effect of modulating DLPFC activity on antisocial and prosocial behavior: Evidence from a tDCS study","URL":"https://search.ebscohost.com/login.aspx?direct=true&amp;db=psyh&amp;AN=2021-12523-001&amp;site=ehost-live&amp;authtype=sso&amp;custid=s9814295","volume":"11","author":[{"family":"Zheng","given":"Wanjun"},{"family":"Li","given":"Yuzhen"},{"family":"Ye","given":"Hang"},{"family":"Luo","given":"Jun"}],"issued":{"date-parts":[["2021",1,13]]}}},{"id":142,"uris":["http://zotero.org/users/local/ww4sk5CR/items/NLN82W5S"],"itemData":{"id":142,"type":"article-journal","abstract":"Why are we willing to help others? Recent behavioral work on episodic processes (i.e. the ability to represent an event that is specific in time and place) suggests that imagining and remembering scenes of helping a person in need increases intentions to help. Here, we provide insight into the cognitive and neural mechanisms that enhance prosocial intentions via episodic simulation and memory. In Experiment 1, we scanned participants using functional neuroimaging as they imagined and remembered helping episodes, and completed non-episodic control conditions accounting for exposure to the story of need and conceptual priming of helping. Analyses revealed that activity in the medial temporal lobe (MTL) subsystem, as well as the right temporoparietal junction (RTPJ) predicted the effect of conditions on the strength of prosocial intentions. In Experiment 2, we used transcranial magnetic stimulation to disrupt activity in the RTPJ, and better isolate the contribution of MTL subsystem to prosocial intentions. The effect of conditions on willingness to help remained even when activity in the RTPJ was disrupted, suggesting that activity in the MTL subsystem may primarily support this prosocial effect. It seems our willingness to help may be guided, in part, by how easily we can construct imagined and remembered helping episodes. (PsycINFO Database Record (c) 2019 APA, all rights reserved)","archive":"psyh","archive_location":"2019-30152-005","container-title":"Social Cognitive and Affective Neuroscience","ISSN":"1749-5016","issue":"4","journalAbbreviation":"Social Cognitive and Affective Neuroscience","note":"publisher: Oxford University Press","page":"397-410","source":"EBSCOhost","title":"A role for the medial temporal lobe subsystem in guiding prosociality: The effect of episodic processes on willingness to help others","volume":"14","author":[{"family":"Gaesser","given":"Brendan"},{"family":"Hirschfeld-Kroen","given":"Josh"},{"family":"Wasserman","given":"Emily A."},{"family":"Horn","given":"Mary"},{"family":"Young","given":"Liane"}],"issued":{"date-parts":[["2019",4]]}}}],"schema":"https://github.com/citation-style-language/schema/raw/master/csl-citation.json"}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00104379" w:rsidRPr="000309F2">
              <w:rPr>
                <w:rFonts w:ascii="Times New Roman" w:hAnsi="Times New Roman" w:cs="Times New Roman"/>
                <w:color w:val="000000" w:themeColor="text1"/>
                <w:sz w:val="20"/>
                <w:vertAlign w:val="superscript"/>
                <w:lang w:val="en-US"/>
              </w:rPr>
              <w:t>153,253</w:t>
            </w:r>
            <w:r w:rsidRPr="000309F2">
              <w:rPr>
                <w:rFonts w:ascii="Times New Roman" w:eastAsia="Calibri" w:hAnsi="Times New Roman" w:cs="Times New Roman"/>
                <w:color w:val="000000" w:themeColor="text1"/>
                <w:sz w:val="20"/>
                <w:szCs w:val="20"/>
                <w:lang w:val="en-US"/>
              </w:rPr>
              <w:fldChar w:fldCharType="end"/>
            </w:r>
            <w:r w:rsidRPr="000309F2">
              <w:rPr>
                <w:rFonts w:ascii="Times New Roman" w:eastAsia="Calibri" w:hAnsi="Times New Roman" w:cs="Times New Roman"/>
                <w:color w:val="000000" w:themeColor="text1"/>
                <w:sz w:val="20"/>
                <w:szCs w:val="20"/>
                <w:lang w:val="en-US"/>
              </w:rPr>
              <w:t xml:space="preserve"> </w:t>
            </w:r>
          </w:p>
        </w:tc>
        <w:tc>
          <w:tcPr>
            <w:tcW w:w="0" w:type="auto"/>
            <w:tcBorders>
              <w:top w:val="single" w:sz="6" w:space="0" w:color="auto"/>
            </w:tcBorders>
            <w:vAlign w:val="center"/>
          </w:tcPr>
          <w:p w14:paraId="26D622FE" w14:textId="77777777"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Participants in these tasks are required to make decisions about helping others at no personal cost in various scenarios.</w:t>
            </w:r>
          </w:p>
        </w:tc>
      </w:tr>
      <w:tr w:rsidR="00B25BDD" w:rsidRPr="000309F2" w14:paraId="6F5D0C62" w14:textId="77777777" w:rsidTr="000309F2">
        <w:trPr>
          <w:trHeight w:val="20"/>
          <w:jc w:val="center"/>
        </w:trPr>
        <w:tc>
          <w:tcPr>
            <w:tcW w:w="0" w:type="auto"/>
            <w:vAlign w:val="center"/>
          </w:tcPr>
          <w:p w14:paraId="7C3998B7" w14:textId="5CC0F8EC" w:rsidR="00156BB0" w:rsidRPr="000309F2" w:rsidRDefault="00156BB0" w:rsidP="008920A6">
            <w:pPr>
              <w:spacing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Cooperation and social dilemma tasks </w:t>
            </w:r>
            <w:r w:rsidRPr="000309F2">
              <w:rPr>
                <w:rFonts w:ascii="Times New Roman" w:eastAsia="Calibri" w:hAnsi="Times New Roman" w:cs="Times New Roman"/>
                <w:color w:val="000000" w:themeColor="text1"/>
                <w:sz w:val="20"/>
                <w:szCs w:val="20"/>
                <w:lang w:val="en-US"/>
              </w:rPr>
              <w:fldChar w:fldCharType="begin"/>
            </w:r>
            <w:r w:rsidR="00104379" w:rsidRPr="000309F2">
              <w:rPr>
                <w:rFonts w:ascii="Times New Roman" w:eastAsia="Calibri" w:hAnsi="Times New Roman" w:cs="Times New Roman"/>
                <w:color w:val="000000" w:themeColor="text1"/>
                <w:sz w:val="20"/>
                <w:szCs w:val="20"/>
                <w:lang w:val="en-US"/>
              </w:rPr>
              <w:instrText xml:space="preserve"> ADDIN ZOTERO_ITEM CSL_CITATION {"citationID":"sgDkTgcD","properties":{"formattedCitation":"\\super 250,254\\uc0\\u8211{}256\\nosupersub{}","plainCitation":"250,254–256","noteIndex":0},"citationItems":[{"id":132,"uris":["http://zotero.org/users/local/ww4sk5CR/items/VJVU74S9"],"itemData":{"id":132,"type":"article-journal","abstract":"Numerous experimental studies have replicated the social framing effect-the observation that people’s decisions related to economic benefits and feelings depend on the method of presentation. Previous neuroimaging studies have shown that the ventromedial prefrontal cortex (VMPFC) plays a part in the influence of framing and how individuals think about the feelings of others. Based on this, we used transcranial direct current stimulation (tDCS) to modulate neuronal activity in the VMPFC to determine the likelihood of a direct association between VMPFC activity and the social framing effect. Subsequently, in three stimulation treatments, we assessed the presence of the social framing effect, as demonstrated by a disparity between harm degree and help degree. The findings revealed a social framing effect in the participants in the control group and the sham treatment but no social framing effect in the participants in the anodal or cathodal treatments. Furthermore, sex differences were observed in the sham treatment’s social framing effect, whereas no sex differences were observed in the anodal or cathodal treatments. The participants tended to harm the victim after receiving anodal or cathodal tDCS over the VMPFC and did not change their helping behaviour in any stimulations. Consequently, a clear causal link between the behaviour of the VMPFC and the social framing effect was found in the present research. (PsycInfo Database Record (c) 2021 APA, all rights reserved)","archive":"psyh","archive_location":"2021-84962-001","container-title":"Frontiers in Behavioral Neuroscience","DOI":"10.3389/fnbeh.2021.677006","ISSN":"1662-5153","journalAbbreviation":"Frontiers in Behavioral Neuroscience","note":"publisher: Frontiers Media S.A.","source":"EBSCOhost","title":"Modulating the activity of the VMPFC with tDCS alters the social framing effect","URL":"https://search.ebscohost.com/login.aspx?direct=true&amp;db=psyh&amp;AN=2021-84962-001&amp;site=ehost-live&amp;authtype=sso&amp;custid=s9814295","volume":"15","author":[{"family":"Chen","given":"Yuyou"},{"family":"Lu","given":"Xinbo"},{"family":"Yu","given":"Ping"},{"family":"Zeng","given":"Lulu"},{"family":"Ye","given":"Hang"},{"family":"Shi","given":"Qing"},{"family":"Guo","given":"Wenmin"}],"issued":{"date-parts":[["2021",8,26]]}}},{"id":718,"uris":["http://zotero.org/users/local/ww4sk5CR/items/XZL7CUTZ"],"itemData":{"id":718,"type":"article-journal","abstract":"Altruistic punishment of social norm violations plays a crucial role in maintaining widespread cooperation in human societies, and punitive behavior has been suggested to be related to the activity level of the dorsolateral prefrontal cortex (DLPFC). This study used unilateral and bilateral transcranial direct current stimulation (tDCS) to investigate how modulating the activity of the DLPFC affects cooperation and punishment in a 3-player prisoner’s dilemma. We found that none of the unilateral stimulations changed the participants’ cooperation behaviors, while left anodal/right cathodal stimulation increased the participants’ cooperation. For punitive behavior, we found that all unilateral stimulations (i.e., right anodal, right cathodal, left anodal, left cathodal) and bilateral stimulations (i.e., right anodal/left cathodal, left anodal/right cathodal) significantly decreased the punishment imposed by the cooperators toward the defectors. In addition, right anodal stimulation significantly decreased the participant’s third-party punishment (TPP) imposed by the cooperators toward the defectors. The other three unilateral stimulations also significantly decreased the participant’s TPP imposed by the cooperators toward the defectors, but only when the punishment was revealed to the punished person. Our findings indicate that the mechanisms of selfishness and negative emotions suggested by previous studies probably interact with different stimulations: for anodal stimulations, the mechanism of negative emotions may overwhelm the mechanism of selfishness, while for cathodal stimulations, the mechanism of selfishness may be more dominant than the mechanism of negative emotions.","container-title":"Frontiers in Neuroscience","ISSN":"1662-453X","journalAbbreviation":"Frontiers in Neuroscience","title":"Modulating Activity in the Dorsolateral Prefrontal Cortex Changes Punishment in the 3-Player Prisoner’s Dilemma: A Transcranial Direct Current Stimulation Study","URL":"https://www.frontiersin.org/journals/neuroscience/articles/10.3389/fnins.2019.01160","volume":"13","author":[{"family":"Chen","given":"Shu"},{"family":"Shi","given":"Jinchuan"},{"family":"Yang","given":"Xiaolan"},{"family":"Ye","given":"Hang"},{"family":"Luo","given":"Jun"}],"issued":{"date-parts":[["2019"]]}}},{"id":701,"uris":["http://zotero.org/users/local/ww4sk5CR/items/AV6TUDBP"],"itemData":{"id":701,"type":"article-journal","abstract":"Previous functional imaging studies investigating the neural basis of strategic decision making in the prisoner’s dilemma reported a correlation between cooperative behavior and dorsolateral prefrontal cortex (DLPFC) activity; however, the precise function of the DLPFC in establishing cooperation remains unclear so far. The present study investigated the causal role of the DLPFC in an iterative prisoner’s dilemma game with transcranial magnetic stimulation (TMS). We discovered that disrupting the DLPFC with TMS decreased cooperation rates in comparison to control conditions, with this effect being most pronounced when the partner had defected previously. Thus, the current results suggest that the DLPFC contributes to strategic decision making in the prisoner’s dilemma game.","container-title":"Cognitive, Affective, &amp; Behavioral Neuroscience","DOI":"10.3758/s13415-015-0372-5","ISSN":"1531-135X","issue":"4","journalAbbreviation":"Cognitive, Affective, &amp; Behavioral Neuroscience","page":"854-860","title":"The Importance of the Lateral Prefrontal Cortex for Strategic Decision Making in the Prisoner’s Dilemma","volume":"15","author":[{"family":"Soutschek","given":"Alexander"},{"family":"Sauter","given":"Marian"},{"family":"Schubert","given":"Torsten"}],"issued":{"date-parts":[["2015",12,1]]}}},{"id":692,"uris":["http://zotero.org/users/local/ww4sk5CR/items/2SPNZW3Y"],"itemData":{"id":692,"type":"article-journal","abstract":"Cooperation enhances interpersonal communication and nurtures society. However, efforts to socially cooperate may often evoke conflict. Individuals may selfishly pursue a greater reward or success by exploiting the efforts of other individuals or taking unnecessary risk to oneself. Such a cooperation dilemma is highly prevalent in real life; thus, it has been studied in various disciplines. Although published functional magnetic resonance imaging studies have shown the involvement of the right temporoparietal junction (TPJ) in resolving a dilemma through cooperation, a causal relationship between the two has rarely been explored. Hence, we investigated this issue by combining repetitive transcranial magnetic stimulation with a priority game task (modified snowdrift game). In this game task, participants and opponent players jointly faced a problem whereby their collaboration was anticipated to defuse the situation. This conflicted with a choice in the participant's self-interest that was more rewarding but risky. We further included conditions with and without explicit social cues using figures describing elderly/pregnant passengers in the game opponent's car, and measured participants' prosocial traits to examine any cue-induced effect as well as the personality-cooperation relationship, respectively. The cooperation ratio was not statistically different in both the no-cue and with-cue conditions between the sham stimulation and inhibitory continuous theta burst stimulation (cTBS). However, after cTBS, in the no-cue condition, the strength of the association between cooperation ratio and empathy traits decreased significantly. These results add to our knowledge about the right TPJ's role in social cognition, which may be extraordinarily complex. This topic is deserving of further examination.","container-title":"Neuroimage: Reports","DOI":"https://doi.org/10.1016/j.ynirp.2021.100033","ISSN":"2666-9560","issue":"3","page":"100033","title":"The right temporoparietal junction during a cooperation dilemma: An rTMS study","volume":"1","author":[{"family":"Tei","given":"Shisei"},{"family":"Fujino","given":"Junya"},{"family":"Itahashi","given":"Takashi"},{"family":"Aoki","given":"Yuta Y."},{"family":"Ohta","given":"Haruhisa"},{"family":"Kubota","given":"Manabu"},{"family":"Sawajiri","given":"Shuji"},{"family":"Hashimoto","given":"Ryu-ichiro"},{"family":"Takahashi","given":"Hidehiko"},{"family":"Kato","given":"Nobumasa"},{"family":"Nakamura","given":"Motoaki"}],"issued":{"date-parts":[["2021"]]}}}],"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00104379" w:rsidRPr="000309F2">
              <w:rPr>
                <w:rFonts w:ascii="Times New Roman" w:hAnsi="Times New Roman" w:cs="Times New Roman"/>
                <w:color w:val="000000" w:themeColor="text1"/>
                <w:sz w:val="20"/>
                <w:vertAlign w:val="superscript"/>
                <w:lang w:val="en-US"/>
              </w:rPr>
              <w:t>250,254–256</w:t>
            </w:r>
            <w:r w:rsidRPr="000309F2">
              <w:rPr>
                <w:rFonts w:ascii="Times New Roman" w:eastAsia="Calibri" w:hAnsi="Times New Roman" w:cs="Times New Roman"/>
                <w:color w:val="000000" w:themeColor="text1"/>
                <w:sz w:val="20"/>
                <w:szCs w:val="20"/>
                <w:lang w:val="en-US"/>
              </w:rPr>
              <w:fldChar w:fldCharType="end"/>
            </w:r>
            <w:r w:rsidRPr="000309F2">
              <w:rPr>
                <w:rFonts w:ascii="Times New Roman" w:eastAsia="Calibri" w:hAnsi="Times New Roman" w:cs="Times New Roman"/>
                <w:color w:val="000000" w:themeColor="text1"/>
                <w:sz w:val="20"/>
                <w:szCs w:val="20"/>
                <w:lang w:val="en-US"/>
              </w:rPr>
              <w:t xml:space="preserve"> </w:t>
            </w:r>
          </w:p>
        </w:tc>
        <w:tc>
          <w:tcPr>
            <w:tcW w:w="0" w:type="auto"/>
            <w:vAlign w:val="center"/>
          </w:tcPr>
          <w:p w14:paraId="48A4A50F" w14:textId="77777777"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Participants engage in decision-making scenarios where cooperation or defection influenced both personal and group outcomes. These tasks explore how individuals balance personal benefits against collective good in various settings.</w:t>
            </w:r>
          </w:p>
        </w:tc>
      </w:tr>
      <w:tr w:rsidR="00B25BDD" w:rsidRPr="000309F2" w14:paraId="0264C478" w14:textId="77777777" w:rsidTr="000309F2">
        <w:trPr>
          <w:trHeight w:val="20"/>
          <w:jc w:val="center"/>
        </w:trPr>
        <w:tc>
          <w:tcPr>
            <w:tcW w:w="0" w:type="auto"/>
            <w:vAlign w:val="center"/>
          </w:tcPr>
          <w:p w14:paraId="5FB106EF" w14:textId="77777777" w:rsidR="00156BB0" w:rsidRPr="000309F2" w:rsidRDefault="00156BB0" w:rsidP="008920A6">
            <w:pPr>
              <w:spacing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Prosocial intervention </w:t>
            </w:r>
            <w:r w:rsidRPr="000309F2">
              <w:rPr>
                <w:rFonts w:ascii="Times New Roman" w:eastAsia="Calibri" w:hAnsi="Times New Roman" w:cs="Times New Roman"/>
                <w:color w:val="000000" w:themeColor="text1"/>
                <w:sz w:val="20"/>
                <w:szCs w:val="20"/>
                <w:lang w:val="en-US"/>
              </w:rPr>
              <w:fldChar w:fldCharType="begin"/>
            </w:r>
            <w:r w:rsidRPr="000309F2">
              <w:rPr>
                <w:rFonts w:ascii="Times New Roman" w:eastAsia="Calibri" w:hAnsi="Times New Roman" w:cs="Times New Roman"/>
                <w:color w:val="000000" w:themeColor="text1"/>
                <w:sz w:val="20"/>
                <w:szCs w:val="20"/>
                <w:lang w:val="en-US"/>
              </w:rPr>
              <w:instrText xml:space="preserve"> ADDIN ZOTERO_ITEM CSL_CITATION {"citationID":"M0Wqfn7i","properties":{"formattedCitation":"\\super 259(p201)\\nosupersub{}","plainCitation":"259(p201)","dontUpdate":true,"noteIndex":0},"citationItems":[{"id":626,"uris":["http://zotero.org/users/local/ww4sk5CR/items/DVFVASK2"],"itemData":{"id":626,"type":"article-journal","abstract":"In this study, we analysed facial expression detection and facial mimicry behaviour in response to an emotional empathic task. We posited that a “simulation mechanism” may be related to emotional face detection and that this mechanism could be supported by prefrontal cortical structures. To evaluate our hypothesis, we requested 16 subjects to emotionally empathise with facial stimuli and applied high frequency repeated transcranial magnetic stimulation (rTMS) to the medial prefrontal cortex (MPFC) in order to induce an increased response to the facial expressions of emotion. To determine whether emotional content affects empathic behaviour, we also varied the stimulus valence (negative vs. positive vs. neutral faces). We found that autonomic (facial zygomatic and corrugator electromyography (EMG) subjective response) and detection (correct responses (CRs); response times (RTs)) measures were modulated by the MPFC activity. Specifically, when prefrontal structures were activated, subjects displayed an increased performance in CRs and reduced RTs for face recognition, as well as increased emotion-specific EMG responses in comparison to sham effects and control site stimulation. In fact, the zygomatic muscle was more responsive in cases of positive emotion (happiness), whereas corrugator activity was more robust during periods of negative emotion (fear, anger, disgust). However, an overall stronger effect was observed in response to negative, and potentially aversive, faces when compared with responses to positive and neutral faces. Finally, a direct correlation was found between the psychophysiological responses and detection measures. In summary, these results suggest that a “simulation mechanism” underlies emotion detection in an empathic situation that includes both EMG and behavioural responses. This mechanism appears to be supported and regulated by the MPFC area.","container-title":"Neuroscience","DOI":"10.1016/j.neuroscience.2012.12.059","ISSN":"0306-4522","journalAbbreviation":"Neuroscience","page":"12-20","title":"High-frequency rTMS improves facial mimicry and detection responses in an empathic emotional task","volume":"236","author":[{"family":"Balconi","given":"M."},{"family":"Canavesio","given":"Y."}],"issued":{"date-parts":[["2013",4,16]]}},"locator":"201"}],"schema":"https://github.com/citation-style-language/schema/raw/master/csl-citation.json"}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Pr="000309F2">
              <w:rPr>
                <w:rFonts w:ascii="Times New Roman" w:eastAsia="Calibri" w:hAnsi="Times New Roman" w:cs="Times New Roman"/>
                <w:color w:val="000000" w:themeColor="text1"/>
                <w:sz w:val="20"/>
                <w:szCs w:val="20"/>
                <w:vertAlign w:val="superscript"/>
                <w:lang w:val="en-US"/>
              </w:rPr>
              <w:t>259</w:t>
            </w:r>
            <w:r w:rsidRPr="000309F2">
              <w:rPr>
                <w:rFonts w:ascii="Times New Roman" w:eastAsia="Calibri" w:hAnsi="Times New Roman" w:cs="Times New Roman"/>
                <w:color w:val="000000" w:themeColor="text1"/>
                <w:sz w:val="20"/>
                <w:szCs w:val="20"/>
                <w:lang w:val="en-US"/>
              </w:rPr>
              <w:fldChar w:fldCharType="end"/>
            </w:r>
            <w:r w:rsidRPr="000309F2">
              <w:rPr>
                <w:rFonts w:ascii="Times New Roman" w:eastAsia="Calibri" w:hAnsi="Times New Roman" w:cs="Times New Roman"/>
                <w:color w:val="000000" w:themeColor="text1"/>
                <w:sz w:val="20"/>
                <w:szCs w:val="20"/>
                <w:lang w:val="en-US"/>
              </w:rPr>
              <w:t xml:space="preserve"> </w:t>
            </w:r>
          </w:p>
        </w:tc>
        <w:tc>
          <w:tcPr>
            <w:tcW w:w="0" w:type="auto"/>
            <w:vAlign w:val="center"/>
          </w:tcPr>
          <w:p w14:paraId="2563D811" w14:textId="52167B1E"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Participants watch video clips showing different types of interactions (i.e., cooperative, noncooperative, conflictual, and neutral) and then rate how much they </w:t>
            </w:r>
            <w:r w:rsidR="000309F2" w:rsidRPr="000309F2">
              <w:rPr>
                <w:rFonts w:ascii="Times New Roman" w:eastAsia="Calibri" w:hAnsi="Times New Roman" w:cs="Times New Roman"/>
                <w:color w:val="000000" w:themeColor="text1"/>
                <w:sz w:val="20"/>
                <w:szCs w:val="20"/>
                <w:lang w:val="en-US"/>
              </w:rPr>
              <w:t>empathized</w:t>
            </w:r>
            <w:r w:rsidRPr="000309F2">
              <w:rPr>
                <w:rFonts w:ascii="Times New Roman" w:eastAsia="Calibri" w:hAnsi="Times New Roman" w:cs="Times New Roman"/>
                <w:color w:val="000000" w:themeColor="text1"/>
                <w:sz w:val="20"/>
                <w:szCs w:val="20"/>
                <w:lang w:val="en-US"/>
              </w:rPr>
              <w:t xml:space="preserve"> with the actors and their intention to intervene in each scenario. </w:t>
            </w:r>
            <w:r w:rsidRPr="000309F2">
              <w:rPr>
                <w:rFonts w:ascii="Times New Roman" w:eastAsia="Calibri" w:hAnsi="Times New Roman" w:cs="Times New Roman"/>
                <w:color w:val="000000" w:themeColor="text1"/>
                <w:sz w:val="20"/>
                <w:szCs w:val="20"/>
                <w:lang w:val="en-US"/>
              </w:rPr>
              <w:lastRenderedPageBreak/>
              <w:t>Prosocial behavior is determined when participants intervene more in conflictual/noncooperative scenarios.</w:t>
            </w:r>
          </w:p>
        </w:tc>
      </w:tr>
      <w:tr w:rsidR="00B25BDD" w:rsidRPr="000309F2" w14:paraId="0420C54E" w14:textId="77777777" w:rsidTr="00AB5C8F">
        <w:trPr>
          <w:trHeight w:val="20"/>
          <w:jc w:val="center"/>
        </w:trPr>
        <w:tc>
          <w:tcPr>
            <w:tcW w:w="0" w:type="auto"/>
            <w:gridSpan w:val="2"/>
            <w:tcBorders>
              <w:top w:val="single" w:sz="6" w:space="0" w:color="auto"/>
            </w:tcBorders>
            <w:vAlign w:val="center"/>
          </w:tcPr>
          <w:p w14:paraId="6ED1DD39" w14:textId="77777777" w:rsidR="00156BB0" w:rsidRPr="000309F2" w:rsidRDefault="00156BB0" w:rsidP="008920A6">
            <w:pPr>
              <w:spacing w:before="40" w:after="40" w:line="240" w:lineRule="auto"/>
              <w:rPr>
                <w:rFonts w:ascii="Times New Roman" w:eastAsia="Calibri" w:hAnsi="Times New Roman" w:cs="Times New Roman"/>
                <w:i/>
                <w:iCs/>
                <w:color w:val="000000" w:themeColor="text1"/>
                <w:sz w:val="20"/>
                <w:szCs w:val="20"/>
                <w:lang w:val="en-US"/>
              </w:rPr>
            </w:pPr>
            <w:r w:rsidRPr="000309F2">
              <w:rPr>
                <w:rFonts w:ascii="Times New Roman" w:eastAsia="Calibri" w:hAnsi="Times New Roman" w:cs="Times New Roman"/>
                <w:i/>
                <w:iCs/>
                <w:color w:val="000000" w:themeColor="text1"/>
                <w:lang w:val="en-US"/>
              </w:rPr>
              <w:lastRenderedPageBreak/>
              <w:t>Reciprocity</w:t>
            </w:r>
          </w:p>
        </w:tc>
      </w:tr>
      <w:tr w:rsidR="00B25BDD" w:rsidRPr="000309F2" w14:paraId="4F00B616" w14:textId="77777777" w:rsidTr="00AB5C8F">
        <w:trPr>
          <w:trHeight w:val="20"/>
          <w:jc w:val="center"/>
        </w:trPr>
        <w:tc>
          <w:tcPr>
            <w:tcW w:w="0" w:type="auto"/>
            <w:tcBorders>
              <w:top w:val="single" w:sz="6" w:space="0" w:color="auto"/>
              <w:bottom w:val="single" w:sz="6" w:space="0" w:color="auto"/>
            </w:tcBorders>
            <w:vAlign w:val="center"/>
          </w:tcPr>
          <w:p w14:paraId="783DF39C" w14:textId="77777777" w:rsidR="00156BB0" w:rsidRPr="000309F2" w:rsidRDefault="00156BB0" w:rsidP="008920A6">
            <w:pPr>
              <w:spacing w:line="240" w:lineRule="auto"/>
              <w:rPr>
                <w:rFonts w:ascii="Times New Roman" w:eastAsia="Calibri" w:hAnsi="Times New Roman" w:cs="Times New Roman"/>
                <w:i/>
                <w:iCs/>
                <w:color w:val="000000" w:themeColor="text1"/>
                <w:sz w:val="20"/>
                <w:szCs w:val="20"/>
                <w:lang w:val="en-US"/>
              </w:rPr>
            </w:pPr>
            <w:r w:rsidRPr="000309F2">
              <w:rPr>
                <w:rFonts w:ascii="Times New Roman" w:eastAsia="Calibri" w:hAnsi="Times New Roman" w:cs="Times New Roman"/>
                <w:i/>
                <w:iCs/>
                <w:color w:val="000000" w:themeColor="text1"/>
                <w:sz w:val="20"/>
                <w:szCs w:val="20"/>
                <w:lang w:val="en-US"/>
              </w:rPr>
              <w:t>Measures</w:t>
            </w:r>
          </w:p>
        </w:tc>
        <w:tc>
          <w:tcPr>
            <w:tcW w:w="0" w:type="auto"/>
            <w:tcBorders>
              <w:top w:val="single" w:sz="6" w:space="0" w:color="auto"/>
              <w:bottom w:val="single" w:sz="6" w:space="0" w:color="auto"/>
            </w:tcBorders>
            <w:vAlign w:val="center"/>
          </w:tcPr>
          <w:p w14:paraId="7BB7A34D" w14:textId="77777777" w:rsidR="00156BB0" w:rsidRPr="000309F2" w:rsidRDefault="00156BB0" w:rsidP="008920A6">
            <w:pPr>
              <w:spacing w:before="40" w:after="40" w:line="240" w:lineRule="auto"/>
              <w:jc w:val="center"/>
              <w:rPr>
                <w:rFonts w:ascii="Times New Roman" w:eastAsia="Calibri" w:hAnsi="Times New Roman" w:cs="Times New Roman"/>
                <w:i/>
                <w:iCs/>
                <w:color w:val="000000" w:themeColor="text1"/>
                <w:sz w:val="20"/>
                <w:szCs w:val="20"/>
                <w:lang w:val="en-US"/>
              </w:rPr>
            </w:pPr>
            <w:r w:rsidRPr="000309F2">
              <w:rPr>
                <w:rFonts w:ascii="Times New Roman" w:eastAsia="Calibri" w:hAnsi="Times New Roman" w:cs="Times New Roman"/>
                <w:i/>
                <w:iCs/>
                <w:color w:val="000000" w:themeColor="text1"/>
                <w:sz w:val="20"/>
                <w:szCs w:val="20"/>
                <w:lang w:val="en-US"/>
              </w:rPr>
              <w:t>Description</w:t>
            </w:r>
          </w:p>
        </w:tc>
      </w:tr>
      <w:tr w:rsidR="00B25BDD" w:rsidRPr="000309F2" w14:paraId="525B355C" w14:textId="77777777" w:rsidTr="00AB5C8F">
        <w:trPr>
          <w:trHeight w:val="20"/>
          <w:jc w:val="center"/>
        </w:trPr>
        <w:tc>
          <w:tcPr>
            <w:tcW w:w="0" w:type="auto"/>
            <w:tcBorders>
              <w:top w:val="single" w:sz="6" w:space="0" w:color="auto"/>
            </w:tcBorders>
            <w:vAlign w:val="center"/>
          </w:tcPr>
          <w:p w14:paraId="6956403C" w14:textId="288685EB" w:rsidR="00156BB0" w:rsidRPr="000309F2" w:rsidRDefault="00156BB0" w:rsidP="008920A6">
            <w:pPr>
              <w:spacing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Trust Game </w:t>
            </w:r>
            <w:r w:rsidRPr="000309F2">
              <w:rPr>
                <w:rFonts w:ascii="Times New Roman" w:eastAsia="Calibri" w:hAnsi="Times New Roman" w:cs="Times New Roman"/>
                <w:color w:val="000000" w:themeColor="text1"/>
                <w:sz w:val="20"/>
                <w:szCs w:val="20"/>
                <w:lang w:val="en-US"/>
              </w:rPr>
              <w:fldChar w:fldCharType="begin"/>
            </w:r>
            <w:r w:rsidR="00104379" w:rsidRPr="000309F2">
              <w:rPr>
                <w:rFonts w:ascii="Times New Roman" w:eastAsia="Calibri" w:hAnsi="Times New Roman" w:cs="Times New Roman"/>
                <w:color w:val="000000" w:themeColor="text1"/>
                <w:sz w:val="20"/>
                <w:szCs w:val="20"/>
                <w:lang w:val="en-US"/>
              </w:rPr>
              <w:instrText xml:space="preserve"> ADDIN ZOTERO_ITEM CSL_CITATION {"citationID":"ctC6AY6F","properties":{"formattedCitation":"\\super 241,258\\uc0\\u8211{}260\\nosupersub{}","plainCitation":"241,258–260","noteIndex":0},"citationItems":[{"id":154,"uris":["http://zotero.org/users/local/ww4sk5CR/items/AYBQDKWV"],"itemData":{"id":154,"type":"article-journal","abstract":"Trust and trustworthiness are essential to an efficient economy and play crucial roles in social life. Previous evidence from behavioral experiments has revealed that the trustworthiness of individuals is closely related with their altruistic preference. It has been demonstrated that the ventromedial prefrontal cortex (vmPFC) is associated with decisions involving trustworthiness. Moreover, vmPFC lesion patients showed less trustworthiness and altruism than control subjects, indicating the indispensable role of this specific brain area in human social interactions. However, the causal relationship between this neural area and trustworthiness, as well as altruism, has not been fully revealed. The potential neural basis behind the behavior of trustees’ repayment has also seldom been discussed. In the present study, we aimed to provide evidence of a direct link between the neural and behavioral results through the application of transcranial direct current stimulation (tDCS) over the vmPFC of our participants. We found that activating the vmPFC could promote both the trustworthiness and altruism of our participants. We also show that enhancing the excitability of the vmPFC using tDCS increased the trustworthiness of the participants, and this promoting effect might be attributable to the enhancement of individuals’ altruistic preference. In addition, we revealed that the enhancing effect in trustworthiness and altruism might be specific to the activation of the vmPFC by applying tDCS over another brain region within the prefrontal cortex as a control site. Crucially, our findings provide direct evidence supporting the critical role of the vmPFC in cooperative behaviors in economic interactions, especially the trustees’ repayment in the trust game and the dictators’ altruistic transfer in the dictator game. (PsycInfo Database Record (c) 2020 APA, all rights reserved)","archive":"psyh","archive_location":"2016-48295-001","container-title":"Frontiers in Psychology","DOI":"10.3389/fpsyg.2016.01437","ISSN":"1664-1078","journalAbbreviation":"Frontiers in Psychology","note":"publisher: Frontiers Media S.A.","source":"EBSCOhost","title":"Modulating the activity of ventromedial prefrontal cortex by anodal tDCS enhances the trustee’s repayment through altruism","URL":"https://search.ebscohost.com/login.aspx?direct=true&amp;db=psyh&amp;AN=2016-48295-001&amp;site=ehost-live&amp;authtype=sso&amp;custid=s9814295","volume":"7","author":[{"family":"Zheng","given":"Haoli"},{"family":"Huang","given":"Daqiang"},{"family":"Chen","given":"Shu"},{"family":"Wang","given":"Siqi"},{"family":"Guo","given":"Wenmin"},{"family":"Luo","given":"Jun"},{"family":"Ye","given":"Hang"},{"family":"Chen","given":"Yefeng"}],"issued":{"date-parts":[["2016",9,22]]}}},{"id":102,"uris":["http://zotero.org/users/local/ww4sk5CR/items/LFU7WRQA"],"itemData":{"id":102,"type":"article-journal","abstract":"Trust is one of the most important factors in human society, as it pervades almost all domains of the society. The trusting behavior of trustors is dependent on the belief about the cooperative (reciprocal) level of trustees. Thence what are the motives underlying the cooperative behavior? An important explanation is that guilt aversion can motivate cooperative behavior. The right orbitofrontal cortex (OFC) is the guilt-specific region, while there is little understanding on the causal effect of this network. We explored the causal effect of the OFC on cooperative behavior using transcranial direct current stimulation (tDCS). Sixty participants played the trust game as trustees, and they received either anodal tDCS over the right OFC and simultaneously cathodal electrode over the right dorsolateral prefrontal cortex (DLPFC), or sham stimulation. Experimental results showed that participants as trustees transferred back more money in the tDCS treatment than sham stimulation. This suggests that the activity of the right OFC has causal effects on cooperative behavior. (PsycInfo Database Record (c) 2020 APA, all rights reserved)","archive":"psyh","archive_location":"2016-11636-010","container-title":"Behavioural Brain Research","DOI":"10.1016/j.bbr.2016.01.047","ISSN":"0166-4328","journalAbbreviation":"Behavioural Brain Research","note":"publisher: Elsevier Science","page":"71-75","source":"EBSCOhost","title":"Modulating activity in the orbitofrontal cortex changes trustees' cooperation: A transcranial direct current stimulation study","volume":"303","author":[{"family":"Wang","given":"Guangrong"},{"family":"Li","given":"Jianbiao"},{"family":"Yin","given":"Xile"},{"family":"Li","given":"Shuaiqi"},{"family":"Wei","given":"Mengxing"}],"issued":{"date-parts":[["2016",4,15]]}}},{"id":1107,"uris":["http://zotero.org/users/local/ww4sk5CR/items/E33LPTMF"],"itemData":{"id":1107,"type":"article-journal","abstract":"Reputation formation pervades human social life. In fact, many people go to great lengths to acquire a good reputation, even though building a good reputation is costly in many cases. Little is known about the neural underpinnings of this important social mechanism, however. In the present study, we show that disruption of the right, but not the left, lateral prefrontal cortex (PFC) with low-frequency repetitive transcranial magnetic stimulation (rTMS) diminishes subjects' ability to build a favorable reputation. This effect occurs even though subjects' ability to behave altruistically in the absence of reputation incentives remains intact, and even though they are still able to recognize both the fairness standards necessary for acquiring and the future benefits of a good reputation. Thus, subjects with a disrupted right lateral PFC no longer seem to be able to resist the temptation to defect, even though they know that this has detrimental effects on their future reputation. This suggests an important dissociation between the knowledge about one's own best interests and the ability to act accordingly in social contexts. These results link findings on the neural underpinnings of self-control and temptation with the study of human social behavior, and they may help explain why reputation formation remains less prominent in most other species with less developed prefrontal cortices.","container-title":"Proceedings of the National Academy of Sciences","DOI":"10.1073/pnas.0911619106","issue":"49","journalAbbreviation":"Proceedings of the National Academy of Sciences","note":"publisher: Proceedings of the National Academy of Sciences","page":"20895-20899","title":"Disrupting the prefrontal cortex diminishes the human ability to build a good reputation","volume":"106","author":[{"family":"Knoch","given":"Daria"},{"family":"Schneider","given":"Frédéric"},{"family":"Schunk","given":"Daniel"},{"family":"Hohmann","given":"Martin"},{"family":"Fehr","given":"Ernst"}],"issued":{"date-parts":[["2009",12,8]]}}},{"id":620,"uris":["http://zotero.org/users/local/ww4sk5CR/items/EVEM5J8F"],"itemData":{"id":620,"type":"article-journal","abstract":"Prosocial behavior is pivotal to our society. Guilt aversion, which describes the tendency to reduce the discrepancy between a partner’s expectation and his/her actual outcome, drives human prosocial behavior as does well-known inequity aversion. Although women are reported to be more inequity averse than men, gender differences in guilt aversion remain unexplored. Here, we conducted a functional magnetic resonance imaging (fMRI) study (n = 52) and a large-scale online behavioral study (n = 4723) of a trust game designed to investigate guilt and inequity aversions. The fMRI study demonstrated that men exhibited stronger guilt aversion and recruited right dorsolateral prefrontal cortex (DLPFC)-ventromedial PFC (VMPFC) connectivity more for guilt aversion than women, while VMPFC-dorsal medial PFC (DMPFC) connectivity was commonly used in both genders. Furthermore, our regression analysis of the online behavioral data collected with Big Five and demographic factors replicated the gender differences and revealed that Big Five Conscientiousness (rulebased decision) correlated with guilt aversion only in men, but Agreeableness (empathetic consideration) correlated with guilt aversion in both genders. Thus, this study suggests that gender differences in prosocial behavior are heterogeneous depending on underlying motives in the brain and that the consideration of social norms plays a key role in the stronger guilt aversion in men.","container-title":"eneuro","DOI":"10.1523/ENEURO.0226-21.2021","ISSN":"2373-2822","issue":"6","journalAbbreviation":"eNeuro","language":"en","license":"https://creativecommons.org/licenses/by-nc-sa/4.0/","page":"ENEURO.0226-21.2021","source":"DOI.org (Crossref)","title":"Functional Connectivity Basis and Underlying Cognitive Mechanisms for Gender Differences in Guilt Aversion","volume":"8","author":[{"family":"Nihonsugi","given":"Tsuyoshi"},{"family":"Numano","given":"Shotaro"},{"family":"Haruno","given":"Masahiko"}],"issued":{"date-parts":[["2021",11]]}}}],"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00104379" w:rsidRPr="000309F2">
              <w:rPr>
                <w:rFonts w:ascii="Times New Roman" w:hAnsi="Times New Roman" w:cs="Times New Roman"/>
                <w:color w:val="000000" w:themeColor="text1"/>
                <w:sz w:val="20"/>
                <w:vertAlign w:val="superscript"/>
                <w:lang w:val="en-US"/>
              </w:rPr>
              <w:t>241,258–260</w:t>
            </w:r>
            <w:r w:rsidRPr="000309F2">
              <w:rPr>
                <w:rFonts w:ascii="Times New Roman" w:eastAsia="Calibri" w:hAnsi="Times New Roman" w:cs="Times New Roman"/>
                <w:color w:val="000000" w:themeColor="text1"/>
                <w:sz w:val="20"/>
                <w:szCs w:val="20"/>
                <w:lang w:val="en-US"/>
              </w:rPr>
              <w:fldChar w:fldCharType="end"/>
            </w:r>
            <w:r w:rsidRPr="000309F2">
              <w:rPr>
                <w:rFonts w:ascii="Times New Roman" w:eastAsia="Calibri" w:hAnsi="Times New Roman" w:cs="Times New Roman"/>
                <w:color w:val="000000" w:themeColor="text1"/>
                <w:sz w:val="20"/>
                <w:szCs w:val="20"/>
                <w:lang w:val="en-US"/>
              </w:rPr>
              <w:t xml:space="preserve"> </w:t>
            </w:r>
          </w:p>
        </w:tc>
        <w:tc>
          <w:tcPr>
            <w:tcW w:w="0" w:type="auto"/>
            <w:tcBorders>
              <w:top w:val="single" w:sz="6" w:space="0" w:color="auto"/>
            </w:tcBorders>
            <w:vAlign w:val="center"/>
          </w:tcPr>
          <w:p w14:paraId="2CEB1A43" w14:textId="77777777"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Trust games involve a trustor who sends resources to a trustee, who then decides how much to return. Some variations explore how the visibility of the trustee’s decisions (whether anonymous or revealed) affects their willingness to reciprocate.</w:t>
            </w:r>
          </w:p>
        </w:tc>
      </w:tr>
      <w:tr w:rsidR="00B25BDD" w:rsidRPr="000309F2" w14:paraId="58A2A1B0" w14:textId="77777777" w:rsidTr="00AB5C8F">
        <w:trPr>
          <w:trHeight w:val="20"/>
          <w:jc w:val="center"/>
        </w:trPr>
        <w:tc>
          <w:tcPr>
            <w:tcW w:w="0" w:type="auto"/>
            <w:vAlign w:val="center"/>
          </w:tcPr>
          <w:p w14:paraId="101AED08" w14:textId="3BEF0086" w:rsidR="00156BB0" w:rsidRPr="000309F2" w:rsidRDefault="00156BB0" w:rsidP="008920A6">
            <w:pPr>
              <w:spacing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Holdup Game </w:t>
            </w:r>
            <w:r w:rsidRPr="000309F2">
              <w:rPr>
                <w:rFonts w:ascii="Times New Roman" w:eastAsia="Calibri" w:hAnsi="Times New Roman" w:cs="Times New Roman"/>
                <w:color w:val="000000" w:themeColor="text1"/>
                <w:sz w:val="20"/>
                <w:szCs w:val="20"/>
                <w:lang w:val="en-US"/>
              </w:rPr>
              <w:fldChar w:fldCharType="begin"/>
            </w:r>
            <w:r w:rsidR="00104379" w:rsidRPr="000309F2">
              <w:rPr>
                <w:rFonts w:ascii="Times New Roman" w:eastAsia="Calibri" w:hAnsi="Times New Roman" w:cs="Times New Roman"/>
                <w:color w:val="000000" w:themeColor="text1"/>
                <w:sz w:val="20"/>
                <w:szCs w:val="20"/>
                <w:lang w:val="en-US"/>
              </w:rPr>
              <w:instrText xml:space="preserve"> ADDIN ZOTERO_ITEM CSL_CITATION {"citationID":"zeV34HOT","properties":{"formattedCitation":"\\super 261,262\\nosupersub{}","plainCitation":"261,262","noteIndex":0},"citationItems":[{"id":134,"uris":["http://zotero.org/users/local/ww4sk5CR/items/QG7L93QJ"],"itemData":{"id":134,"type":"article-journal","abstract":"Hold-up problem is very common in non-contractible relation-specific investment transactions. And this problem can affect by trust, cooperation and altruism behavior of human beings. Recent neuroscience researches had explored a network of right temporo-parietal junction (rTPJ) involved in human cooperation and altruism behavior. The purpose of this study is to modulate the activation of rTPJ through transcranial direct current stimulation (tDCS), and to study the influence of rTPJ on investment and offer behavior in hold-up game. The results of our study showed that the anodal stimulation significantly increased participants' offer compared with the cathodal and sham stimulation. A possible explanation is that changes in rTPJ activity induced by anodal stimulation improve the accuracy of agents' mental reasoning and promote cooperation by influencing agents' offer behavior. (PsycInfo Database Record (c) 2021 APA, all rights reserved)","archive":"psyh","archive_location":"2021-14736-004","container-title":"Brain Research Bulletin","DOI":"10.1016/j.brainresbull.2020.12.013","ISSN":"0361-9230","journalAbbreviation":"Brain Research Bulletin","note":"publisher: Elsevier Science","page":"17-24","source":"EBSCOhost","title":"Modulating the activity of right temporo-parietal junction by anodal tDCS enhances the agent’s repayment in hold-up game","volume":"168","author":[{"family":"Hao","given":"Su"},{"family":"Xiaoqin","given":"Wang"},{"family":"Yao","given":"Yao"},{"family":"Xiaoqiang","given":"Zheng"}],"issued":{"date-parts":[["2021",3]]}}},{"id":122,"uris":["http://zotero.org/users/local/ww4sk5CR/items/936P4QAQ"],"itemData":{"id":122,"type":"article-journal","abstract":"The Hold-up problem is very common in transactions with specific investment in incomplete contractual relationships, which is affected by human trusting, cooperative, altruistic behavior. Recent neuroscience studies have shown that TPJ plays an important role in social cognition and prosocial decision-making. However, most of the studies have focused on RTPJ in the right hemisphere, while few studies have focused on LTPJ in the left hemisphere. The purpose of this study is to modulate the excitability of LTPJ through transcranial direct current stimulation (tDCS) and to explore the effects of LTPJ on the investment and offer behavior of participants in the repeated hold-up game. Our results showed that cathodal stimulation significantly improved the investment rate of participants in the repeated hold-up game compared with sham stimulation. One possible explanation is that the change of LTPJ activity caused by cathodal stimulation may reduce the participants' inference ability of the others' intention, thus reducing the participants' betrayal aversion behavior, so that the participants will not reduce their investment behavior in the repeated game. (PsycInfo Database Record (c) 2022 APA, all rights reserved)","archive":"psyh","archive_location":"2022-64145-001","container-title":"Neuroscience Research","DOI":"10.1016/j.neures.2022.05.002","ISSN":"0168-0102","journalAbbreviation":"Neuroscience Research","note":"publisher: Elsevier Science","page":"79-86","source":"EBSCOhost","title":"Transcranial direct current stimulation of the LTPJ shifts the agent’s behaviors in repeated hold-up game","volume":"181","author":[{"family":"Hao","given":"Su"},{"family":"Xiaoqin","given":"Wang"},{"family":"Xiaomin","given":"Zhang"},{"family":"Jiali","given":"Pan"},{"family":"Xiaoqiang","given":"Zheng"},{"family":"Xiaoshuang","given":"Shao"}],"issued":{"date-parts":[["2022",8]]}}}],"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00104379" w:rsidRPr="000309F2">
              <w:rPr>
                <w:rFonts w:ascii="Times New Roman" w:hAnsi="Times New Roman" w:cs="Times New Roman"/>
                <w:color w:val="000000" w:themeColor="text1"/>
                <w:sz w:val="20"/>
                <w:vertAlign w:val="superscript"/>
                <w:lang w:val="en-US"/>
              </w:rPr>
              <w:t>261,262</w:t>
            </w:r>
            <w:r w:rsidRPr="000309F2">
              <w:rPr>
                <w:rFonts w:ascii="Times New Roman" w:eastAsia="Calibri" w:hAnsi="Times New Roman" w:cs="Times New Roman"/>
                <w:color w:val="000000" w:themeColor="text1"/>
                <w:sz w:val="20"/>
                <w:szCs w:val="20"/>
                <w:lang w:val="en-US"/>
              </w:rPr>
              <w:fldChar w:fldCharType="end"/>
            </w:r>
            <w:r w:rsidRPr="000309F2">
              <w:rPr>
                <w:rFonts w:ascii="Times New Roman" w:eastAsia="Calibri" w:hAnsi="Times New Roman" w:cs="Times New Roman"/>
                <w:color w:val="000000" w:themeColor="text1"/>
                <w:sz w:val="20"/>
                <w:szCs w:val="20"/>
                <w:lang w:val="en-US"/>
              </w:rPr>
              <w:t xml:space="preserve"> </w:t>
            </w:r>
          </w:p>
        </w:tc>
        <w:tc>
          <w:tcPr>
            <w:tcW w:w="0" w:type="auto"/>
            <w:vAlign w:val="center"/>
          </w:tcPr>
          <w:p w14:paraId="740400E1" w14:textId="77777777"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Participants receive money from an investor and decide how much they will give back in return. The level of reciprocity is indicated by the benefit returned relative to the initial investment.</w:t>
            </w:r>
          </w:p>
        </w:tc>
      </w:tr>
      <w:tr w:rsidR="00B25BDD" w:rsidRPr="000309F2" w14:paraId="21B5E305" w14:textId="77777777" w:rsidTr="00AB5C8F">
        <w:trPr>
          <w:trHeight w:val="20"/>
          <w:jc w:val="center"/>
        </w:trPr>
        <w:tc>
          <w:tcPr>
            <w:tcW w:w="0" w:type="auto"/>
            <w:tcBorders>
              <w:bottom w:val="single" w:sz="8" w:space="0" w:color="auto"/>
            </w:tcBorders>
            <w:vAlign w:val="center"/>
          </w:tcPr>
          <w:p w14:paraId="7221B0C8" w14:textId="1B41EA54" w:rsidR="00156BB0" w:rsidRPr="000309F2" w:rsidRDefault="00156BB0" w:rsidP="008920A6">
            <w:pPr>
              <w:spacing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Redistribution Game </w:t>
            </w:r>
            <w:r w:rsidRPr="000309F2">
              <w:rPr>
                <w:rFonts w:ascii="Times New Roman" w:eastAsia="Calibri" w:hAnsi="Times New Roman" w:cs="Times New Roman"/>
                <w:color w:val="000000" w:themeColor="text1"/>
                <w:sz w:val="20"/>
                <w:szCs w:val="20"/>
                <w:lang w:val="en-US"/>
              </w:rPr>
              <w:fldChar w:fldCharType="begin"/>
            </w:r>
            <w:r w:rsidR="00104379" w:rsidRPr="000309F2">
              <w:rPr>
                <w:rFonts w:ascii="Times New Roman" w:eastAsia="Calibri" w:hAnsi="Times New Roman" w:cs="Times New Roman"/>
                <w:color w:val="000000" w:themeColor="text1"/>
                <w:sz w:val="20"/>
                <w:szCs w:val="20"/>
                <w:lang w:val="en-US"/>
              </w:rPr>
              <w:instrText xml:space="preserve"> ADDIN ZOTERO_ITEM CSL_CITATION {"citationID":"WrCkdHtS","properties":{"formattedCitation":"\\super 210\\nosupersub{}","plainCitation":"210","noteIndex":0},"citationItems":[{"id":721,"uris":["http://zotero.org/users/local/ww4sk5CR/items/L2HUVRK5"],"itemData":{"id":721,"type":"article-journal","abstract":"Background\nCompassion motivation is associated with increased heart rate variability (HRV), reflecting a calm and self-soothing physiological state. Recent work, however, suggests that this association is dynamic for the specific components of compassion.\nObjectives\nThe present study adopted anodal transcranial direct current stimulation (tDCS) targeting the right insula to see whether this would modulate the sensitivity to suffering and the commitment to engage in helpful actions (i.e., the components of compassion motivation).\nMethod\nNinety-seven healthy individuals underwent 15-min anodal or sham tDCS over the frontotemporal lobe, while watching a video inducing empathic sensitivity and performing a Redistribution Game. Tonic and phasic HRV, dispositional traits, and momentary affects were assessed.\nResults\nCompared to sham condition, anodal stimulation favored significant i) HRV reductions during the video and HRV increases during the Redistribution Game; ii) decreases in self-reported levels of negative affect and increases in positive affect during task when the latter was preceded by the video, without influencing altruistic behavior.\nConclusions\nAnodal tDCS over the right insula may modulate the engagement phase of compassion by intensifying the psychophysiological sensitivity to signals of distress and protecting from being subjectively overwhelmed by it.","container-title":"International Journal of Clinical and Health Psychology","DOI":"10.1016/j.ijchp.2022.100362","ISSN":"1697-2600","issue":"3","journalAbbreviation":"International Journal of Clinical and Health Psychology","page":"100362","title":"Modulatory effects of transcranial direct current stimulation of right insula on compassion motivation","volume":"23","author":[{"family":"Di Bello","given":"Maria"},{"family":"Giudetti","given":"Federica"},{"family":"Palani","given":"Sowmya"},{"family":"Petrocchi","given":"Nicola"},{"family":"McIntosh","given":"Roger"},{"family":"Ottaviani","given":"Cristina"}],"issued":{"date-parts":[["2023",7,1]]}}}],"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00104379" w:rsidRPr="000309F2">
              <w:rPr>
                <w:rFonts w:ascii="Times New Roman" w:hAnsi="Times New Roman" w:cs="Times New Roman"/>
                <w:color w:val="000000" w:themeColor="text1"/>
                <w:sz w:val="20"/>
                <w:vertAlign w:val="superscript"/>
                <w:lang w:val="en-US"/>
              </w:rPr>
              <w:t>210</w:t>
            </w:r>
            <w:r w:rsidRPr="000309F2">
              <w:rPr>
                <w:rFonts w:ascii="Times New Roman" w:eastAsia="Calibri" w:hAnsi="Times New Roman" w:cs="Times New Roman"/>
                <w:color w:val="000000" w:themeColor="text1"/>
                <w:sz w:val="20"/>
                <w:szCs w:val="20"/>
                <w:lang w:val="en-US"/>
              </w:rPr>
              <w:fldChar w:fldCharType="end"/>
            </w:r>
            <w:r w:rsidRPr="000309F2">
              <w:rPr>
                <w:rFonts w:ascii="Times New Roman" w:eastAsia="Calibri" w:hAnsi="Times New Roman" w:cs="Times New Roman"/>
                <w:color w:val="000000" w:themeColor="text1"/>
                <w:sz w:val="20"/>
                <w:szCs w:val="20"/>
                <w:lang w:val="en-US"/>
              </w:rPr>
              <w:t xml:space="preserve"> </w:t>
            </w:r>
          </w:p>
        </w:tc>
        <w:tc>
          <w:tcPr>
            <w:tcW w:w="0" w:type="auto"/>
            <w:tcBorders>
              <w:bottom w:val="single" w:sz="8" w:space="0" w:color="auto"/>
            </w:tcBorders>
            <w:vAlign w:val="center"/>
          </w:tcPr>
          <w:p w14:paraId="1187CC50" w14:textId="77777777"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Participants are given the opportunity to rectify an unfair distribution made by another party. </w:t>
            </w:r>
          </w:p>
        </w:tc>
      </w:tr>
      <w:tr w:rsidR="00B25BDD" w:rsidRPr="000309F2" w14:paraId="0D0E1E6E" w14:textId="77777777" w:rsidTr="00AB5C8F">
        <w:trPr>
          <w:trHeight w:val="20"/>
          <w:jc w:val="center"/>
        </w:trPr>
        <w:tc>
          <w:tcPr>
            <w:tcW w:w="0" w:type="auto"/>
            <w:gridSpan w:val="2"/>
            <w:tcBorders>
              <w:bottom w:val="single" w:sz="8" w:space="0" w:color="auto"/>
            </w:tcBorders>
            <w:vAlign w:val="center"/>
          </w:tcPr>
          <w:p w14:paraId="59D2F501" w14:textId="77777777" w:rsidR="00156BB0" w:rsidRPr="000309F2" w:rsidRDefault="00156BB0" w:rsidP="008920A6">
            <w:pPr>
              <w:spacing w:before="40" w:after="40" w:line="240" w:lineRule="auto"/>
              <w:jc w:val="center"/>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4"/>
                <w:szCs w:val="24"/>
                <w:lang w:val="en-US"/>
              </w:rPr>
              <w:t>Guilt</w:t>
            </w:r>
          </w:p>
        </w:tc>
      </w:tr>
      <w:tr w:rsidR="00B25BDD" w:rsidRPr="000309F2" w14:paraId="7C8210C4" w14:textId="77777777" w:rsidTr="00AB5C8F">
        <w:trPr>
          <w:trHeight w:val="20"/>
          <w:jc w:val="center"/>
        </w:trPr>
        <w:tc>
          <w:tcPr>
            <w:tcW w:w="0" w:type="auto"/>
            <w:tcBorders>
              <w:top w:val="single" w:sz="8" w:space="0" w:color="auto"/>
              <w:bottom w:val="single" w:sz="6" w:space="0" w:color="auto"/>
            </w:tcBorders>
            <w:vAlign w:val="center"/>
          </w:tcPr>
          <w:p w14:paraId="71B2071F" w14:textId="77777777" w:rsidR="00156BB0" w:rsidRPr="000309F2" w:rsidRDefault="00156BB0" w:rsidP="008920A6">
            <w:pPr>
              <w:spacing w:line="240" w:lineRule="auto"/>
              <w:rPr>
                <w:rFonts w:ascii="Times New Roman" w:eastAsia="Calibri" w:hAnsi="Times New Roman" w:cs="Times New Roman"/>
                <w:i/>
                <w:iCs/>
                <w:color w:val="000000" w:themeColor="text1"/>
                <w:sz w:val="20"/>
                <w:szCs w:val="20"/>
                <w:lang w:val="en-US"/>
              </w:rPr>
            </w:pPr>
            <w:r w:rsidRPr="000309F2">
              <w:rPr>
                <w:rFonts w:ascii="Times New Roman" w:eastAsia="Calibri" w:hAnsi="Times New Roman" w:cs="Times New Roman"/>
                <w:i/>
                <w:iCs/>
                <w:color w:val="000000" w:themeColor="text1"/>
                <w:sz w:val="20"/>
                <w:szCs w:val="20"/>
                <w:lang w:val="en-US"/>
              </w:rPr>
              <w:t>Measures</w:t>
            </w:r>
          </w:p>
        </w:tc>
        <w:tc>
          <w:tcPr>
            <w:tcW w:w="0" w:type="auto"/>
            <w:tcBorders>
              <w:top w:val="single" w:sz="8" w:space="0" w:color="auto"/>
              <w:bottom w:val="single" w:sz="6" w:space="0" w:color="auto"/>
            </w:tcBorders>
            <w:vAlign w:val="center"/>
          </w:tcPr>
          <w:p w14:paraId="55C8340F" w14:textId="77777777" w:rsidR="00156BB0" w:rsidRPr="000309F2" w:rsidRDefault="00156BB0" w:rsidP="008920A6">
            <w:pPr>
              <w:spacing w:before="40" w:after="40" w:line="240" w:lineRule="auto"/>
              <w:jc w:val="center"/>
              <w:rPr>
                <w:rFonts w:ascii="Times New Roman" w:eastAsia="Calibri" w:hAnsi="Times New Roman" w:cs="Times New Roman"/>
                <w:i/>
                <w:iCs/>
                <w:color w:val="000000" w:themeColor="text1"/>
                <w:sz w:val="20"/>
                <w:szCs w:val="20"/>
                <w:lang w:val="en-US"/>
              </w:rPr>
            </w:pPr>
            <w:r w:rsidRPr="000309F2">
              <w:rPr>
                <w:rFonts w:ascii="Times New Roman" w:eastAsia="Calibri" w:hAnsi="Times New Roman" w:cs="Times New Roman"/>
                <w:i/>
                <w:iCs/>
                <w:color w:val="000000" w:themeColor="text1"/>
                <w:sz w:val="20"/>
                <w:szCs w:val="20"/>
                <w:lang w:val="en-US"/>
              </w:rPr>
              <w:t>Description</w:t>
            </w:r>
          </w:p>
        </w:tc>
      </w:tr>
      <w:tr w:rsidR="00B25BDD" w:rsidRPr="000309F2" w14:paraId="681E3281" w14:textId="77777777" w:rsidTr="00AB5C8F">
        <w:trPr>
          <w:trHeight w:val="20"/>
          <w:jc w:val="center"/>
        </w:trPr>
        <w:tc>
          <w:tcPr>
            <w:tcW w:w="0" w:type="auto"/>
            <w:tcBorders>
              <w:top w:val="single" w:sz="6" w:space="0" w:color="auto"/>
            </w:tcBorders>
            <w:vAlign w:val="center"/>
          </w:tcPr>
          <w:p w14:paraId="24CA2FEF" w14:textId="734504BF" w:rsidR="00156BB0" w:rsidRPr="000309F2" w:rsidRDefault="00156BB0" w:rsidP="008920A6">
            <w:pPr>
              <w:spacing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Guilt Knowledge Test </w:t>
            </w:r>
            <w:r w:rsidRPr="000309F2">
              <w:rPr>
                <w:rFonts w:ascii="Times New Roman" w:eastAsia="Calibri" w:hAnsi="Times New Roman" w:cs="Times New Roman"/>
                <w:color w:val="000000" w:themeColor="text1"/>
                <w:sz w:val="20"/>
                <w:szCs w:val="20"/>
                <w:vertAlign w:val="subscript"/>
                <w:lang w:val="en-US"/>
              </w:rPr>
              <w:fldChar w:fldCharType="begin"/>
            </w:r>
            <w:r w:rsidR="00104379" w:rsidRPr="000309F2">
              <w:rPr>
                <w:rFonts w:ascii="Times New Roman" w:eastAsia="Calibri" w:hAnsi="Times New Roman" w:cs="Times New Roman"/>
                <w:color w:val="000000" w:themeColor="text1"/>
                <w:sz w:val="20"/>
                <w:szCs w:val="20"/>
                <w:vertAlign w:val="subscript"/>
                <w:lang w:val="en-US"/>
              </w:rPr>
              <w:instrText xml:space="preserve"> ADDIN ZOTERO_ITEM CSL_CITATION {"citationID":"YSqlcdqt","properties":{"formattedCitation":"\\super 263\\nosupersub{}","plainCitation":"263","noteIndex":0},"citationItems":[{"id":"NVF20iNr/SueIiAf0","uris":["http://zotero.org/users/local/ww4sk5CR/items/LNNS38WZ"],"itemData":{"id":108,"type":"article-journal","abstract":"Recent neuroimaging studies have indicated a predominant role of the anterior prefrontal cortex (aPFC) in deception and moral cognition, yet the functional contribution of the aPFC to deceptive behavior remains unknown. We hypothesized that modulating the excitability of the aPFC by transcranial direct current stimulation (tDCS) could reveal its functional contribution in generating deceitful responses. Forty-four healthy volunteers participated in a thief role-play in which they were supposed to steal money and then to attend an interrogation with the Guilty Knowledge Test. During the interrogation, participants received cathodal, anodal, or sham tDCS. Remarkably, inhibition of the aPFC by cathodal tDCS did not lead to an impairment of deceptive behavior but rather to a significant improvement. This effect manifested in faster reaction times in telling lies, but not in telling the truth, a decrease in sympathetic skin-conductance response and feelings of guilt while deceiving the interrogator and a significantly higher lying quotient reflecting skillful lying. Increasing the excitability of the aPFC by anodal tDCS did not affect deceptive behavior, confirming the specificity of the stimulation polarity. These findings give causal support to recent correlative data obtained by functional magnetic resonance imaging studies indicating a pivotal role of the aPFC in deception. (PsycINFO Database Record (c) 2019 APA, all rights reserved)","archive":"psyh","archive_location":"2009-25194-017","container-title":"Cerebral Cortex","DOI":"10.1093/cercor/bhp090","ISSN":"1047-3211","issue":"1","journalAbbreviation":"Cerebral Cortex","note":"publisher: Oxford University Press","page":"205-213","source":"EBSCOhost","title":"The truth about lying: Inhibition of the anterior prefrontal cortex improves deceptive behavior","volume":"20","author":[{"family":"Karim","given":"Ahmed A."},{"family":"Schneider","given":"Markus"},{"family":"Lotze","given":"Martin"},{"family":"Veit","given":"Ralf"},{"family":"Sauseng","given":"Paul"},{"family":"Braun","given":"Christoph"},{"family":"Birbaumer","given":"Niels"}],"issued":{"date-parts":[["2010",1]]}}}],"schema":"https://github.com/citation-style-language/schema/raw/master/csl-citation.json"} </w:instrText>
            </w:r>
            <w:r w:rsidRPr="000309F2">
              <w:rPr>
                <w:rFonts w:ascii="Times New Roman" w:eastAsia="Calibri" w:hAnsi="Times New Roman" w:cs="Times New Roman"/>
                <w:color w:val="000000" w:themeColor="text1"/>
                <w:sz w:val="20"/>
                <w:szCs w:val="20"/>
                <w:vertAlign w:val="subscript"/>
                <w:lang w:val="en-US"/>
              </w:rPr>
              <w:fldChar w:fldCharType="separate"/>
            </w:r>
            <w:r w:rsidR="00104379" w:rsidRPr="000309F2">
              <w:rPr>
                <w:rFonts w:ascii="Times New Roman" w:hAnsi="Times New Roman" w:cs="Times New Roman"/>
                <w:color w:val="000000" w:themeColor="text1"/>
                <w:sz w:val="20"/>
                <w:vertAlign w:val="superscript"/>
                <w:lang w:val="en-US"/>
              </w:rPr>
              <w:t>263</w:t>
            </w:r>
            <w:r w:rsidRPr="000309F2">
              <w:rPr>
                <w:rFonts w:ascii="Times New Roman" w:eastAsia="Calibri" w:hAnsi="Times New Roman" w:cs="Times New Roman"/>
                <w:color w:val="000000" w:themeColor="text1"/>
                <w:sz w:val="20"/>
                <w:szCs w:val="20"/>
                <w:lang w:val="en-US"/>
              </w:rPr>
              <w:fldChar w:fldCharType="end"/>
            </w:r>
            <w:r w:rsidRPr="000309F2">
              <w:rPr>
                <w:rFonts w:ascii="Times New Roman" w:eastAsia="Calibri" w:hAnsi="Times New Roman" w:cs="Times New Roman"/>
                <w:color w:val="000000" w:themeColor="text1"/>
                <w:sz w:val="20"/>
                <w:szCs w:val="20"/>
                <w:lang w:val="en-US"/>
              </w:rPr>
              <w:t xml:space="preserve"> </w:t>
            </w:r>
          </w:p>
        </w:tc>
        <w:tc>
          <w:tcPr>
            <w:tcW w:w="0" w:type="auto"/>
            <w:tcBorders>
              <w:top w:val="single" w:sz="6" w:space="0" w:color="auto"/>
            </w:tcBorders>
            <w:vAlign w:val="center"/>
          </w:tcPr>
          <w:p w14:paraId="7B9D99B2" w14:textId="77777777"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Participants rate their feelings of guilt on a scale from 0 (no guilt) to 5 (maximum guilt) after deception while being asked about a crime.</w:t>
            </w:r>
          </w:p>
        </w:tc>
      </w:tr>
      <w:tr w:rsidR="00B25BDD" w:rsidRPr="000309F2" w14:paraId="6CA48F26" w14:textId="77777777" w:rsidTr="00AB5C8F">
        <w:trPr>
          <w:trHeight w:val="20"/>
          <w:jc w:val="center"/>
        </w:trPr>
        <w:tc>
          <w:tcPr>
            <w:tcW w:w="0" w:type="auto"/>
            <w:vAlign w:val="center"/>
          </w:tcPr>
          <w:p w14:paraId="69846DFB" w14:textId="2FBC0AD1" w:rsidR="00156BB0" w:rsidRPr="000309F2" w:rsidRDefault="00156BB0" w:rsidP="008920A6">
            <w:pPr>
              <w:spacing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Calgary Depression Scale for Schizophrenia – Factor II </w:t>
            </w:r>
            <w:r w:rsidRPr="000309F2">
              <w:rPr>
                <w:rFonts w:ascii="Times New Roman" w:eastAsia="Calibri" w:hAnsi="Times New Roman" w:cs="Times New Roman"/>
                <w:color w:val="000000" w:themeColor="text1"/>
                <w:sz w:val="20"/>
                <w:szCs w:val="20"/>
                <w:lang w:val="en-US"/>
              </w:rPr>
              <w:fldChar w:fldCharType="begin"/>
            </w:r>
            <w:r w:rsidR="00104379" w:rsidRPr="000309F2">
              <w:rPr>
                <w:rFonts w:ascii="Times New Roman" w:eastAsia="Calibri" w:hAnsi="Times New Roman" w:cs="Times New Roman"/>
                <w:color w:val="000000" w:themeColor="text1"/>
                <w:sz w:val="20"/>
                <w:szCs w:val="20"/>
                <w:lang w:val="en-US"/>
              </w:rPr>
              <w:instrText xml:space="preserve"> ADDIN ZOTERO_ITEM CSL_CITATION {"citationID":"PHFSEh3L","properties":{"formattedCitation":"\\super 264\\nosupersub{}","plainCitation":"264","noteIndex":0},"citationItems":[{"id":623,"uris":["http://zotero.org/users/local/ww4sk5CR/items/XLS8NS56"],"itemData":{"id":623,"type":"article-journal","abstract":"Background\nTreating depressive symptoms in patients with schizophrenia is challenging. While transcranical Dicrect Current Stimulation (tDCS) improved other core symptoms of schizophrenia, conflicting results have been obtained on depressive symptoms. Thus, we aimed to expand current evidence on tDCS efficacy to improve depressive symptoms in patients with schizophrenia.\nMethods\nA double-blind RCT was performed with patients randomized to 2 mA active-tDCS or sham-tDCS (15 daily sessions) with a bilateral bipolar-nonbalanced prefrontal placement (anode: left Dorsolateral prefrontal cortex; cathode: right orbitofrontal region). Clinical outcomes included variations of Calgary Depression Scale for Schizophrenia total score (CDSS) and of Depression-hopelessness and Guilty idea of reference-pathological guilt factors. Analysis of covariance was performed evaluating between-group changes over time. The presence/absence of probable clinically significant depression was determined when CDSS &gt; 6.\nResults\nAs 50 outpatients were included (both groups, n = 25), significant improvements following active-tDCS were observed for CDSS total score (p = 0.001), Depression-hopelessness (p = 0.001) and Guilty idea of reference-pathological guilt (p = 0.03). Considering patients with CDSS&gt;6 (n = 23), compared to sham, active-tDCS significantly improved CDSS total score (p &lt; 0.001), Depression-hopelessness (p = 0.001) but Guilty idea of reference-pathological guilt only marginally improved (p = 0.051). Considering response rates of clinically significant depression, important reductions of CDSS score were observed (78 % of the sample scored ≤6; active-tDCS, n = 23; sham-tDCS, n = 16; p = 0.017). Early wakening item did not significantly change in any group.\nLimitations\nThe study lacks a follow-up period and evaluation of tDCS effects on psychosocial functioning.\nConclusions\nBilateral bipolar-nonbalanced prefrontal tDCS is a successful protocol for the treatment of depressive symptoms in patients with schizophrenia.","container-title":"Journal of Affective Disorders","DOI":"10.1016/j.jad.2024.01.050","ISSN":"0165-0327","journalAbbreviation":"Journal of Affective Disorders","page":"165-175","title":"Improving depressive symptoms in patients with schizophrenia using bilateral bipolar-nonbalanced prefrontal tDCS: Results from a double-blind sham-controlled trial","volume":"349","author":[{"family":"Lisoni","given":"Jacopo"},{"family":"Nibbio","given":"Gabriele"},{"family":"Baldacci","given":"Giulia"},{"family":"Zucchetti","given":"Andrea"},{"family":"Cicale","given":"Andrea"},{"family":"Zardini","given":"Daniela"},{"family":"Miotto","given":"Paola"},{"family":"Deste","given":"Giacomo"},{"family":"Barlati","given":"Stefano"},{"family":"Vita","given":"Antonio"}],"issued":{"date-parts":[["2024",3,15]]}}}],"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00104379" w:rsidRPr="000309F2">
              <w:rPr>
                <w:rFonts w:ascii="Times New Roman" w:hAnsi="Times New Roman" w:cs="Times New Roman"/>
                <w:color w:val="000000" w:themeColor="text1"/>
                <w:sz w:val="20"/>
                <w:vertAlign w:val="superscript"/>
                <w:lang w:val="en-US"/>
              </w:rPr>
              <w:t>264</w:t>
            </w:r>
            <w:r w:rsidRPr="000309F2">
              <w:rPr>
                <w:rFonts w:ascii="Times New Roman" w:eastAsia="Calibri" w:hAnsi="Times New Roman" w:cs="Times New Roman"/>
                <w:color w:val="000000" w:themeColor="text1"/>
                <w:sz w:val="20"/>
                <w:szCs w:val="20"/>
                <w:lang w:val="en-US"/>
              </w:rPr>
              <w:fldChar w:fldCharType="end"/>
            </w:r>
            <w:r w:rsidRPr="000309F2">
              <w:rPr>
                <w:rFonts w:ascii="Times New Roman" w:eastAsia="Calibri" w:hAnsi="Times New Roman" w:cs="Times New Roman"/>
                <w:color w:val="000000" w:themeColor="text1"/>
                <w:sz w:val="20"/>
                <w:szCs w:val="20"/>
                <w:lang w:val="en-US"/>
              </w:rPr>
              <w:t xml:space="preserve"> </w:t>
            </w:r>
          </w:p>
        </w:tc>
        <w:tc>
          <w:tcPr>
            <w:tcW w:w="0" w:type="auto"/>
            <w:vAlign w:val="center"/>
          </w:tcPr>
          <w:p w14:paraId="187C1E56" w14:textId="77777777"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Clinician rated outcome measure that assesses the level of depression in people with schizophrenia. Factor II in this questionnaire evaluates pathological guilt. </w:t>
            </w:r>
          </w:p>
        </w:tc>
      </w:tr>
      <w:tr w:rsidR="00B25BDD" w:rsidRPr="000309F2" w14:paraId="0DD07D14" w14:textId="77777777" w:rsidTr="00AB5C8F">
        <w:trPr>
          <w:trHeight w:val="20"/>
          <w:jc w:val="center"/>
        </w:trPr>
        <w:tc>
          <w:tcPr>
            <w:tcW w:w="0" w:type="auto"/>
            <w:vAlign w:val="center"/>
          </w:tcPr>
          <w:p w14:paraId="001490B5" w14:textId="709C7818" w:rsidR="00156BB0" w:rsidRPr="000309F2" w:rsidRDefault="00156BB0" w:rsidP="008920A6">
            <w:pPr>
              <w:spacing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Affect rating </w:t>
            </w:r>
            <w:r w:rsidRPr="000309F2">
              <w:rPr>
                <w:rFonts w:ascii="Times New Roman" w:eastAsia="Calibri" w:hAnsi="Times New Roman" w:cs="Times New Roman"/>
                <w:color w:val="000000" w:themeColor="text1"/>
                <w:sz w:val="20"/>
                <w:szCs w:val="20"/>
                <w:lang w:val="en-US"/>
              </w:rPr>
              <w:fldChar w:fldCharType="begin"/>
            </w:r>
            <w:r w:rsidR="00104379" w:rsidRPr="000309F2">
              <w:rPr>
                <w:rFonts w:ascii="Times New Roman" w:eastAsia="Calibri" w:hAnsi="Times New Roman" w:cs="Times New Roman"/>
                <w:color w:val="000000" w:themeColor="text1"/>
                <w:sz w:val="20"/>
                <w:szCs w:val="20"/>
                <w:lang w:val="en-US"/>
              </w:rPr>
              <w:instrText xml:space="preserve"> ADDIN ZOTERO_ITEM CSL_CITATION {"citationID":"2BM3Fogk","properties":{"formattedCitation":"\\super 228\\nosupersub{}","plainCitation":"228","noteIndex":0},"citationItems":[{"id":144,"uris":["http://zotero.org/users/local/ww4sk5CR/items/GTT79CQQ"],"itemData":{"id":144,"type":"article-journal","abstract":"Previous studies empirically support the existence of a distinctive association between deontological (but not altruistic) guilt and both disgust and obsessive-compulsive (OC) symptoms. Given that the neural substrate underlying deontological guilt comprises brain regions strictly implicated in the emotion of disgust (i.e. the insula), the present study aimed to test the hypothesis that indirect stimulation of the insula via transcranial direct current stimulation (tDCS) would enhance disgust and morality in the deontological domain. A randomized, sham-controlled, within-subject design was used. Thirty-seven healthy individuals (25 women) underwent 15-min anodal and sham tDCS over T3 in two different days, while their heart rate (HR) was recorded to derive measures of parasympathetic nervous system activity (HR variability; HRV). After the first 10-min of sham or active tDCS stimulation, participants were asked to 1) complete a series of 6-item words that could be completed with either a disgust-related word (cleaning/dirtiness) or neutral alternatives; 2) rate how much a series of vignettes, each depicting a behavior that violated a specific moral foundation, were morally wrong. Levels of trait anxiety, depression, disgust sensitivity, scrupulosity, and altruism as well as pre- and post- stimulation momentary emotional states were assessed. Compared to the sham condition, after active stimulation of T3 a) HRV significantly increased and participants b) completed more words in terms of cleaning/dirtiness and c) reported greater subjective levels of disgust, all suggesting the elicitation of the emotion of disgust. Although the results are only marginally significant, they point to the absence of difference between the two experimental conditions for moral vignettes in the altruistic domain (i.e., animal care, emotional and physical human care), but not in the deontological domain (i.e., authority, fairness, liberty, and sacrality), where vignettes were judged as more morally wrong in the active compared to the sham condition. Moreover, scores on the OCI-R correlated with how much vignettes were evaluated as morally wrong in the deontological domain only. Results preliminarily support the association between disgust and morality in the deontological domain, with important implications for OC disorder (OCD). Future studies should explore the possibility of decreasing both disgust and morality in patients with OCD by the use of non-invasive brain stimulation techniques. (PsycInfo Database Record (c) 2022 APA, all rights reserved)","archive":"psyh","archive_location":"2018-52617-049","container-title":"Neuropsychologia","DOI":"10.1016/j.neuropsychologia.2018.09.009","ISSN":"0028-3932","journalAbbreviation":"Neuropsychologia","note":"publisher: Elsevier Science","page":"474-481","source":"EBSCOhost","title":"Deontological morality can be experimentally enhanced by increasing disgust: A transcranial direct current stimulation study","volume":"119","author":[{"family":"Ottaviani","given":"Cristina"},{"family":"Mancini","given":"Francesco"},{"family":"Provenzano","given":"Samantha"},{"family":"Collazzoni","given":"Alberto"},{"family":"D'Olimpio","given":"Francesca"}],"issued":{"date-parts":[["2018",10]]}}}],"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00104379" w:rsidRPr="000309F2">
              <w:rPr>
                <w:rFonts w:ascii="Times New Roman" w:hAnsi="Times New Roman" w:cs="Times New Roman"/>
                <w:color w:val="000000" w:themeColor="text1"/>
                <w:sz w:val="20"/>
                <w:vertAlign w:val="superscript"/>
                <w:lang w:val="en-US"/>
              </w:rPr>
              <w:t>228</w:t>
            </w:r>
            <w:r w:rsidRPr="000309F2">
              <w:rPr>
                <w:rFonts w:ascii="Times New Roman" w:eastAsia="Calibri" w:hAnsi="Times New Roman" w:cs="Times New Roman"/>
                <w:color w:val="000000" w:themeColor="text1"/>
                <w:sz w:val="20"/>
                <w:szCs w:val="20"/>
                <w:lang w:val="en-US"/>
              </w:rPr>
              <w:fldChar w:fldCharType="end"/>
            </w:r>
            <w:r w:rsidRPr="000309F2">
              <w:rPr>
                <w:rFonts w:ascii="Times New Roman" w:eastAsia="Calibri" w:hAnsi="Times New Roman" w:cs="Times New Roman"/>
                <w:color w:val="000000" w:themeColor="text1"/>
                <w:sz w:val="20"/>
                <w:szCs w:val="20"/>
                <w:lang w:val="en-US"/>
              </w:rPr>
              <w:t xml:space="preserve"> </w:t>
            </w:r>
          </w:p>
        </w:tc>
        <w:tc>
          <w:tcPr>
            <w:tcW w:w="0" w:type="auto"/>
            <w:vAlign w:val="center"/>
          </w:tcPr>
          <w:p w14:paraId="30001272" w14:textId="77777777"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Participants rated their levels of altruistic and deontological guilt before and after stimulation.</w:t>
            </w:r>
          </w:p>
        </w:tc>
      </w:tr>
      <w:tr w:rsidR="00B25BDD" w:rsidRPr="000309F2" w14:paraId="4E99FECC" w14:textId="77777777" w:rsidTr="00AB5C8F">
        <w:trPr>
          <w:trHeight w:val="20"/>
          <w:jc w:val="center"/>
        </w:trPr>
        <w:tc>
          <w:tcPr>
            <w:tcW w:w="0" w:type="auto"/>
            <w:gridSpan w:val="2"/>
            <w:tcBorders>
              <w:top w:val="single" w:sz="8" w:space="0" w:color="auto"/>
              <w:bottom w:val="single" w:sz="8" w:space="0" w:color="auto"/>
            </w:tcBorders>
            <w:vAlign w:val="center"/>
          </w:tcPr>
          <w:p w14:paraId="125B2B54" w14:textId="7DC126AB" w:rsidR="00156BB0" w:rsidRPr="000309F2" w:rsidRDefault="00126314" w:rsidP="008920A6">
            <w:pPr>
              <w:spacing w:before="40" w:after="40" w:line="240" w:lineRule="auto"/>
              <w:jc w:val="center"/>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4"/>
                <w:szCs w:val="24"/>
                <w:lang w:val="en-US"/>
              </w:rPr>
              <w:t>Psychopathy</w:t>
            </w:r>
            <w:r w:rsidR="00156BB0" w:rsidRPr="000309F2">
              <w:rPr>
                <w:rFonts w:ascii="Times New Roman" w:eastAsia="Calibri" w:hAnsi="Times New Roman" w:cs="Times New Roman"/>
                <w:color w:val="000000" w:themeColor="text1"/>
                <w:sz w:val="24"/>
                <w:szCs w:val="24"/>
                <w:lang w:val="en-US"/>
              </w:rPr>
              <w:t xml:space="preserve"> Traits</w:t>
            </w:r>
          </w:p>
        </w:tc>
      </w:tr>
      <w:tr w:rsidR="00B25BDD" w:rsidRPr="000309F2" w14:paraId="4E4E6391" w14:textId="77777777" w:rsidTr="00AB5C8F">
        <w:trPr>
          <w:trHeight w:val="20"/>
          <w:jc w:val="center"/>
        </w:trPr>
        <w:tc>
          <w:tcPr>
            <w:tcW w:w="0" w:type="auto"/>
            <w:tcBorders>
              <w:top w:val="single" w:sz="8" w:space="0" w:color="auto"/>
              <w:bottom w:val="single" w:sz="6" w:space="0" w:color="auto"/>
            </w:tcBorders>
            <w:vAlign w:val="center"/>
          </w:tcPr>
          <w:p w14:paraId="04D0A451" w14:textId="77777777" w:rsidR="00156BB0" w:rsidRPr="000309F2" w:rsidRDefault="00156BB0" w:rsidP="008920A6">
            <w:pPr>
              <w:spacing w:line="240" w:lineRule="auto"/>
              <w:rPr>
                <w:rFonts w:ascii="Times New Roman" w:eastAsia="Calibri" w:hAnsi="Times New Roman" w:cs="Times New Roman"/>
                <w:i/>
                <w:iCs/>
                <w:color w:val="000000" w:themeColor="text1"/>
                <w:sz w:val="20"/>
                <w:szCs w:val="20"/>
                <w:lang w:val="en-US"/>
              </w:rPr>
            </w:pPr>
            <w:r w:rsidRPr="000309F2">
              <w:rPr>
                <w:rFonts w:ascii="Times New Roman" w:eastAsia="Calibri" w:hAnsi="Times New Roman" w:cs="Times New Roman"/>
                <w:i/>
                <w:iCs/>
                <w:color w:val="000000" w:themeColor="text1"/>
                <w:sz w:val="20"/>
                <w:szCs w:val="20"/>
                <w:lang w:val="en-US"/>
              </w:rPr>
              <w:t>Measures</w:t>
            </w:r>
          </w:p>
        </w:tc>
        <w:tc>
          <w:tcPr>
            <w:tcW w:w="0" w:type="auto"/>
            <w:tcBorders>
              <w:top w:val="single" w:sz="8" w:space="0" w:color="auto"/>
              <w:bottom w:val="single" w:sz="6" w:space="0" w:color="auto"/>
            </w:tcBorders>
            <w:vAlign w:val="center"/>
          </w:tcPr>
          <w:p w14:paraId="533C607C" w14:textId="77777777" w:rsidR="00156BB0" w:rsidRPr="000309F2" w:rsidRDefault="00156BB0" w:rsidP="008920A6">
            <w:pPr>
              <w:spacing w:before="40" w:after="40" w:line="240" w:lineRule="auto"/>
              <w:jc w:val="center"/>
              <w:rPr>
                <w:rFonts w:ascii="Times New Roman" w:eastAsia="Calibri" w:hAnsi="Times New Roman" w:cs="Times New Roman"/>
                <w:i/>
                <w:iCs/>
                <w:color w:val="000000" w:themeColor="text1"/>
                <w:sz w:val="20"/>
                <w:szCs w:val="20"/>
                <w:lang w:val="en-US"/>
              </w:rPr>
            </w:pPr>
            <w:r w:rsidRPr="000309F2">
              <w:rPr>
                <w:rFonts w:ascii="Times New Roman" w:eastAsia="Calibri" w:hAnsi="Times New Roman" w:cs="Times New Roman"/>
                <w:i/>
                <w:iCs/>
                <w:color w:val="000000" w:themeColor="text1"/>
                <w:sz w:val="20"/>
                <w:szCs w:val="20"/>
                <w:lang w:val="en-US"/>
              </w:rPr>
              <w:t>Description</w:t>
            </w:r>
          </w:p>
        </w:tc>
      </w:tr>
      <w:tr w:rsidR="00B25BDD" w:rsidRPr="000309F2" w14:paraId="42B595FF" w14:textId="77777777" w:rsidTr="00AB5C8F">
        <w:trPr>
          <w:trHeight w:val="20"/>
          <w:jc w:val="center"/>
        </w:trPr>
        <w:tc>
          <w:tcPr>
            <w:tcW w:w="0" w:type="auto"/>
            <w:tcBorders>
              <w:top w:val="single" w:sz="6" w:space="0" w:color="auto"/>
            </w:tcBorders>
            <w:vAlign w:val="center"/>
          </w:tcPr>
          <w:p w14:paraId="304E8872" w14:textId="735B3874" w:rsidR="00156BB0" w:rsidRPr="000309F2" w:rsidRDefault="00156BB0" w:rsidP="008920A6">
            <w:pPr>
              <w:spacing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Psychopathic Personality Inventory </w:t>
            </w:r>
            <w:r w:rsidRPr="000309F2">
              <w:rPr>
                <w:rFonts w:ascii="Times New Roman" w:eastAsia="Calibri" w:hAnsi="Times New Roman" w:cs="Times New Roman"/>
                <w:color w:val="000000" w:themeColor="text1"/>
                <w:sz w:val="20"/>
                <w:szCs w:val="20"/>
                <w:lang w:val="en-US"/>
              </w:rPr>
              <w:fldChar w:fldCharType="begin"/>
            </w:r>
            <w:r w:rsidR="00104379" w:rsidRPr="000309F2">
              <w:rPr>
                <w:rFonts w:ascii="Times New Roman" w:eastAsia="Calibri" w:hAnsi="Times New Roman" w:cs="Times New Roman"/>
                <w:color w:val="000000" w:themeColor="text1"/>
                <w:sz w:val="20"/>
                <w:szCs w:val="20"/>
                <w:lang w:val="en-US"/>
              </w:rPr>
              <w:instrText xml:space="preserve"> ADDIN ZOTERO_ITEM CSL_CITATION {"citationID":"vWc1mTOE","properties":{"formattedCitation":"\\super 265\\nosupersub{}","plainCitation":"265","noteIndex":0},"citationItems":[{"id":106,"uris":["http://zotero.org/users/local/ww4sk5CR/items/WZIXQ8M7"],"itemData":{"id":106,"type":"article-journal","abstract":"Deceptive abilities have long been studied in relation to personality traits. More recently, studies explored the neural substrates associated with deceptive skills suggesting a critical role of the prefrontal cortex. Here we investigated whether non-invasive brain stimulation over the dorsolateral prefrontal cortex (DLPFC) could modulate generation of untruthful responses about subject’s personal life across contexts (i.e., deceiving on guilt-free questions on daily activities; generating previously memorized lies about past experience; and producing spontaneous lies about past experience), as well as across modality responses (verbal and motor responses). Results reveal that real, but not sham, transcranial direct current stimulation (tDCS) over the DLPFC can reduce response latency for untruthful over truthful answers across contexts and modality responses. Also, contexts of lies seem to incur a different hemispheric laterality. These findings add up to previous studies demonstrating that it is possible to modulate some processes involved in generation of untruthful answers by applying non-invasive brain stimulation over the DLPFC and extend these findings by showing a differential hemispheric contribution of DLPFCs according to contexts. (PsycINFO Database Record (c) 2019 APA, all rights reserved)","archive":"psyh","archive_location":"2017-43330-001","container-title":"Frontiers in Psychiatry","DOI":"10.3389/fpsyt.2012.00097","ISSN":"1664-0640","journalAbbreviation":"Frontiers in Psychiatry","note":"publisher: Frontiers Media S.A.","source":"EBSCOhost","title":"Modulation of untruthful responses with non-invasive brain stimulation","URL":"https://search.ebscohost.com/login.aspx?direct=true&amp;db=psyh&amp;AN=2017-43330-001&amp;site=ehost-live&amp;authtype=sso&amp;custid=s9814295","volume":"3","author":[{"family":"Fecteau","given":"Shirley"},{"family":"Boggio","given":"Paulo"},{"family":"Fregni","given":"Felipe"},{"family":"Pascual-Leone","given":"Alvaro"}],"issued":{"date-parts":[["2013",2,26]]}}}],"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00104379" w:rsidRPr="000309F2">
              <w:rPr>
                <w:rFonts w:ascii="Times New Roman" w:hAnsi="Times New Roman" w:cs="Times New Roman"/>
                <w:color w:val="000000" w:themeColor="text1"/>
                <w:sz w:val="20"/>
                <w:vertAlign w:val="superscript"/>
                <w:lang w:val="en-US"/>
              </w:rPr>
              <w:t>265</w:t>
            </w:r>
            <w:r w:rsidRPr="000309F2">
              <w:rPr>
                <w:rFonts w:ascii="Times New Roman" w:eastAsia="Calibri" w:hAnsi="Times New Roman" w:cs="Times New Roman"/>
                <w:color w:val="000000" w:themeColor="text1"/>
                <w:sz w:val="20"/>
                <w:szCs w:val="20"/>
                <w:lang w:val="en-US"/>
              </w:rPr>
              <w:fldChar w:fldCharType="end"/>
            </w:r>
            <w:r w:rsidRPr="000309F2">
              <w:rPr>
                <w:rFonts w:ascii="Times New Roman" w:eastAsia="Calibri" w:hAnsi="Times New Roman" w:cs="Times New Roman"/>
                <w:color w:val="000000" w:themeColor="text1"/>
                <w:sz w:val="20"/>
                <w:szCs w:val="20"/>
                <w:lang w:val="en-US"/>
              </w:rPr>
              <w:t xml:space="preserve"> </w:t>
            </w:r>
          </w:p>
        </w:tc>
        <w:tc>
          <w:tcPr>
            <w:tcW w:w="0" w:type="auto"/>
            <w:tcBorders>
              <w:top w:val="single" w:sz="6" w:space="0" w:color="auto"/>
            </w:tcBorders>
            <w:vAlign w:val="center"/>
          </w:tcPr>
          <w:p w14:paraId="4FD53DED" w14:textId="77777777"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Self-report measure of both global psychopathy and the component traits of psychopathy, comprising eight subscales, including one measuring cold-heartedness (i.e., callousness).</w:t>
            </w:r>
          </w:p>
        </w:tc>
      </w:tr>
      <w:tr w:rsidR="00AB5C8F" w:rsidRPr="000309F2" w14:paraId="03DF570C" w14:textId="77777777" w:rsidTr="00AB5C8F">
        <w:trPr>
          <w:trHeight w:val="20"/>
          <w:jc w:val="center"/>
        </w:trPr>
        <w:tc>
          <w:tcPr>
            <w:tcW w:w="0" w:type="auto"/>
            <w:tcBorders>
              <w:bottom w:val="single" w:sz="6" w:space="0" w:color="auto"/>
            </w:tcBorders>
            <w:vAlign w:val="center"/>
          </w:tcPr>
          <w:p w14:paraId="4B483CDD" w14:textId="085022A4" w:rsidR="00156BB0" w:rsidRPr="000309F2" w:rsidRDefault="00156BB0" w:rsidP="008920A6">
            <w:pPr>
              <w:spacing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Self-Report Psychopathy Scale-Short Form </w:t>
            </w:r>
            <w:r w:rsidRPr="000309F2">
              <w:rPr>
                <w:rFonts w:ascii="Times New Roman" w:eastAsia="Calibri" w:hAnsi="Times New Roman" w:cs="Times New Roman"/>
                <w:color w:val="000000" w:themeColor="text1"/>
                <w:sz w:val="20"/>
                <w:szCs w:val="20"/>
                <w:lang w:val="en-US"/>
              </w:rPr>
              <w:fldChar w:fldCharType="begin"/>
            </w:r>
            <w:r w:rsidR="00104379" w:rsidRPr="000309F2">
              <w:rPr>
                <w:rFonts w:ascii="Times New Roman" w:eastAsia="Calibri" w:hAnsi="Times New Roman" w:cs="Times New Roman"/>
                <w:color w:val="000000" w:themeColor="text1"/>
                <w:sz w:val="20"/>
                <w:szCs w:val="20"/>
                <w:lang w:val="en-US"/>
              </w:rPr>
              <w:instrText xml:space="preserve"> ADDIN ZOTERO_ITEM CSL_CITATION {"citationID":"EoTwDe2V","properties":{"formattedCitation":"\\super 235\\nosupersub{}","plainCitation":"235","noteIndex":0},"citationItems":[{"id":660,"uris":["http://zotero.org/users/local/ww4sk5CR/items/M4EDXIVC"],"itemData":{"id":660,"type":"article-journal","abstract":"Background\nStudies have shown that impairments in the ventromedial prefrontal cortex play a crucial role in violent behavior in forensic patients who also abuse cocaine and alcohol. Moreover, interventions that aimed to reduce violence risk in those patients are found not to be optimal. A promising intervention might be to modulate the ventromedial prefrontal cortex by high-definition (HD) transcranial direct current stimulation (tDCS). The current study aimed to examine HD-tDCS as an intervention to increase empathic abilities and reduce violent behavior in forensic substance dependent offenders. In addition, using electroencephalography, we examined the effects on the P3 and the late positive potential of the event-related potentials in reaction to situations that depict victims of aggression.\nMethods\nFifty male forensic patients with a substance dependence were tested in a double-blind, placebo-controlled randomized study. The patients received HD-tDCS 2 times a day for 20 minutes for 5 consecutive days. Before and after the intervention, the patients completed self-reports and performed the Point Subtraction Aggression Paradigm, and electroencephalography was recorded while patients performed an empathy task.\nResults\nResults showed a decrease in aggressive responses on the Point Subtraction Aggression Paradigm and in self-reported reactive aggression in the active tDCS group. Additionally, we found a general increase in late positive potential amplitude after active tDCS. No effects on trait empathy and the P3 were found.\nConclusions\nCurrent findings are the first to find positive effects of HD-tDCS in reducing aggression and modulating electrophysiological responses in forensic patients, showing the potential of using tDCS as an intervention to reduce aggression in forensic mental health care.","container-title":"Biological Psychiatry: Cognitive Neuroscience and Neuroimaging","DOI":"10.1016/j.bpsc.2021.05.007","ISSN":"2451-9022","issue":"1","journalAbbreviation":"Biological Psychiatry: Cognitive Neuroscience and Neuroimaging","page":"95-107","title":"Transcranial Direct Current Stimulation Targeting the Ventromedial Prefrontal Cortex Reduces Reactive Aggression and Modulates Electrophysiological Responses in a Forensic Population","volume":"7","author":[{"family":"Sergiou","given":"Carmen S."},{"family":"Santarnecchi","given":"Emiliano"},{"family":"Romanella","given":"Sara M."},{"family":"Wieser","given":"Matthias J."},{"family":"Franken","given":"Ingmar H.A."},{"family":"Rassin","given":"Eric G.C."},{"family":"Dongen","given":"Josanne D.M.","non-dropping-particle":"van"}],"issued":{"date-parts":[["2022",1,1]]}}}],"schema":"https://github.com/citation-style-language/schema/raw/master/csl-citation.json"} </w:instrText>
            </w:r>
            <w:r w:rsidRPr="000309F2">
              <w:rPr>
                <w:rFonts w:ascii="Times New Roman" w:eastAsia="Calibri" w:hAnsi="Times New Roman" w:cs="Times New Roman"/>
                <w:color w:val="000000" w:themeColor="text1"/>
                <w:sz w:val="20"/>
                <w:szCs w:val="20"/>
                <w:lang w:val="en-US"/>
              </w:rPr>
              <w:fldChar w:fldCharType="separate"/>
            </w:r>
            <w:r w:rsidR="00104379" w:rsidRPr="000309F2">
              <w:rPr>
                <w:rFonts w:ascii="Times New Roman" w:hAnsi="Times New Roman" w:cs="Times New Roman"/>
                <w:color w:val="000000" w:themeColor="text1"/>
                <w:sz w:val="20"/>
                <w:vertAlign w:val="superscript"/>
                <w:lang w:val="en-US"/>
              </w:rPr>
              <w:t>235</w:t>
            </w:r>
            <w:r w:rsidRPr="000309F2">
              <w:rPr>
                <w:rFonts w:ascii="Times New Roman" w:eastAsia="Calibri" w:hAnsi="Times New Roman" w:cs="Times New Roman"/>
                <w:color w:val="000000" w:themeColor="text1"/>
                <w:sz w:val="20"/>
                <w:szCs w:val="20"/>
                <w:lang w:val="en-US"/>
              </w:rPr>
              <w:fldChar w:fldCharType="end"/>
            </w:r>
            <w:r w:rsidRPr="000309F2">
              <w:rPr>
                <w:rFonts w:ascii="Times New Roman" w:eastAsia="Calibri" w:hAnsi="Times New Roman" w:cs="Times New Roman"/>
                <w:color w:val="000000" w:themeColor="text1"/>
                <w:sz w:val="20"/>
                <w:szCs w:val="20"/>
                <w:lang w:val="en-US"/>
              </w:rPr>
              <w:t xml:space="preserve"> </w:t>
            </w:r>
          </w:p>
        </w:tc>
        <w:tc>
          <w:tcPr>
            <w:tcW w:w="0" w:type="auto"/>
            <w:tcBorders>
              <w:bottom w:val="single" w:sz="6" w:space="0" w:color="auto"/>
            </w:tcBorders>
            <w:vAlign w:val="center"/>
          </w:tcPr>
          <w:p w14:paraId="2D53D356" w14:textId="77777777" w:rsidR="00156BB0" w:rsidRPr="000309F2" w:rsidRDefault="00156BB0" w:rsidP="008920A6">
            <w:pPr>
              <w:spacing w:before="40" w:after="40" w:line="240" w:lineRule="auto"/>
              <w:rPr>
                <w:rFonts w:ascii="Times New Roman" w:eastAsia="Calibri" w:hAnsi="Times New Roman" w:cs="Times New Roman"/>
                <w:color w:val="000000" w:themeColor="text1"/>
                <w:sz w:val="20"/>
                <w:szCs w:val="20"/>
                <w:lang w:val="en-US"/>
              </w:rPr>
            </w:pPr>
            <w:r w:rsidRPr="000309F2">
              <w:rPr>
                <w:rFonts w:ascii="Times New Roman" w:eastAsia="Calibri" w:hAnsi="Times New Roman" w:cs="Times New Roman"/>
                <w:color w:val="000000" w:themeColor="text1"/>
                <w:sz w:val="20"/>
                <w:szCs w:val="20"/>
                <w:lang w:val="en-US"/>
              </w:rPr>
              <w:t xml:space="preserve">Self-reported inventory designed to measure psychopathy subdivided into four different facets, two of which include callous traits and interpersonal manipulative style. </w:t>
            </w:r>
          </w:p>
        </w:tc>
      </w:tr>
    </w:tbl>
    <w:p w14:paraId="5087C160" w14:textId="18FAF0BE" w:rsidR="00156BB0" w:rsidRPr="000309F2" w:rsidRDefault="00156BB0" w:rsidP="0006494C">
      <w:pPr>
        <w:spacing w:after="0" w:line="480" w:lineRule="auto"/>
        <w:jc w:val="left"/>
        <w:rPr>
          <w:rFonts w:ascii="Times New Roman" w:eastAsia="Calibri" w:hAnsi="Times New Roman" w:cs="Times New Roman"/>
          <w:b/>
          <w:bCs/>
          <w:color w:val="000000" w:themeColor="text1"/>
          <w:lang w:val="en-US"/>
        </w:rPr>
        <w:sectPr w:rsidR="00156BB0" w:rsidRPr="000309F2" w:rsidSect="0006494C">
          <w:pgSz w:w="11906" w:h="16838"/>
          <w:pgMar w:top="1440" w:right="1440" w:bottom="1440" w:left="1440" w:header="720" w:footer="720" w:gutter="0"/>
          <w:cols w:space="720"/>
          <w:docGrid w:linePitch="360"/>
        </w:sectPr>
      </w:pPr>
    </w:p>
    <w:p w14:paraId="42BF0CF7" w14:textId="3667F1DF" w:rsidR="0006494C" w:rsidRPr="000309F2" w:rsidRDefault="00156BB0" w:rsidP="0006494C">
      <w:pPr>
        <w:spacing w:after="0" w:line="480" w:lineRule="auto"/>
        <w:jc w:val="left"/>
        <w:rPr>
          <w:rFonts w:ascii="Times New Roman" w:eastAsia="Calibri" w:hAnsi="Times New Roman" w:cs="Times New Roman"/>
          <w:b/>
          <w:bCs/>
          <w:color w:val="000000" w:themeColor="text1"/>
          <w:lang w:val="en-US"/>
        </w:rPr>
      </w:pPr>
      <w:r w:rsidRPr="000309F2">
        <w:rPr>
          <w:rFonts w:ascii="Times New Roman" w:eastAsia="Calibri" w:hAnsi="Times New Roman" w:cs="Times New Roman"/>
          <w:b/>
          <w:bCs/>
          <w:color w:val="000000" w:themeColor="text1"/>
          <w:lang w:val="en-US"/>
        </w:rPr>
        <w:lastRenderedPageBreak/>
        <w:t xml:space="preserve">Supplementary 4.  </w:t>
      </w:r>
      <w:r w:rsidR="0006494C" w:rsidRPr="000309F2">
        <w:rPr>
          <w:rFonts w:ascii="Times New Roman" w:eastAsia="Calibri" w:hAnsi="Times New Roman" w:cs="Times New Roman"/>
          <w:i/>
          <w:iCs/>
          <w:color w:val="000000" w:themeColor="text1"/>
          <w:lang w:val="en-US"/>
        </w:rPr>
        <w:t>Exploratory analyses</w:t>
      </w:r>
    </w:p>
    <w:p w14:paraId="36613B85" w14:textId="29AC5DCB" w:rsidR="0006494C" w:rsidRPr="000309F2" w:rsidRDefault="0006494C" w:rsidP="0006494C">
      <w:pPr>
        <w:spacing w:after="0" w:line="480" w:lineRule="auto"/>
        <w:jc w:val="left"/>
        <w:rPr>
          <w:rFonts w:ascii="Times New Roman" w:eastAsia="Calibri" w:hAnsi="Times New Roman" w:cs="Times New Roman"/>
          <w:color w:val="000000" w:themeColor="text1"/>
          <w:lang w:val="en-US"/>
        </w:rPr>
      </w:pPr>
      <w:r w:rsidRPr="000309F2">
        <w:rPr>
          <w:rFonts w:ascii="Times New Roman" w:eastAsia="Calibri" w:hAnsi="Times New Roman" w:cs="Times New Roman"/>
          <w:color w:val="000000" w:themeColor="text1"/>
          <w:lang w:val="en-US"/>
        </w:rPr>
        <w:t>A subset of studies combined anodal and cathodal stimulation over ROI</w:t>
      </w:r>
      <w:r w:rsidR="00E41531" w:rsidRPr="000309F2">
        <w:rPr>
          <w:rFonts w:ascii="Times New Roman" w:eastAsia="Calibri" w:hAnsi="Times New Roman" w:cs="Times New Roman"/>
          <w:color w:val="000000" w:themeColor="text1"/>
          <w:lang w:val="en-US"/>
        </w:rPr>
        <w:t>s</w:t>
      </w:r>
      <w:r w:rsidRPr="000309F2">
        <w:rPr>
          <w:rFonts w:ascii="Times New Roman" w:eastAsia="Calibri" w:hAnsi="Times New Roman" w:cs="Times New Roman"/>
          <w:color w:val="000000" w:themeColor="text1"/>
          <w:lang w:val="en-US"/>
        </w:rPr>
        <w:t xml:space="preserve"> either </w:t>
      </w:r>
      <w:r w:rsidR="00104379" w:rsidRPr="000309F2">
        <w:rPr>
          <w:rFonts w:ascii="Times New Roman" w:eastAsia="Calibri" w:hAnsi="Times New Roman" w:cs="Times New Roman"/>
          <w:color w:val="000000" w:themeColor="text1"/>
          <w:lang w:val="en-US"/>
        </w:rPr>
        <w:t>using a</w:t>
      </w:r>
      <w:r w:rsidRPr="000309F2">
        <w:rPr>
          <w:rFonts w:ascii="Times New Roman" w:eastAsia="Calibri" w:hAnsi="Times New Roman" w:cs="Times New Roman"/>
          <w:color w:val="000000" w:themeColor="text1"/>
          <w:lang w:val="en-US"/>
        </w:rPr>
        <w:t xml:space="preserve"> bilateral bipolar </w:t>
      </w:r>
      <w:r w:rsidR="00104379" w:rsidRPr="000309F2">
        <w:rPr>
          <w:rFonts w:ascii="Times New Roman" w:eastAsia="Calibri" w:hAnsi="Times New Roman" w:cs="Times New Roman"/>
          <w:color w:val="000000" w:themeColor="text1"/>
          <w:lang w:val="en-US"/>
        </w:rPr>
        <w:t>montage</w:t>
      </w:r>
      <w:r w:rsidRPr="000309F2">
        <w:rPr>
          <w:rFonts w:ascii="Times New Roman" w:eastAsia="Calibri" w:hAnsi="Times New Roman" w:cs="Times New Roman"/>
          <w:color w:val="000000" w:themeColor="text1"/>
          <w:lang w:val="en-US"/>
        </w:rPr>
        <w:t xml:space="preserve"> </w:t>
      </w:r>
      <w:r w:rsidRPr="000309F2">
        <w:rPr>
          <w:rFonts w:ascii="Times New Roman" w:eastAsia="Calibri" w:hAnsi="Times New Roman" w:cs="Times New Roman"/>
          <w:color w:val="000000" w:themeColor="text1"/>
          <w:lang w:val="en-US"/>
        </w:rPr>
        <w:fldChar w:fldCharType="begin"/>
      </w:r>
      <w:r w:rsidR="00B06443" w:rsidRPr="000309F2">
        <w:rPr>
          <w:rFonts w:ascii="Times New Roman" w:eastAsia="Calibri" w:hAnsi="Times New Roman" w:cs="Times New Roman"/>
          <w:color w:val="000000" w:themeColor="text1"/>
          <w:lang w:val="en-US"/>
        </w:rPr>
        <w:instrText xml:space="preserve"> ADDIN ZOTERO_ITEM CSL_CITATION {"citationID":"c4aHj2Oa","properties":{"formattedCitation":"\\super 153,208,213,225,236,254,258,264\\uc0\\u8211{}266\\nosupersub{}","plainCitation":"153,208,213,225,236,254,258,264–266","noteIndex":0},"citationItems":[{"id":716,"uris":["http://zotero.org/users/local/ww4sk5CR/items/RL2ZCGXA"],"itemData":{"id":716,"type":"article-journal","abstract":"Summary\nRecent evidence has supported the notion that the hypothalamic-pituitary-adrenal (HPA) and the sympatho-adreno-medullary (SAM) systems are modulated by cortical structures such as the prefrontal cortex. This top-down modulation may play a major role in the neuroendocrine changes associated with stressful events. We aimed to investigate further this hypothesis by modulating directly prefrontal cortex excitability using transcranial direct current stimulation (tDCS) – a non-invasive, neuromodulatory tool that induces polarity-dependent changes in cortical excitability – and measuring effects on salivary cortisol and heart rate variability as proxies of the HPA and SAM systems. Twenty healthy participants with no clinical and neuropsychiatric conditions were randomized to receive bifrontal tDCS (left anodal/right cathodal or left cathodal/right anodal) or sham stimulation, in a within-subject design. During each stimulation session, after a resting period, subjects were shown images with neutral or negative valence. Our findings showed that excitability enhancing left anodal tDCS induced a decrease in cortisol levels. This effect is more pronounced during emotional negative stimuli. Moreover, vagal activity was higher during left anodal tDCS and emotional negative stimuli, as compared to sham stimulation and neutral images. We also observed an association between higher mood scores, higher vagal activation and lower cortisol levels for anodal stimulation. Subjective mood and anxiety evaluation revealed no specific changes after stimulation. Our findings suggest that tDCS induced transient, polarity specific modulatory top-down effects with anodal tDCS leading to a down-regulation of HPA and SAM systems. Further research using tDCS and neuroendocrine markers should explore the mechanisms of stress regulation in healthy and clinical samples.","container-title":"Psychoneuroendocrinology","DOI":"10.1016/j.psyneuen.2012.04.020","ISSN":"0306-4530","issue":"1","journalAbbreviation":"Psychoneuroendocrinology","page":"58-66","title":"Polarity- and valence-dependent effects of prefrontal transcranial direct current stimulation on heart rate variability and salivary cortisol","volume":"38","author":[{"family":"Brunoni","given":"Andre R."},{"family":"Vanderhasselt","given":"Marie-Anne"},{"family":"Boggio","given":"Paulo S."},{"family":"Fregni","given":"Felipe"},{"family":"Dantas","given":"Eduardo Miranda"},{"family":"Mill","given":"José G."},{"family":"Lotufo","given":"Paulo A."},{"family":"Benseñor","given":"Isabela M."}],"issued":{"date-parts":[["2013",1,1]]}}},{"id":720,"uris":["http://zotero.org/users/local/ww4sk5CR/items/ZXKQKCR8"],"itemData":{"id":720,"type":"article-journal","abstract":"Empathy for pain, a widely studied sub-form of empathy, is an ability to recognize and share the pain of others. It involves brain regions associated with the emotional component of pain. Recent studies found that emotional pain could be modulated by stimulating the dorsolateral prefrontal cortex (DLPFC) with transcranial direct current stimulation (tDCS). We hypothesized that tDCS of the DLPFC could modulate empathy for pain as well. In the present study, healthy subjects were asked to watch pictures depicting somebody under painful or non-painful conditions and to evaluate the pain intensity of others as well as their own pain-related unpleasantness before and after tDCS of the DLPFC. It was found that ratings for others’ pain increased in subjects with an anodal tDCS of the DLPFC in comparison to those with sham tDCS, indicating enhanced pain empathy with the anodal tDCS. Furthermore, the changes of ratings for others’ pain were positively correlated with the changes of pain-related self-unpleasantness. These findings indicate that tDCS could modulate pain empathy and be used as a potential tool for modulating diseases accompanied with empathy deficits.","container-title":"Neuroscience","DOI":"10.1016/j.neuroscience.2014.09.044","ISSN":"0306-4522","journalAbbreviation":"Neuroscience","page":"202-207","title":"Transcranial direct current stimulation of the dorsolateral prefrontal cortex increased pain empathy","volume":"281","author":[{"family":"Wang","given":"J."},{"family":"Wang","given":"Y."},{"family":"Hu","given":"Z."},{"family":"Li","given":"X."}],"issued":{"date-parts":[["2014",12,5]]}}},{"id":623,"uris":["http://zotero.org/users/local/ww4sk5CR/items/XLS8NS56"],"itemData":{"id":623,"type":"article-journal","abstract":"Background\nTreating depressive symptoms in patients with schizophrenia is challenging. While transcranical Dicrect Current Stimulation (tDCS) improved other core symptoms of schizophrenia, conflicting results have been obtained on depressive symptoms. Thus, we aimed to expand current evidence on tDCS efficacy to improve depressive symptoms in patients with schizophrenia.\nMethods\nA double-blind RCT was performed with patients randomized to 2 mA active-tDCS or sham-tDCS (15 daily sessions) with a bilateral bipolar-nonbalanced prefrontal placement (anode: left Dorsolateral prefrontal cortex; cathode: right orbitofrontal region). Clinical outcomes included variations of Calgary Depression Scale for Schizophrenia total score (CDSS) and of Depression-hopelessness and Guilty idea of reference-pathological guilt factors. Analysis of covariance was performed evaluating between-group changes over time. The presence/absence of probable clinically significant depression was determined when CDSS &gt; 6.\nResults\nAs 50 outpatients were included (both groups, n = 25), significant improvements following active-tDCS were observed for CDSS total score (p = 0.001), Depression-hopelessness (p = 0.001) and Guilty idea of reference-pathological guilt (p = 0.03). Considering patients with CDSS&gt;6 (n = 23), compared to sham, active-tDCS significantly improved CDSS total score (p &lt; 0.001), Depression-hopelessness (p = 0.001) but Guilty idea of reference-pathological guilt only marginally improved (p = 0.051). Considering response rates of clinically significant depression, important reductions of CDSS score were observed (78 % of the sample scored ≤6; active-tDCS, n = 23; sham-tDCS, n = 16; p = 0.017). Early wakening item did not significantly change in any group.\nLimitations\nThe study lacks a follow-up period and evaluation of tDCS effects on psychosocial functioning.\nConclusions\nBilateral bipolar-nonbalanced prefrontal tDCS is a successful protocol for the treatment of depressive symptoms in patients with schizophrenia.","container-title":"Journal of Affective Disorders","DOI":"10.1016/j.jad.2024.01.050","ISSN":"0165-0327","journalAbbreviation":"Journal of Affective Disorders","page":"165-175","title":"Improving depressive symptoms in patients with schizophrenia using bilateral bipolar-nonbalanced prefrontal tDCS: Results from a double-blind sham-controlled trial","volume":"349","author":[{"family":"Lisoni","given":"Jacopo"},{"family":"Nibbio","given":"Gabriele"},{"family":"Baldacci","given":"Giulia"},{"family":"Zucchetti","given":"Andrea"},{"family":"Cicale","given":"Andrea"},{"family":"Zardini","given":"Daniela"},{"family":"Miotto","given":"Paola"},{"family":"Deste","given":"Giacomo"},{"family":"Barlati","given":"Stefano"},{"family":"Vita","given":"Antonio"}],"issued":{"date-parts":[["2024",3,15]]}}},{"id":717,"uris":["http://zotero.org/users/local/ww4sk5CR/items/W8X5ELS6"],"itemData":{"id":717,"type":"article-journal","abstract":"The dorsolateral prefrontal cortex (DLPFC) is involved in the cognitive appraisal and modulation of the pain experience. In this sham-controlled study, with healthy volunteers, we used bi-hemispheric transcranial direct current stimulation (tDCS) over the DLPFC to assess emotional reactions elicited by pain observation. Left-cathodal/right-anodal tDCS decreased valence and arousal evaluations compared to other tDCS conditions. Compared to sham condition, both left-cathodal/right-anodal and left-anodal/right-cathodal tDCS decreased hostility, sadness and self-pain perception. These decreased sensations after both active tDCS suggest a common role for left and right DLPFC in personal distress modulation. However, the differences in arousal and valence evaluations point to distinct roles of lateralized DLPFC in cognitive empathy, probably through distinct emotion regulation mechanisms.","container-title":"Neuroscience Letters","DOI":"10.1016/j.neulet.2015.03.042","ISSN":"0304-3940","journalAbbreviation":"Neuroscience Letters","page":"12-16","title":"Hemispheric dorsolateral prefrontal cortex lateralization in the regulation of empathy for pain","volume":"594","author":[{"family":"Rêgo","given":"Gabriel G."},{"family":"Lapenta","given":"Olívia M."},{"family":"Marques","given":"Lucas M."},{"family":"Costa","given":"Thiago L."},{"family":"Leite","given":"Jorge"},{"family":"Carvalho","given":"Sandra"},{"family":"Gonçalves","given":"Óscar F."},{"family":"Brunoni","given":"André R."},{"family":"Fregni","given":"Felipe"},{"family":"Boggio","given":"Paulo S."}],"issued":{"date-parts":[["2015",5,6]]}}},{"id":718,"uris":["http://zotero.org/users/local/ww4sk5CR/items/XZL7CUTZ"],"itemData":{"id":718,"type":"article-journal","abstract":"Altruistic punishment of social norm violations plays a crucial role in maintaining widespread cooperation in human societies, and punitive behavior has been suggested to be related to the activity level of the dorsolateral prefrontal cortex (DLPFC). This study used unilateral and bilateral transcranial direct current stimulation (tDCS) to investigate how modulating the activity of the DLPFC affects cooperation and punishment in a 3-player prisoner’s dilemma. We found that none of the unilateral stimulations changed the participants’ cooperation behaviors, while left anodal/right cathodal stimulation increased the participants’ cooperation. For punitive behavior, we found that all unilateral stimulations (i.e., right anodal, right cathodal, left anodal, left cathodal) and bilateral stimulations (i.e., right anodal/left cathodal, left anodal/right cathodal) significantly decreased the punishment imposed by the cooperators toward the defectors. In addition, right anodal stimulation significantly decreased the participant’s third-party punishment (TPP) imposed by the cooperators toward the defectors. The other three unilateral stimulations also significantly decreased the participant’s TPP imposed by the cooperators toward the defectors, but only when the punishment was revealed to the punished person. Our findings indicate that the mechanisms of selfishness and negative emotions suggested by previous studies probably interact with different stimulations: for anodal stimulations, the mechanism of negative emotions may overwhelm the mechanism of selfishness, while for cathodal stimulations, the mechanism of selfishness may be more dominant than the mechanism of negative emotions.","container-title":"Frontiers in Neuroscience","ISSN":"1662-453X","journalAbbreviation":"Frontiers in Neuroscience","title":"Modulating Activity in the Dorsolateral Prefrontal Cortex Changes Punishment in the 3-Player Prisoner’s Dilemma: A Transcranial Direct Current Stimulation Study","URL":"https://www.frontiersin.org/journals/neuroscience/articles/10.3389/fnins.2019.01160","volume":"13","author":[{"family":"Chen","given":"Shu"},{"family":"Shi","given":"Jinchuan"},{"family":"Yang","given":"Xiaolan"},{"family":"Ye","given":"Hang"},{"family":"Luo","given":"Jun"}],"issued":{"date-parts":[["2019"]]}}},{"id":146,"uris":["http://zotero.org/users/local/ww4sk5CR/items/8AY7BDF8"],"itemData":{"id":146,"type":"article-journal","abstract":"Previous studies suggest the dorsolateral prefrontal cortex (DLPFC) is involved in processing of empathic concern. This has not been experimentally tested to date. We tested the hypotheses that electrical potentiation in the right DLPFC would be associated with increased empathic concern and prosocial behavior. Participants were randomly allocated to one of three transcranial Direct Current Stimulation (tDCS) conditions: (a) relative right potentiation, (b) relative left potentiation, and (c) sham. Participants viewed images of African children in distressing circumstances, and completed measures of empathic concern pre- and post-tDCS manipulation. Contrary to our prediction, neither effects, nor interactions of heightened empathic concern were observed. These results conflict with previous studies using this bilateral tDCS montage. Explanations could be that stimulation used in this study had been simply too weak (1.5 mA). Alternatively, the area of the DLPFC involved in emotion regulation is closer to the cortex than the area involved in empathic concern, and more easily potentiated by tDCS. Therefore, the DLPFC potentiation in the present study may have linked empathic concern with adaptive emotion regulation strategies. Future research could examine this possibility using measures of emotion regulation and higher fidelity neurostimulation (e.g., repetitive Transcranial Magnetic Stimulation [rTMS]). (PsycINFO Database Record (c) 2019 APA, all rights reserved)","archive":"psyh","archive_location":"2018-01935-004","container-title":"Social Neuroscience","DOI":"10.1080/17470919.2016.1273133","ISSN":"1747-0919","issue":"2","journalAbbreviation":"Social Neuroscience","note":"publisher: Taylor &amp; Francis","page":"190-201","source":"EBSCOhost","title":"tDCS potentiation provides no evidence for a link between right dorsal–lateral prefrontal cortical activity and empathic responding","volume":"13","author":[{"family":"Snowdon","given":"Marion E."},{"family":"Cathcart","given":"Stuart"}],"issued":{"date-parts":[["2018",3]]}}},{"id":1419,"uris":["http://zotero.org/users/local/ww4sk5CR/items/63I4NPK4"],"itemData":{"id":1419,"type":"article-journal","container-title":"Journal of Affective Disorders","ISSN":"0165-0327","journalAbbreviation":"Journal of Affective Disorders","note":"publisher: Elsevier","page":"443-449","title":"Emotional reactivity to valence-loaded stimuli are related to treatment response of neurocognitive therapy","volume":"190","author":[{"family":"Vanderhasselt","given":"Marie-Anne"},{"family":"De Raedt","given":"Rudi"},{"family":"Namur","given":"Victoria"},{"family":"Valiengo","given":"Leandro CL"},{"family":"Lotufo","given":"Paulo A"},{"family":"Bensenor","given":"Isabela M"},{"family":"Baeken","given":"Chris"},{"family":"Boggio","given":"Paulo S"},{"family":"Brunoni","given":"Andre R"}],"issued":{"date-parts":[["2016"]]}}},{"id":136,"uris":["http://zotero.org/users/local/ww4sk5CR/items/EFDXVU7A"],"itemData":{"id":136,"type":"article-journal","abstract":"Antisocial behavior and prosocial behavior in the condition of inequality have long been observed in daily life. Understanding the neurological mechanisms and brain regions associated with antisocial and prosocial behavior and the development of new interventions are important for reducing violence and inequality. Fortunately, neurocognitive research and brain imaging research have found a correlation between antisocial or prosocial behavior and the prefrontal cortex. Recent brain stimulation research adopting transcranial direct current stimulation or transcranial magnetic stimulation has shown a causal relationship between brain regions and behaviors, but the findings are mixed. In the present study, we aimed to study whether stimulation of the DLPFC can change participants’ antisocial and prosocial behavior in the condition of inequality. We integrated antisocial and prosocial behavior in a unified paradigm. Based on this paradigm, we discussed costly and cost-free antisocial and prosocial behavior. In addition, we also measured participants’ disadvantageous and advantageous inequality aversion. The current study revealed an asymmetric effect of bilateral stimulation over the DLPFC on costly antisocial behavior, while such an effect of antisocial behavior without cost and prosocial behavior with and without cost were not observed. Moreover, costly antisocial behavior exhibited by men increased after receiving right anodal/left cathodal stimulation and decreased after receiving right cathodal anodal/left anodal stimulation compared with the behavior observed under sham stimulation. However, subjects’ inequality aversion was not influenced by tDCS. (PsycInfo Database Record (c) 2022 APA, all rights reserved)","archive":"psyh","archive_location":"2021-12523-001","container-title":"Frontiers in Psychology","DOI":"10.3389/fpsyg.2020.579792","ISSN":"1664-1078","journalAbbreviation":"Frontiers in Psychology","note":"publisher: Frontiers Media S.A.","source":"EBSCOhost","title":"Effect of modulating DLPFC activity on antisocial and prosocial behavior: Evidence from a tDCS study","URL":"https://search.ebscohost.com/login.aspx?direct=true&amp;db=psyh&amp;AN=2021-12523-001&amp;site=ehost-live&amp;authtype=sso&amp;custid=s9814295","volume":"11","author":[{"family":"Zheng","given":"Wanjun"},{"family":"Li","given":"Yuzhen"},{"family":"Ye","given":"Hang"},{"family":"Luo","given":"Jun"}],"issued":{"date-parts":[["2021",1,13]]}}},{"id":106,"uris":["http://zotero.org/users/local/ww4sk5CR/items/WZIXQ8M7"],"itemData":{"id":106,"type":"article-journal","abstract":"Deceptive abilities have long been studied in relation to personality traits. More recently, studies explored the neural substrates associated with deceptive skills suggesting a critical role of the prefrontal cortex. Here we investigated whether non-invasive brain stimulation over the dorsolateral prefrontal cortex (DLPFC) could modulate generation of untruthful responses about subject’s personal life across contexts (i.e., deceiving on guilt-free questions on daily activities; generating previously memorized lies about past experience; and producing spontaneous lies about past experience), as well as across modality responses (verbal and motor responses). Results reveal that real, but not sham, transcranial direct current stimulation (tDCS) over the DLPFC can reduce response latency for untruthful over truthful answers across contexts and modality responses. Also, contexts of lies seem to incur a different hemispheric laterality. These findings add up to previous studies demonstrating that it is possible to modulate some processes involved in generation of untruthful answers by applying non-invasive brain stimulation over the DLPFC and extend these findings by showing a differential hemispheric contribution of DLPFCs according to contexts. (PsycINFO Database Record (c) 2019 APA, all rights reserved)","archive":"psyh","archive_location":"2017-43330-001","container-title":"Frontiers in Psychiatry","DOI":"10.3389/fpsyt.2012.00097","ISSN":"1664-0640","journalAbbreviation":"Frontiers in Psychiatry","note":"publisher: Frontiers Media S.A.","source":"EBSCOhost","title":"Modulation of untruthful responses with non-invasive brain stimulation","URL":"https://search.ebscohost.com/login.aspx?direct=true&amp;db=psyh&amp;AN=2017-43330-001&amp;site=ehost-live&amp;authtype=sso&amp;custid=s9814295","volume":"3","author":[{"family":"Fecteau","given":"Shirley"},{"family":"Boggio","given":"Paulo"},{"family":"Fregni","given":"Felipe"},{"family":"Pascual-Leone","given":"Alvaro"}],"issued":{"date-parts":[["2013",2,26]]}}},{"id":102,"uris":["http://zotero.org/users/local/ww4sk5CR/items/LFU7WRQA"],"itemData":{"id":102,"type":"article-journal","abstract":"Trust is one of the most important factors in human society, as it pervades almost all domains of the society. The trusting behavior of trustors is dependent on the belief about the cooperative (reciprocal) level of trustees. Thence what are the motives underlying the cooperative behavior? An important explanation is that guilt aversion can motivate cooperative behavior. The right orbitofrontal cortex (OFC) is the guilt-specific region, while there is little understanding on the causal effect of this network. We explored the causal effect of the OFC on cooperative behavior using transcranial direct current stimulation (tDCS). Sixty participants played the trust game as trustees, and they received either anodal tDCS over the right OFC and simultaneously cathodal electrode over the right dorsolateral prefrontal cortex (DLPFC), or sham stimulation. Experimental results showed that participants as trustees transferred back more money in the tDCS treatment than sham stimulation. This suggests that the activity of the right OFC has causal effects on cooperative behavior. (PsycInfo Database Record (c) 2020 APA, all rights reserved)","archive":"psyh","archive_location":"2016-11636-010","container-title":"Behavioural Brain Research","DOI":"10.1016/j.bbr.2016.01.047","ISSN":"0166-4328","journalAbbreviation":"Behavioural Brain Research","note":"publisher: Elsevier Science","page":"71-75","source":"EBSCOhost","title":"Modulating activity in the orbitofrontal cortex changes trustees' cooperation: A transcranial direct current stimulation study","volume":"303","author":[{"family":"Wang","given":"Guangrong"},{"family":"Li","given":"Jianbiao"},{"family":"Yin","given":"Xile"},{"family":"Li","given":"Shuaiqi"},{"family":"Wei","given":"Mengxing"}],"issued":{"date-parts":[["2016",4,15]]}}}],"schema":"https://github.com/citation-style-language/schema/raw/master/csl-citation.json"} </w:instrText>
      </w:r>
      <w:r w:rsidRPr="000309F2">
        <w:rPr>
          <w:rFonts w:ascii="Times New Roman" w:eastAsia="Calibri" w:hAnsi="Times New Roman" w:cs="Times New Roman"/>
          <w:color w:val="000000" w:themeColor="text1"/>
          <w:lang w:val="en-US"/>
        </w:rPr>
        <w:fldChar w:fldCharType="separate"/>
      </w:r>
      <w:r w:rsidR="00B06443" w:rsidRPr="000309F2">
        <w:rPr>
          <w:rFonts w:ascii="Times New Roman" w:hAnsi="Times New Roman" w:cs="Times New Roman"/>
          <w:color w:val="000000" w:themeColor="text1"/>
          <w:kern w:val="0"/>
          <w:vertAlign w:val="superscript"/>
          <w:lang w:val="en-US"/>
        </w:rPr>
        <w:t>153,208,213,225,236,254,258,264–266</w:t>
      </w:r>
      <w:r w:rsidRPr="000309F2">
        <w:rPr>
          <w:rFonts w:ascii="Times New Roman" w:eastAsia="Calibri" w:hAnsi="Times New Roman" w:cs="Times New Roman"/>
          <w:color w:val="000000" w:themeColor="text1"/>
          <w:lang w:val="en-US"/>
        </w:rPr>
        <w:fldChar w:fldCharType="end"/>
      </w:r>
      <w:r w:rsidR="00B06443" w:rsidRPr="000309F2">
        <w:rPr>
          <w:rFonts w:ascii="Times New Roman" w:eastAsia="Calibri" w:hAnsi="Times New Roman" w:cs="Times New Roman"/>
          <w:color w:val="000000" w:themeColor="text1"/>
          <w:lang w:val="en-US"/>
        </w:rPr>
        <w:t xml:space="preserve"> or via HD-tDCS </w:t>
      </w:r>
      <w:r w:rsidR="00B06443" w:rsidRPr="000309F2">
        <w:rPr>
          <w:rFonts w:ascii="Times New Roman" w:eastAsia="Calibri" w:hAnsi="Times New Roman" w:cs="Times New Roman"/>
          <w:color w:val="000000" w:themeColor="text1"/>
          <w:lang w:val="en-US"/>
        </w:rPr>
        <w:fldChar w:fldCharType="begin"/>
      </w:r>
      <w:r w:rsidR="00B06443" w:rsidRPr="000309F2">
        <w:rPr>
          <w:rFonts w:ascii="Times New Roman" w:eastAsia="Calibri" w:hAnsi="Times New Roman" w:cs="Times New Roman"/>
          <w:color w:val="000000" w:themeColor="text1"/>
          <w:lang w:val="en-US"/>
        </w:rPr>
        <w:instrText xml:space="preserve"> ADDIN ZOTERO_ITEM CSL_CITATION {"citationID":"sTzcbntE","properties":{"formattedCitation":"\\super 218,235,237,239,248,267\\nosupersub{}","plainCitation":"218,235,237,239,248,267","noteIndex":0},"citationItems":[{"id":715,"uris":["http://zotero.org/users/local/ww4sk5CR/items/CMBTBJ8K"],"itemData":{"id":715,"type":"article-journal","abstract":"Background\nImplicit emotion regulation (ER), a form of ER, is essential for protecting mental health in the process of social interaction. Both the ventrolateral prefrontal cortex (VLPFC) and the dorsolateral prefrontal cortex (DLPFC) have been shown to be involved in ER processes, including explicit ER of social pain, but whether they play a role in implicit ER is unclear.\nMethods\nWe investigated whether anodal high-definition transcranial direct current stimulation (HD-tDCS) of the right VLPFC (rVLPFC) or the right DLPFC (rDLPFC) influences implicit ER. In total, 63 healthy participants completed an emotion priming task, which measures the implicit ER of social pain, before and after receiving active or sham HD-tDCS (2 mA for 20 min, 10 consecutive days). Event-related potentials (ERPs) were recorded during task performance.\nResults\nCombined with the results of the behavioral and electrophysiological indices indicated that stimulation of both the rVLPFC and the rDLPFC by anodic HD-tDCS could significantly reduce the affective responses caused by social exclusion. The further results also suggested that rDLPFC activation may contribute to promoting the involvement of early cognitive resources in the implicit ER process of social pain, thus helping to reduce the subjective negative experience of individuals.\nLimitations\nThere were no dynamic interactive emotional stimuli to induce social pain, and only static images of social exclusion were used.\nConclusion\nOur study provides cognitive and neurological evidence that expands our knowledge of the role of the rDLPFC and the rVLPFC in social ER. It can also serve as a reference for targeted intervention of implicit ER in social pain.","container-title":"Journal of Affective Disorders","DOI":"10.1016/j.jad.2023.05.075","ISSN":"0165-0327","journalAbbreviation":"Journal of Affective Disorders","page":"74-82","title":"Effects of high-definition transcranial direct current stimulation on implicit emotion regulation of social pain in healthy individuals","volume":"338","author":[{"family":"Zhang","given":"Qingqing"},{"family":"Chen","given":"Tingting"},{"family":"Liu","given":"Shanshan"},{"family":"Liu","given":"Xinying"},{"family":"Zhang","given":"Yifan"},{"family":"Yu","given":"Fengqiong"},{"family":"Ji","given":"Gong-Jun"},{"family":"Li","given":"Xiaoming"},{"family":"Zhu","given":"Chunyan"}],"issued":{"date-parts":[["2023",10,1]]}}},{"id":660,"uris":["http://zotero.org/users/local/ww4sk5CR/items/M4EDXIVC"],"itemData":{"id":660,"type":"article-journal","abstract":"Background\nStudies have shown that impairments in the ventromedial prefrontal cortex play a crucial role in violent behavior in forensic patients who also abuse cocaine and alcohol. Moreover, interventions that aimed to reduce violence risk in those patients are found not to be optimal. A promising intervention might be to modulate the ventromedial prefrontal cortex by high-definition (HD) transcranial direct current stimulation (tDCS). The current study aimed to examine HD-tDCS as an intervention to increase empathic abilities and reduce violent behavior in forensic substance dependent offenders. In addition, using electroencephalography, we examined the effects on the P3 and the late positive potential of the event-related potentials in reaction to situations that depict victims of aggression.\nMethods\nFifty male forensic patients with a substance dependence were tested in a double-blind, placebo-controlled randomized study. The patients received HD-tDCS 2 times a day for 20 minutes for 5 consecutive days. Before and after the intervention, the patients completed self-reports and performed the Point Subtraction Aggression Paradigm, and electroencephalography was recorded while patients performed an empathy task.\nResults\nResults showed a decrease in aggressive responses on the Point Subtraction Aggression Paradigm and in self-reported reactive aggression in the active tDCS group. Additionally, we found a general increase in late positive potential amplitude after active tDCS. No effects on trait empathy and the P3 were found.\nConclusions\nCurrent findings are the first to find positive effects of HD-tDCS in reducing aggression and modulating electrophysiological responses in forensic patients, showing the potential of using tDCS as an intervention to reduce aggression in forensic mental health care.","container-title":"Biological Psychiatry: Cognitive Neuroscience and Neuroimaging","DOI":"10.1016/j.bpsc.2021.05.007","ISSN":"2451-9022","issue":"1","journalAbbreviation":"Biological Psychiatry: Cognitive Neuroscience and Neuroimaging","page":"95-107","title":"Transcranial Direct Current Stimulation Targeting the Ventromedial Prefrontal Cortex Reduces Reactive Aggression and Modulates Electrophysiological Responses in a Forensic Population","volume":"7","author":[{"family":"Sergiou","given":"Carmen S."},{"family":"Santarnecchi","given":"Emiliano"},{"family":"Romanella","given":"Sara M."},{"family":"Wieser","given":"Matthias J."},{"family":"Franken","given":"Ingmar H.A."},{"family":"Rassin","given":"Eric G.C."},{"family":"Dongen","given":"Josanne D.M.","non-dropping-particle":"van"}],"issued":{"date-parts":[["2022",1,1]]}}},{"id":6,"uris":["http://zotero.org/users/local/ww4sk5CR/items/SSTH4Z8L"],"itemData":{"id":6,"type":"article-journal","abstract":"Background: Previous studies have shown that interpersonal neural synchronization (INS) is a ubiquitous phenomenon between individuals, and recent studies have further demonstrated close associations between INS and shared external sensorimotor input and/or internal mental processes within a dyad. However, most previous studies have employed an observational approach to describe the behavior-INS correlation, leading to difficulties in causally disentangling the relationship among INS, external sensorimotor input and the internal mental process. Objective/hypothesis: The present study aimed to directly change the level of INS through anodal transcranial direct current stimulation (tDCS) to test whether the change in INS would directly impact the internal mental process (Hypothesis 1) or indirectly through external sensorimotor input; the interaction behaviors were also changed (Hypothesis 2) or not (Hypothesis 3). Methods: Thirty pairs of romantically involved heterosexual couples were recruited for a within-subjects design. Three conditions were assessed: a true stimulation condition with 20-min anodal high-definition tDCS to the right anterior temporal lobe (rATL) of women before they communicated with their partners, a sham stimulation condition and a control brain region stimulation condition. The comparison between the true and sham or control brain region conditions allows us to detect the true effect of brain stimulation on INS. Functional near-infrared spectroscopy (fNIRS) hyperscanning was used to simultaneously collect dyadic participants' hemodynamic signals during communication. INS, empathy, and interaction behaviors were examined and compared among different stimulation conditions. Results: True brain stimulation significantly decreased INS between the rATL of the women and sensorimotor cortex (SMC) of the men compared to the sham stimulation condition (t(27.8) = −2.821, P = 0.009, d = 0.714) and control brain region stimulation condition (t(27.2) = −2.606, P = 0.015, d = 0.664) during communication. It also significantly decreased the level of emotional empathy (F(2,145) = 6.893, P = 0.001) but did not change sensorimotor processes, such as verbal or nonverbal interaction behaviors. However, nonverbal behaviors mediated the relationship between the changes in INS and emotional empathy (lower limit confidence interval = 0.01, upper limit confidence interval = 2.66). Conclusion(s): These findings support the third hypothesis, suggesting that INS is associated with the shared internal mental process indirectly via the sensorimotor process, but the sensorimotor process itself does not covary with the INS and the associated internal mental process. These results provide new insight into the hierarchical architecture of dual-brain function from a bottom-up perspective. (PsycInfo Database Record (c) 2023 APA, all rights reserved)","archive":"psyh","archive_location":"2023-48589-009","container-title":"Brain Stimulation","DOI":"10.1016/j.brs.2022.12.009","ISSN":"1935-861X","issue":"1","journalAbbreviation":"Brain Stimulation","note":"publisher: Elsevier Science","page":"28-39","source":"EBSCOhost","title":"Transcranial direct current stimulation of the right anterior temporal lobe changes interpersonal neural synchronization and shared mental processes","volume":"16","author":[{"family":"Long","given":"Yuhang"},{"family":"Zhong","given":"Miao"},{"family":"Aili","given":"Ruhuiya"},{"family":"Zhang","given":"Huan"},{"family":"Fang","given":"Xiaoyi"},{"family":"Lu","given":"Chunming"}],"issued":{"date-parts":[["2023",1]]}}},{"id":714,"uris":["http://zotero.org/users/local/ww4sk5CR/items/BMVND5MW"],"itemData":{"id":714,"type":"article-journal","abstract":"We tested the hypothesis that modulation of neurocomputational inputs to value-based decision-making affects the rationality of economic choices. The brain’s right temporoparietal junction (rTPJ) has been functionally associated with both social behavior and with domain-general information processing and attention. To identify the causal function of rTPJ in prosocial decisions, we administered focal high definition transcranial direct current stimulation (HD-tDCS) while participants allocated money between themselves and a charity in a modified dictator game. Anodal stimulation led to improved rationality as well as increased charitable giving and egalitarianism, resulting in more consistent and efficient choices and increased sensitivity to the price of giving. These results are consistent with the theory that anodal stimulation of the rTPJ increases the precision of value computations in social decision-making. Our results demonstrate that theories of rTPJ function should account for the multifaceted role of the rTPJ in the representation of social inputs into value-based decisions.","container-title":"Scientific Reports","DOI":"10.1038/s41598-020-76956-9","ISSN":"2045-2322","issue":"1","journalAbbreviation":"Scientific Reports","page":"20275","title":"Focal stimulation of the temporoparietal junction improves rationality in prosocial decision-making","volume":"10","author":[{"family":"Li","given":"Flora"},{"family":"Ball","given":"Sheryl"},{"family":"Zhang","given":"Xiaomeng"},{"family":"Smith","given":"Alec"}],"issued":{"date-parts":[["2020",11,20]]}}},{"id":150,"uris":["http://zotero.org/users/local/ww4sk5CR/items/XWLYLPTM"],"itemData":{"id":150,"type":"article-journal","abstract":"Altruistic behavior, i.e., promoting the welfare of others at a cost to oneself, is subserved by the integration of various social, affective, and economic factors represented in extensive brain regions. However, it is unclear how different regions interact to process/integrate information regarding the helper's interest and recipient's need when deciding whether to behave altruistically. Here we combined an interactive game with functional Magnetic Resonance Imaging (fMRI) and transcranial direct current stimulation (tDCS) to characterize the neural network underlying the processing/integration of self-interest and other-need. At the behavioral level, high self-risk decreased helping behavior and high other-need increased helping behavior. At the neural level, activity in medial prefrontal cortex (MPFC) and right dorsolateral prefrontal cortex (rDLPFC) were positively associated with self-risk levels, and activity in right inferior parietal lobe (rIPL) and rDLPFC were negatively associated with other-need levels. Dynamic causal modeling further suggested that both MPFC and rIPL were extrinsically connected to rDLPFC; high self-risk enhanced the effective connectivity from MPFC to rDLPFC, and the modulatory effect of other-need on the connectivity from rIPL to rDLPFC positively correlated with the modulatory effect of other-need on individuals’ helping rate. Two tDCS experiments provided causal evidence that rDLPFC affects both self-interest and other-need concerns, and rIPL selectively affects the other-need concerns. These findings suggest a crucial role of the MPFC-IPL-DLPFC network during altruistic decision-making, with rDLPFC as a central node for integrating and modulating motives regarding self-interest and other-need. (PsycINFO Database Record (c) 2017 APA, all rights reserved)","archive":"psyh","archive_location":"2017-42973-051","container-title":"NeuroImage","DOI":"10.1016/j.neuroimage.2017.06.040","ISSN":"1053-8119","journalAbbreviation":"NeuroImage","note":"publisher: Elsevier Science","page":"598-611","source":"EBSCOhost","title":"How do self-interest and other-need interact in the brain to determine altruistic behavior?","volume":"157","author":[{"family":"Hu","given":"Jie"},{"family":"Li","given":"Yue"},{"family":"Yin","given":"Yunlu"},{"family":"Blue","given":"Philip R."},{"family":"Yu","given":"Hongbo"},{"family":"Zhou","given":"Xiaolin"}],"issued":{"date-parts":[["2017",8,15]]}}},{"id":36,"uris":["http://zotero.org/users/local/ww4sk5CR/items/REB2ETIP"],"itemData":{"id":36,"type":"article-journal","abstract":"Empathy, including cognitive and emotional empathy, refers to the ability to infer the mental states of others and to the capacity to share emotions. The neural mechanisms involved in empathy are complex and not yet fully understood, and previous studies have shown that both cognitive and emotional empathy are closely associated with the inferior frontal gyrus (IFG). In this study, we examined whether empathy can be modulated by high-definition transcranial direct current stimulation (HD-tDCS) of the right IFG. Twenty-three healthy participants took part in all three experimental conditions (i.e., anodal, cathodal and sham stimulation) in a randomized order. Participants then completed the Chinese version of the Multifaceted Empathy Test (MET), which assesses both cognitive and emotional empathy. The results show that scores obtained for cognitive empathy following cathodal stimulation are significantly lower than those obtained following sham stimulation. In addition, scores obtained for cognitive empathy following anodal stimulation are higher than those obtained following sham stimulation, though the difference is only marginally significant. However, the results fail to show whether the stimulation of the right IFG via HD-tDCS plays a role in emotional empathy. Our results suggest that the right IFG plays a key role in cognitive empathy and indicate that HD-tDCS can regulate cognitive empathy by inducing excitability changes in the right IFG. (PsycINFO Database Record (c) 2018 APA, all rights reserved)","archive":"psyh","archive_location":"2018-60742-001","container-title":"Frontiers in Human Neuroscience","DOI":"10.3389/fnhum.2018.00446","ISSN":"1662-5161","journalAbbreviation":"Frontiers in Human Neuroscience","note":"publisher: Frontiers Media S.A.","source":"EBSCOhost","title":"The effect of high-definition transcranial direct current stimulation of the right inferior frontal gyrus on empathy in healthy individuals","URL":"https://search.ebscohost.com/login.aspx?direct=true&amp;db=psyh&amp;AN=2018-60742-001&amp;site=ehost-live&amp;authtype=sso&amp;custid=s9814295","volume":"12","author":[{"family":"Wu","given":"Xiaoling"},{"family":"Xu","given":"Feifei"},{"family":"Chen","given":"Xingui"},{"family":"Wang","given":"Lu"},{"family":"Huang","given":"Wanling"},{"family":"Wan","given":"Ke"},{"family":"Ji","given":"Gong-Jun"},{"family":"Xiao","given":"Guixian"},{"family":"Xu","given":"Sheng"},{"family":"Yu","given":"Fengqiong"},{"family":"Zhu","given":"Chunyan"},{"family":"Xi","given":"Chunhua"},{"family":"Wang","given":"Kai"}],"issued":{"date-parts":[["2018",11,12]]}}}],"schema":"https://github.com/citation-style-language/schema/raw/master/csl-citation.json"} </w:instrText>
      </w:r>
      <w:r w:rsidR="00B06443" w:rsidRPr="000309F2">
        <w:rPr>
          <w:rFonts w:ascii="Times New Roman" w:eastAsia="Calibri" w:hAnsi="Times New Roman" w:cs="Times New Roman"/>
          <w:color w:val="000000" w:themeColor="text1"/>
          <w:lang w:val="en-US"/>
        </w:rPr>
        <w:fldChar w:fldCharType="separate"/>
      </w:r>
      <w:r w:rsidR="00B06443" w:rsidRPr="000309F2">
        <w:rPr>
          <w:rFonts w:ascii="Times New Roman" w:hAnsi="Times New Roman" w:cs="Times New Roman"/>
          <w:color w:val="000000" w:themeColor="text1"/>
          <w:kern w:val="0"/>
          <w:vertAlign w:val="superscript"/>
          <w:lang w:val="en-US"/>
        </w:rPr>
        <w:t>218,235,237,239,248,267</w:t>
      </w:r>
      <w:r w:rsidR="00B06443" w:rsidRPr="000309F2">
        <w:rPr>
          <w:rFonts w:ascii="Times New Roman" w:eastAsia="Calibri" w:hAnsi="Times New Roman" w:cs="Times New Roman"/>
          <w:color w:val="000000" w:themeColor="text1"/>
          <w:lang w:val="en-US"/>
        </w:rPr>
        <w:fldChar w:fldCharType="end"/>
      </w:r>
      <w:r w:rsidRPr="000309F2">
        <w:rPr>
          <w:rFonts w:ascii="Times New Roman" w:eastAsia="Calibri" w:hAnsi="Times New Roman" w:cs="Times New Roman"/>
          <w:color w:val="000000" w:themeColor="text1"/>
          <w:lang w:val="en-US"/>
        </w:rPr>
        <w:t>. Bilateral</w:t>
      </w:r>
      <w:r w:rsidR="000C4185" w:rsidRPr="000309F2">
        <w:rPr>
          <w:rFonts w:ascii="Times New Roman" w:eastAsia="Calibri" w:hAnsi="Times New Roman" w:cs="Times New Roman"/>
          <w:color w:val="000000" w:themeColor="text1"/>
          <w:lang w:val="en-US"/>
        </w:rPr>
        <w:t xml:space="preserve"> bipolar</w:t>
      </w:r>
      <w:r w:rsidRPr="000309F2">
        <w:rPr>
          <w:rFonts w:ascii="Times New Roman" w:eastAsia="Calibri" w:hAnsi="Times New Roman" w:cs="Times New Roman"/>
          <w:color w:val="000000" w:themeColor="text1"/>
          <w:lang w:val="en-US"/>
        </w:rPr>
        <w:t xml:space="preserve"> tDCS</w:t>
      </w:r>
      <w:r w:rsidR="00660366" w:rsidRPr="000309F2">
        <w:rPr>
          <w:rFonts w:ascii="Times New Roman" w:eastAsia="Calibri" w:hAnsi="Times New Roman" w:cs="Times New Roman"/>
          <w:color w:val="000000" w:themeColor="text1"/>
          <w:lang w:val="en-US"/>
        </w:rPr>
        <w:t xml:space="preserve"> employs polar opposite electrodes</w:t>
      </w:r>
      <w:r w:rsidRPr="000309F2">
        <w:rPr>
          <w:rFonts w:ascii="Times New Roman" w:eastAsia="Calibri" w:hAnsi="Times New Roman" w:cs="Times New Roman"/>
          <w:color w:val="000000" w:themeColor="text1"/>
          <w:lang w:val="en-US"/>
        </w:rPr>
        <w:t xml:space="preserve"> </w:t>
      </w:r>
      <w:r w:rsidR="00EA4602" w:rsidRPr="000309F2">
        <w:rPr>
          <w:rFonts w:ascii="Times New Roman" w:eastAsia="Calibri" w:hAnsi="Times New Roman" w:cs="Times New Roman"/>
          <w:color w:val="000000" w:themeColor="text1"/>
          <w:lang w:val="en-US"/>
        </w:rPr>
        <w:t xml:space="preserve">over functionally relevant brain regions </w:t>
      </w:r>
      <w:r w:rsidR="00660366" w:rsidRPr="000309F2">
        <w:rPr>
          <w:rFonts w:ascii="Times New Roman" w:eastAsia="Calibri" w:hAnsi="Times New Roman" w:cs="Times New Roman"/>
          <w:color w:val="000000" w:themeColor="text1"/>
          <w:lang w:val="en-US"/>
        </w:rPr>
        <w:t>simultaneously</w:t>
      </w:r>
      <w:r w:rsidRPr="000309F2">
        <w:rPr>
          <w:rFonts w:ascii="Times New Roman" w:eastAsia="Calibri" w:hAnsi="Times New Roman" w:cs="Times New Roman"/>
          <w:color w:val="000000" w:themeColor="text1"/>
          <w:lang w:val="en-US"/>
        </w:rPr>
        <w:t>, while HD-tDCS uses a central</w:t>
      </w:r>
      <w:r w:rsidR="00660366" w:rsidRPr="000309F2">
        <w:rPr>
          <w:rFonts w:ascii="Times New Roman" w:eastAsia="Calibri" w:hAnsi="Times New Roman" w:cs="Times New Roman"/>
          <w:color w:val="000000" w:themeColor="text1"/>
          <w:lang w:val="en-US"/>
        </w:rPr>
        <w:t xml:space="preserve"> anode or cathode over the </w:t>
      </w:r>
      <w:r w:rsidR="00B06443" w:rsidRPr="000309F2">
        <w:rPr>
          <w:rFonts w:ascii="Times New Roman" w:eastAsia="Calibri" w:hAnsi="Times New Roman" w:cs="Times New Roman"/>
          <w:color w:val="000000" w:themeColor="text1"/>
          <w:lang w:val="en-US"/>
        </w:rPr>
        <w:t>ROI</w:t>
      </w:r>
      <w:r w:rsidR="00660366" w:rsidRPr="000309F2">
        <w:rPr>
          <w:rFonts w:ascii="Times New Roman" w:eastAsia="Calibri" w:hAnsi="Times New Roman" w:cs="Times New Roman"/>
          <w:color w:val="000000" w:themeColor="text1"/>
          <w:lang w:val="en-US"/>
        </w:rPr>
        <w:t xml:space="preserve"> surrounded by return</w:t>
      </w:r>
      <w:r w:rsidRPr="000309F2">
        <w:rPr>
          <w:rFonts w:ascii="Times New Roman" w:eastAsia="Calibri" w:hAnsi="Times New Roman" w:cs="Times New Roman"/>
          <w:color w:val="000000" w:themeColor="text1"/>
          <w:lang w:val="en-US"/>
        </w:rPr>
        <w:t xml:space="preserve"> electrodes with opposite polarity. </w:t>
      </w:r>
      <w:r w:rsidR="00EA4602" w:rsidRPr="000309F2">
        <w:rPr>
          <w:rFonts w:ascii="Times New Roman" w:eastAsia="Calibri" w:hAnsi="Times New Roman" w:cs="Times New Roman"/>
          <w:color w:val="000000" w:themeColor="text1"/>
          <w:lang w:val="en-US"/>
        </w:rPr>
        <w:t>As these protocols cannot be categori</w:t>
      </w:r>
      <w:r w:rsidR="00104379" w:rsidRPr="000309F2">
        <w:rPr>
          <w:rFonts w:ascii="Times New Roman" w:eastAsia="Calibri" w:hAnsi="Times New Roman" w:cs="Times New Roman"/>
          <w:color w:val="000000" w:themeColor="text1"/>
          <w:lang w:val="en-US"/>
        </w:rPr>
        <w:t>z</w:t>
      </w:r>
      <w:r w:rsidR="00EA4602" w:rsidRPr="000309F2">
        <w:rPr>
          <w:rFonts w:ascii="Times New Roman" w:eastAsia="Calibri" w:hAnsi="Times New Roman" w:cs="Times New Roman"/>
          <w:color w:val="000000" w:themeColor="text1"/>
          <w:lang w:val="en-US"/>
        </w:rPr>
        <w:t>ed as strictly anodal or cathodal</w:t>
      </w:r>
      <w:r w:rsidR="00104379" w:rsidRPr="000309F2">
        <w:rPr>
          <w:rFonts w:ascii="Times New Roman" w:eastAsia="Calibri" w:hAnsi="Times New Roman" w:cs="Times New Roman"/>
          <w:color w:val="000000" w:themeColor="text1"/>
          <w:lang w:val="en-US"/>
        </w:rPr>
        <w:t xml:space="preserve"> </w:t>
      </w:r>
      <w:r w:rsidR="00104379" w:rsidRPr="000309F2">
        <w:rPr>
          <w:rFonts w:ascii="Times New Roman" w:eastAsia="Calibri" w:hAnsi="Times New Roman" w:cs="Times New Roman"/>
          <w:color w:val="000000" w:themeColor="text1"/>
          <w:lang w:val="en-US"/>
        </w:rPr>
        <w:fldChar w:fldCharType="begin"/>
      </w:r>
      <w:r w:rsidR="00104379" w:rsidRPr="000309F2">
        <w:rPr>
          <w:rFonts w:ascii="Times New Roman" w:eastAsia="Calibri" w:hAnsi="Times New Roman" w:cs="Times New Roman"/>
          <w:color w:val="000000" w:themeColor="text1"/>
          <w:lang w:val="en-US"/>
        </w:rPr>
        <w:instrText xml:space="preserve"> ADDIN ZOTERO_ITEM CSL_CITATION {"citationID":"LPfHlcUp","properties":{"formattedCitation":"\\super 268\\nosupersub{}","plainCitation":"268","noteIndex":0},"citationItems":[{"id":1632,"uris":["http://zotero.org/users/local/ww4sk5CR/items/VGFFKH5K"],"itemData":{"id":1632,"type":"article-journal","container-title":"Neuromodulation","DOI":"10.1111/ner.12320","ISSN":"1094-7159","issue":"8","note":"publisher: Elsevier","page":"705-713","title":"On the Use of the Terms Anodal and Cathodal in High-Definition Transcranial Direct Current Stimulation: A Technical Note","volume":"18","author":[{"family":"Garnett","given":"Emily O."},{"family":"Malyutina","given":"Svetlana"},{"family":"Datta","given":"Abhishek"},{"family":"Ouden","given":"Dirk-Bart","non-dropping-particle":"den"}],"issued":{"date-parts":[["2015",12,1]]}}}],"schema":"https://github.com/citation-style-language/schema/raw/master/csl-citation.json"} </w:instrText>
      </w:r>
      <w:r w:rsidR="00104379" w:rsidRPr="000309F2">
        <w:rPr>
          <w:rFonts w:ascii="Times New Roman" w:eastAsia="Calibri" w:hAnsi="Times New Roman" w:cs="Times New Roman"/>
          <w:color w:val="000000" w:themeColor="text1"/>
          <w:lang w:val="en-US"/>
        </w:rPr>
        <w:fldChar w:fldCharType="separate"/>
      </w:r>
      <w:r w:rsidR="00104379" w:rsidRPr="000309F2">
        <w:rPr>
          <w:rFonts w:ascii="Times New Roman" w:hAnsi="Times New Roman" w:cs="Times New Roman"/>
          <w:color w:val="000000" w:themeColor="text1"/>
          <w:kern w:val="0"/>
          <w:vertAlign w:val="superscript"/>
          <w:lang w:val="en-US"/>
        </w:rPr>
        <w:t>268</w:t>
      </w:r>
      <w:r w:rsidR="00104379" w:rsidRPr="000309F2">
        <w:rPr>
          <w:rFonts w:ascii="Times New Roman" w:eastAsia="Calibri" w:hAnsi="Times New Roman" w:cs="Times New Roman"/>
          <w:color w:val="000000" w:themeColor="text1"/>
          <w:lang w:val="en-US"/>
        </w:rPr>
        <w:fldChar w:fldCharType="end"/>
      </w:r>
      <w:r w:rsidRPr="000309F2">
        <w:rPr>
          <w:rFonts w:ascii="Times New Roman" w:eastAsia="Calibri" w:hAnsi="Times New Roman" w:cs="Times New Roman"/>
          <w:color w:val="000000" w:themeColor="text1"/>
          <w:lang w:val="en-US"/>
        </w:rPr>
        <w:t xml:space="preserve">, we </w:t>
      </w:r>
      <w:r w:rsidR="00B06443" w:rsidRPr="000309F2">
        <w:rPr>
          <w:rFonts w:ascii="Times New Roman" w:eastAsia="Calibri" w:hAnsi="Times New Roman" w:cs="Times New Roman"/>
          <w:color w:val="000000" w:themeColor="text1"/>
          <w:lang w:val="en-US"/>
        </w:rPr>
        <w:t>categorized them separately</w:t>
      </w:r>
      <w:r w:rsidRPr="000309F2">
        <w:rPr>
          <w:rFonts w:ascii="Times New Roman" w:eastAsia="Calibri" w:hAnsi="Times New Roman" w:cs="Times New Roman"/>
          <w:color w:val="000000" w:themeColor="text1"/>
          <w:lang w:val="en-US"/>
        </w:rPr>
        <w:t xml:space="preserve"> for exploratory analyses.</w:t>
      </w:r>
    </w:p>
    <w:p w14:paraId="25C40138" w14:textId="0D880374" w:rsidR="00B06443" w:rsidRPr="000309F2" w:rsidRDefault="00B06443" w:rsidP="0006494C">
      <w:pPr>
        <w:spacing w:after="0" w:line="480" w:lineRule="auto"/>
        <w:jc w:val="left"/>
        <w:rPr>
          <w:rFonts w:ascii="Times New Roman" w:eastAsia="Calibri" w:hAnsi="Times New Roman" w:cs="Times New Roman"/>
          <w:i/>
          <w:iCs/>
          <w:color w:val="000000" w:themeColor="text1"/>
          <w:lang w:val="en-US"/>
        </w:rPr>
      </w:pPr>
      <w:r w:rsidRPr="000309F2">
        <w:rPr>
          <w:rFonts w:ascii="Times New Roman" w:eastAsia="Calibri" w:hAnsi="Times New Roman" w:cs="Times New Roman"/>
          <w:i/>
          <w:iCs/>
          <w:color w:val="000000" w:themeColor="text1"/>
          <w:lang w:val="en-US"/>
        </w:rPr>
        <w:t xml:space="preserve">Effects of </w:t>
      </w:r>
      <w:r w:rsidR="000C4185" w:rsidRPr="000309F2">
        <w:rPr>
          <w:rFonts w:ascii="Times New Roman" w:eastAsia="Calibri" w:hAnsi="Times New Roman" w:cs="Times New Roman"/>
          <w:i/>
          <w:iCs/>
          <w:color w:val="000000" w:themeColor="text1"/>
          <w:lang w:val="en-US"/>
        </w:rPr>
        <w:t xml:space="preserve">bipolar </w:t>
      </w:r>
      <w:r w:rsidRPr="000309F2">
        <w:rPr>
          <w:rFonts w:ascii="Times New Roman" w:eastAsia="Calibri" w:hAnsi="Times New Roman" w:cs="Times New Roman"/>
          <w:i/>
          <w:iCs/>
          <w:color w:val="000000" w:themeColor="text1"/>
          <w:lang w:val="en-US"/>
        </w:rPr>
        <w:t>tDCS</w:t>
      </w:r>
    </w:p>
    <w:p w14:paraId="0E23DE21" w14:textId="6139E86F" w:rsidR="00B06443" w:rsidRPr="000309F2" w:rsidRDefault="00B06443" w:rsidP="0006494C">
      <w:pPr>
        <w:spacing w:after="0" w:line="480" w:lineRule="auto"/>
        <w:jc w:val="left"/>
        <w:rPr>
          <w:rFonts w:ascii="Times New Roman" w:eastAsia="Calibri" w:hAnsi="Times New Roman" w:cs="Times New Roman"/>
          <w:color w:val="000000" w:themeColor="text1"/>
          <w:lang w:val="en-US"/>
        </w:rPr>
      </w:pPr>
      <w:r w:rsidRPr="000309F2">
        <w:rPr>
          <w:rFonts w:ascii="Times New Roman" w:eastAsia="Calibri" w:hAnsi="Times New Roman" w:cs="Times New Roman"/>
          <w:color w:val="000000" w:themeColor="text1"/>
          <w:lang w:val="en-US"/>
        </w:rPr>
        <w:t>A total of 9 s</w:t>
      </w:r>
      <w:r w:rsidR="0006494C" w:rsidRPr="000309F2">
        <w:rPr>
          <w:rFonts w:ascii="Times New Roman" w:eastAsia="Calibri" w:hAnsi="Times New Roman" w:cs="Times New Roman"/>
          <w:color w:val="000000" w:themeColor="text1"/>
          <w:lang w:val="en-US"/>
        </w:rPr>
        <w:t xml:space="preserve">tudies </w:t>
      </w:r>
      <w:r w:rsidRPr="000309F2">
        <w:rPr>
          <w:rFonts w:ascii="Times New Roman" w:eastAsia="Calibri" w:hAnsi="Times New Roman" w:cs="Times New Roman"/>
          <w:color w:val="000000" w:themeColor="text1"/>
          <w:lang w:val="en-US"/>
        </w:rPr>
        <w:t>(</w:t>
      </w:r>
      <w:r w:rsidR="005F2A91" w:rsidRPr="000309F2">
        <w:rPr>
          <w:rFonts w:ascii="Times New Roman" w:eastAsia="Calibri" w:hAnsi="Times New Roman" w:cs="Times New Roman"/>
          <w:color w:val="000000" w:themeColor="text1"/>
          <w:lang w:val="en-US"/>
        </w:rPr>
        <w:t>19</w:t>
      </w:r>
      <w:r w:rsidRPr="000309F2">
        <w:rPr>
          <w:rFonts w:ascii="Times New Roman" w:eastAsia="Calibri" w:hAnsi="Times New Roman" w:cs="Times New Roman"/>
          <w:color w:val="000000" w:themeColor="text1"/>
          <w:lang w:val="en-US"/>
        </w:rPr>
        <w:t xml:space="preserve"> effects) </w:t>
      </w:r>
      <w:r w:rsidR="0006494C" w:rsidRPr="000309F2">
        <w:rPr>
          <w:rFonts w:ascii="Times New Roman" w:eastAsia="Calibri" w:hAnsi="Times New Roman" w:cs="Times New Roman"/>
          <w:color w:val="000000" w:themeColor="text1"/>
          <w:lang w:val="en-US"/>
        </w:rPr>
        <w:t>us</w:t>
      </w:r>
      <w:r w:rsidRPr="000309F2">
        <w:rPr>
          <w:rFonts w:ascii="Times New Roman" w:eastAsia="Calibri" w:hAnsi="Times New Roman" w:cs="Times New Roman"/>
          <w:color w:val="000000" w:themeColor="text1"/>
          <w:lang w:val="en-US"/>
        </w:rPr>
        <w:t>ed</w:t>
      </w:r>
      <w:r w:rsidR="005F2A91" w:rsidRPr="000309F2">
        <w:rPr>
          <w:rFonts w:ascii="Times New Roman" w:eastAsia="Calibri" w:hAnsi="Times New Roman" w:cs="Times New Roman"/>
          <w:color w:val="000000" w:themeColor="text1"/>
          <w:lang w:val="en-US"/>
        </w:rPr>
        <w:t xml:space="preserve"> a</w:t>
      </w:r>
      <w:r w:rsidR="0006494C" w:rsidRPr="000309F2">
        <w:rPr>
          <w:rFonts w:ascii="Times New Roman" w:eastAsia="Calibri" w:hAnsi="Times New Roman" w:cs="Times New Roman"/>
          <w:color w:val="000000" w:themeColor="text1"/>
          <w:lang w:val="en-US"/>
        </w:rPr>
        <w:t xml:space="preserve"> </w:t>
      </w:r>
      <w:r w:rsidR="005F2A91" w:rsidRPr="000309F2">
        <w:rPr>
          <w:rFonts w:ascii="Times New Roman" w:eastAsia="Calibri" w:hAnsi="Times New Roman" w:cs="Times New Roman"/>
          <w:color w:val="000000" w:themeColor="text1"/>
          <w:lang w:val="en-US"/>
        </w:rPr>
        <w:t>bilateral bipolar</w:t>
      </w:r>
      <w:r w:rsidR="0006494C" w:rsidRPr="000309F2">
        <w:rPr>
          <w:rFonts w:ascii="Times New Roman" w:eastAsia="Calibri" w:hAnsi="Times New Roman" w:cs="Times New Roman"/>
          <w:color w:val="000000" w:themeColor="text1"/>
          <w:lang w:val="en-US"/>
        </w:rPr>
        <w:t xml:space="preserve"> tDCS</w:t>
      </w:r>
      <w:r w:rsidR="005F2A91" w:rsidRPr="000309F2">
        <w:rPr>
          <w:rFonts w:ascii="Times New Roman" w:eastAsia="Calibri" w:hAnsi="Times New Roman" w:cs="Times New Roman"/>
          <w:color w:val="000000" w:themeColor="text1"/>
          <w:lang w:val="en-US"/>
        </w:rPr>
        <w:t xml:space="preserve"> montage</w:t>
      </w:r>
      <w:r w:rsidRPr="000309F2">
        <w:rPr>
          <w:rFonts w:ascii="Times New Roman" w:eastAsia="Calibri" w:hAnsi="Times New Roman" w:cs="Times New Roman"/>
          <w:color w:val="000000" w:themeColor="text1"/>
          <w:lang w:val="en-US"/>
        </w:rPr>
        <w:t xml:space="preserve">, </w:t>
      </w:r>
      <w:r w:rsidR="0006494C" w:rsidRPr="000309F2">
        <w:rPr>
          <w:rFonts w:ascii="Times New Roman" w:eastAsia="Calibri" w:hAnsi="Times New Roman" w:cs="Times New Roman"/>
          <w:color w:val="000000" w:themeColor="text1"/>
          <w:lang w:val="en-US"/>
        </w:rPr>
        <w:t>typically targeting the DLPFC or OFC at stimulation intensities between 1.5–2 mA</w:t>
      </w:r>
      <w:r w:rsidRPr="000309F2">
        <w:rPr>
          <w:rFonts w:ascii="Times New Roman" w:eastAsia="Calibri" w:hAnsi="Times New Roman" w:cs="Times New Roman"/>
          <w:color w:val="000000" w:themeColor="text1"/>
          <w:lang w:val="en-US"/>
        </w:rPr>
        <w:t xml:space="preserve"> for around 15 to 33 min – with the exception of one study applying stimulation for only 5 min </w:t>
      </w:r>
      <w:r w:rsidRPr="000309F2">
        <w:rPr>
          <w:rFonts w:ascii="Times New Roman" w:eastAsia="Calibri" w:hAnsi="Times New Roman" w:cs="Times New Roman"/>
          <w:color w:val="000000" w:themeColor="text1"/>
          <w:lang w:val="en-US"/>
        </w:rPr>
        <w:fldChar w:fldCharType="begin"/>
      </w:r>
      <w:r w:rsidRPr="000309F2">
        <w:rPr>
          <w:rFonts w:ascii="Times New Roman" w:eastAsia="Calibri" w:hAnsi="Times New Roman" w:cs="Times New Roman"/>
          <w:color w:val="000000" w:themeColor="text1"/>
          <w:lang w:val="en-US"/>
        </w:rPr>
        <w:instrText xml:space="preserve"> ADDIN ZOTERO_ITEM CSL_CITATION {"citationID":"5HeFkwxy","properties":{"formattedCitation":"\\super 213\\nosupersub{}","plainCitation":"213","noteIndex":0},"citationItems":[{"id":720,"uris":["http://zotero.org/users/local/ww4sk5CR/items/ZXKQKCR8"],"itemData":{"id":720,"type":"article-journal","abstract":"Empathy for pain, a widely studied sub-form of empathy, is an ability to recognize and share the pain of others. It involves brain regions associated with the emotional component of pain. Recent studies found that emotional pain could be modulated by stimulating the dorsolateral prefrontal cortex (DLPFC) with transcranial direct current stimulation (tDCS). We hypothesized that tDCS of the DLPFC could modulate empathy for pain as well. In the present study, healthy subjects were asked to watch pictures depicting somebody under painful or non-painful conditions and to evaluate the pain intensity of others as well as their own pain-related unpleasantness before and after tDCS of the DLPFC. It was found that ratings for others’ pain increased in subjects with an anodal tDCS of the DLPFC in comparison to those with sham tDCS, indicating enhanced pain empathy with the anodal tDCS. Furthermore, the changes of ratings for others’ pain were positively correlated with the changes of pain-related self-unpleasantness. These findings indicate that tDCS could modulate pain empathy and be used as a potential tool for modulating diseases accompanied with empathy deficits.","container-title":"Neuroscience","DOI":"10.1016/j.neuroscience.2014.09.044","ISSN":"0306-4522","journalAbbreviation":"Neuroscience","page":"202-207","title":"Transcranial direct current stimulation of the dorsolateral prefrontal cortex increased pain empathy","volume":"281","author":[{"family":"Wang","given":"J."},{"family":"Wang","given":"Y."},{"family":"Hu","given":"Z."},{"family":"Li","given":"X."}],"issued":{"date-parts":[["2014",12,5]]}}}],"schema":"https://github.com/citation-style-language/schema/raw/master/csl-citation.json"} </w:instrText>
      </w:r>
      <w:r w:rsidRPr="000309F2">
        <w:rPr>
          <w:rFonts w:ascii="Times New Roman" w:eastAsia="Calibri" w:hAnsi="Times New Roman" w:cs="Times New Roman"/>
          <w:color w:val="000000" w:themeColor="text1"/>
          <w:lang w:val="en-US"/>
        </w:rPr>
        <w:fldChar w:fldCharType="separate"/>
      </w:r>
      <w:r w:rsidRPr="000309F2">
        <w:rPr>
          <w:rFonts w:ascii="Times New Roman" w:hAnsi="Times New Roman" w:cs="Times New Roman"/>
          <w:color w:val="000000" w:themeColor="text1"/>
          <w:kern w:val="0"/>
          <w:vertAlign w:val="superscript"/>
          <w:lang w:val="en-US"/>
        </w:rPr>
        <w:t>213</w:t>
      </w:r>
      <w:r w:rsidRPr="000309F2">
        <w:rPr>
          <w:rFonts w:ascii="Times New Roman" w:eastAsia="Calibri" w:hAnsi="Times New Roman" w:cs="Times New Roman"/>
          <w:color w:val="000000" w:themeColor="text1"/>
          <w:lang w:val="en-US"/>
        </w:rPr>
        <w:fldChar w:fldCharType="end"/>
      </w:r>
      <w:r w:rsidRPr="000309F2">
        <w:rPr>
          <w:rFonts w:ascii="Times New Roman" w:eastAsia="Calibri" w:hAnsi="Times New Roman" w:cs="Times New Roman"/>
          <w:color w:val="000000" w:themeColor="text1"/>
          <w:lang w:val="en-US"/>
        </w:rPr>
        <w:t xml:space="preserve">. </w:t>
      </w:r>
      <w:r w:rsidR="004128F0" w:rsidRPr="000309F2">
        <w:rPr>
          <w:rFonts w:ascii="Times New Roman" w:eastAsia="Calibri" w:hAnsi="Times New Roman" w:cs="Times New Roman"/>
          <w:color w:val="000000" w:themeColor="text1"/>
          <w:lang w:val="en-US"/>
        </w:rPr>
        <w:t xml:space="preserve">Overall, the evidence for modulation of socio-affective outcomes is mixed. For empathy, </w:t>
      </w:r>
      <w:r w:rsidR="00AB0973">
        <w:rPr>
          <w:rFonts w:ascii="Times New Roman" w:eastAsia="Calibri" w:hAnsi="Times New Roman" w:cs="Times New Roman"/>
          <w:color w:val="000000" w:themeColor="text1"/>
          <w:lang w:val="en-US"/>
        </w:rPr>
        <w:t xml:space="preserve">studies have shown both positive </w:t>
      </w:r>
      <w:r w:rsidR="00AB0973" w:rsidRPr="000309F2">
        <w:rPr>
          <w:rFonts w:ascii="Times New Roman" w:eastAsia="Calibri" w:hAnsi="Times New Roman" w:cs="Times New Roman"/>
          <w:color w:val="000000" w:themeColor="text1"/>
          <w:lang w:val="en-US"/>
        </w:rPr>
        <w:fldChar w:fldCharType="begin"/>
      </w:r>
      <w:r w:rsidR="00AB0973" w:rsidRPr="000309F2">
        <w:rPr>
          <w:rFonts w:ascii="Times New Roman" w:eastAsia="Calibri" w:hAnsi="Times New Roman" w:cs="Times New Roman"/>
          <w:color w:val="000000" w:themeColor="text1"/>
          <w:lang w:val="en-US"/>
        </w:rPr>
        <w:instrText xml:space="preserve"> ADDIN ZOTERO_ITEM CSL_CITATION {"citationID":"nNrsfXMk","properties":{"formattedCitation":"\\super 213\\nosupersub{}","plainCitation":"213","noteIndex":0},"citationItems":[{"id":720,"uris":["http://zotero.org/users/local/ww4sk5CR/items/ZXKQKCR8"],"itemData":{"id":720,"type":"article-journal","abstract":"Empathy for pain, a widely studied sub-form of empathy, is an ability to recognize and share the pain of others. It involves brain regions associated with the emotional component of pain. Recent studies found that emotional pain could be modulated by stimulating the dorsolateral prefrontal cortex (DLPFC) with transcranial direct current stimulation (tDCS). We hypothesized that tDCS of the DLPFC could modulate empathy for pain as well. In the present study, healthy subjects were asked to watch pictures depicting somebody under painful or non-painful conditions and to evaluate the pain intensity of others as well as their own pain-related unpleasantness before and after tDCS of the DLPFC. It was found that ratings for others’ pain increased in subjects with an anodal tDCS of the DLPFC in comparison to those with sham tDCS, indicating enhanced pain empathy with the anodal tDCS. Furthermore, the changes of ratings for others’ pain were positively correlated with the changes of pain-related self-unpleasantness. These findings indicate that tDCS could modulate pain empathy and be used as a potential tool for modulating diseases accompanied with empathy deficits.","container-title":"Neuroscience","DOI":"10.1016/j.neuroscience.2014.09.044","ISSN":"0306-4522","journalAbbreviation":"Neuroscience","page":"202-207","title":"Transcranial direct current stimulation of the dorsolateral prefrontal cortex increased pain empathy","volume":"281","author":[{"family":"Wang","given":"J."},{"family":"Wang","given":"Y."},{"family":"Hu","given":"Z."},{"family":"Li","given":"X."}],"issued":{"date-parts":[["2014",12,5]]}}}],"schema":"https://github.com/citation-style-language/schema/raw/master/csl-citation.json"} </w:instrText>
      </w:r>
      <w:r w:rsidR="00AB0973" w:rsidRPr="000309F2">
        <w:rPr>
          <w:rFonts w:ascii="Times New Roman" w:eastAsia="Calibri" w:hAnsi="Times New Roman" w:cs="Times New Roman"/>
          <w:color w:val="000000" w:themeColor="text1"/>
          <w:lang w:val="en-US"/>
        </w:rPr>
        <w:fldChar w:fldCharType="separate"/>
      </w:r>
      <w:r w:rsidR="00AB0973" w:rsidRPr="000309F2">
        <w:rPr>
          <w:rFonts w:ascii="Times New Roman" w:hAnsi="Times New Roman" w:cs="Times New Roman"/>
          <w:color w:val="000000" w:themeColor="text1"/>
          <w:kern w:val="0"/>
          <w:vertAlign w:val="superscript"/>
          <w:lang w:val="en-US"/>
        </w:rPr>
        <w:t>213</w:t>
      </w:r>
      <w:r w:rsidR="00AB0973" w:rsidRPr="000309F2">
        <w:rPr>
          <w:rFonts w:ascii="Times New Roman" w:eastAsia="Calibri" w:hAnsi="Times New Roman" w:cs="Times New Roman"/>
          <w:color w:val="000000" w:themeColor="text1"/>
          <w:lang w:val="en-US"/>
        </w:rPr>
        <w:fldChar w:fldCharType="end"/>
      </w:r>
      <w:r w:rsidR="00AB0973">
        <w:rPr>
          <w:rFonts w:ascii="Times New Roman" w:eastAsia="Calibri" w:hAnsi="Times New Roman" w:cs="Times New Roman"/>
          <w:color w:val="000000" w:themeColor="text1"/>
          <w:lang w:val="en-US"/>
        </w:rPr>
        <w:t xml:space="preserve"> and negative </w:t>
      </w:r>
      <w:r w:rsidR="00AB0973" w:rsidRPr="000309F2">
        <w:rPr>
          <w:rFonts w:ascii="Times New Roman" w:eastAsia="Calibri" w:hAnsi="Times New Roman" w:cs="Times New Roman"/>
          <w:color w:val="000000" w:themeColor="text1"/>
          <w:lang w:val="en-US"/>
        </w:rPr>
        <w:fldChar w:fldCharType="begin"/>
      </w:r>
      <w:r w:rsidR="00AB0973" w:rsidRPr="000309F2">
        <w:rPr>
          <w:rFonts w:ascii="Times New Roman" w:eastAsia="Calibri" w:hAnsi="Times New Roman" w:cs="Times New Roman"/>
          <w:color w:val="000000" w:themeColor="text1"/>
          <w:lang w:val="en-US"/>
        </w:rPr>
        <w:instrText xml:space="preserve"> ADDIN ZOTERO_ITEM CSL_CITATION {"citationID":"j8NEaRci","properties":{"formattedCitation":"\\super 225\\nosupersub{}","plainCitation":"225","noteIndex":0},"citationItems":[{"id":717,"uris":["http://zotero.org/users/local/ww4sk5CR/items/W8X5ELS6"],"itemData":{"id":717,"type":"article-journal","abstract":"The dorsolateral prefrontal cortex (DLPFC) is involved in the cognitive appraisal and modulation of the pain experience. In this sham-controlled study, with healthy volunteers, we used bi-hemispheric transcranial direct current stimulation (tDCS) over the DLPFC to assess emotional reactions elicited by pain observation. Left-cathodal/right-anodal tDCS decreased valence and arousal evaluations compared to other tDCS conditions. Compared to sham condition, both left-cathodal/right-anodal and left-anodal/right-cathodal tDCS decreased hostility, sadness and self-pain perception. These decreased sensations after both active tDCS suggest a common role for left and right DLPFC in personal distress modulation. However, the differences in arousal and valence evaluations point to distinct roles of lateralized DLPFC in cognitive empathy, probably through distinct emotion regulation mechanisms.","container-title":"Neuroscience Letters","DOI":"10.1016/j.neulet.2015.03.042","ISSN":"0304-3940","journalAbbreviation":"Neuroscience Letters","page":"12-16","title":"Hemispheric dorsolateral prefrontal cortex lateralization in the regulation of empathy for pain","volume":"594","author":[{"family":"Rêgo","given":"Gabriel G."},{"family":"Lapenta","given":"Olívia M."},{"family":"Marques","given":"Lucas M."},{"family":"Costa","given":"Thiago L."},{"family":"Leite","given":"Jorge"},{"family":"Carvalho","given":"Sandra"},{"family":"Gonçalves","given":"Óscar F."},{"family":"Brunoni","given":"André R."},{"family":"Fregni","given":"Felipe"},{"family":"Boggio","given":"Paulo S."}],"issued":{"date-parts":[["2015",5,6]]}}}],"schema":"https://github.com/citation-style-language/schema/raw/master/csl-citation.json"} </w:instrText>
      </w:r>
      <w:r w:rsidR="00AB0973" w:rsidRPr="000309F2">
        <w:rPr>
          <w:rFonts w:ascii="Times New Roman" w:eastAsia="Calibri" w:hAnsi="Times New Roman" w:cs="Times New Roman"/>
          <w:color w:val="000000" w:themeColor="text1"/>
          <w:lang w:val="en-US"/>
        </w:rPr>
        <w:fldChar w:fldCharType="separate"/>
      </w:r>
      <w:r w:rsidR="00AB0973" w:rsidRPr="000309F2">
        <w:rPr>
          <w:rFonts w:ascii="Times New Roman" w:hAnsi="Times New Roman" w:cs="Times New Roman"/>
          <w:color w:val="000000" w:themeColor="text1"/>
          <w:kern w:val="0"/>
          <w:vertAlign w:val="superscript"/>
          <w:lang w:val="en-US"/>
        </w:rPr>
        <w:t>225</w:t>
      </w:r>
      <w:r w:rsidR="00AB0973" w:rsidRPr="000309F2">
        <w:rPr>
          <w:rFonts w:ascii="Times New Roman" w:eastAsia="Calibri" w:hAnsi="Times New Roman" w:cs="Times New Roman"/>
          <w:color w:val="000000" w:themeColor="text1"/>
          <w:lang w:val="en-US"/>
        </w:rPr>
        <w:fldChar w:fldCharType="end"/>
      </w:r>
      <w:r w:rsidR="00AB0973">
        <w:rPr>
          <w:rFonts w:ascii="Times New Roman" w:eastAsia="Calibri" w:hAnsi="Times New Roman" w:cs="Times New Roman"/>
          <w:color w:val="000000" w:themeColor="text1"/>
          <w:lang w:val="en-US"/>
        </w:rPr>
        <w:t xml:space="preserve"> effects on affective resonance following</w:t>
      </w:r>
      <w:r w:rsidR="00AB0973" w:rsidRPr="000309F2">
        <w:rPr>
          <w:rFonts w:ascii="Times New Roman" w:eastAsia="Calibri" w:hAnsi="Times New Roman" w:cs="Times New Roman"/>
          <w:color w:val="000000" w:themeColor="text1"/>
          <w:lang w:val="en-US"/>
        </w:rPr>
        <w:t xml:space="preserve"> left-anodal/right-cathodal DLPFC stimulation</w:t>
      </w:r>
      <w:r w:rsidR="00AB0973">
        <w:rPr>
          <w:rFonts w:ascii="Times New Roman" w:eastAsia="Calibri" w:hAnsi="Times New Roman" w:cs="Times New Roman"/>
          <w:color w:val="000000" w:themeColor="text1"/>
          <w:lang w:val="en-US"/>
        </w:rPr>
        <w:t>,</w:t>
      </w:r>
      <w:r w:rsidR="00AB0973" w:rsidRPr="000309F2">
        <w:rPr>
          <w:rFonts w:ascii="Times New Roman" w:eastAsia="Calibri" w:hAnsi="Times New Roman" w:cs="Times New Roman"/>
          <w:color w:val="000000" w:themeColor="text1"/>
          <w:lang w:val="en-US"/>
        </w:rPr>
        <w:t xml:space="preserve"> whereas right-anodal/left-cathodal</w:t>
      </w:r>
      <w:r w:rsidR="00AB0973" w:rsidRPr="00AB0973">
        <w:rPr>
          <w:rFonts w:ascii="Times New Roman" w:eastAsia="Calibri" w:hAnsi="Times New Roman" w:cs="Times New Roman"/>
          <w:color w:val="000000" w:themeColor="text1"/>
          <w:lang w:val="en-US"/>
        </w:rPr>
        <w:t xml:space="preserve"> </w:t>
      </w:r>
      <w:r w:rsidR="00AB0973" w:rsidRPr="000309F2">
        <w:rPr>
          <w:rFonts w:ascii="Times New Roman" w:eastAsia="Calibri" w:hAnsi="Times New Roman" w:cs="Times New Roman"/>
          <w:color w:val="000000" w:themeColor="text1"/>
          <w:lang w:val="en-US"/>
        </w:rPr>
        <w:fldChar w:fldCharType="begin"/>
      </w:r>
      <w:r w:rsidR="00AB0973" w:rsidRPr="000309F2">
        <w:rPr>
          <w:rFonts w:ascii="Times New Roman" w:eastAsia="Calibri" w:hAnsi="Times New Roman" w:cs="Times New Roman"/>
          <w:color w:val="000000" w:themeColor="text1"/>
          <w:lang w:val="en-US"/>
        </w:rPr>
        <w:instrText xml:space="preserve"> ADDIN ZOTERO_ITEM CSL_CITATION {"citationID":"OkZkLdg1","properties":{"formattedCitation":"\\super 213,225\\nosupersub{}","plainCitation":"213,225","noteIndex":0},"citationItems":[{"id":720,"uris":["http://zotero.org/users/local/ww4sk5CR/items/ZXKQKCR8"],"itemData":{"id":720,"type":"article-journal","abstract":"Empathy for pain, a widely studied sub-form of empathy, is an ability to recognize and share the pain of others. It involves brain regions associated with the emotional component of pain. Recent studies found that emotional pain could be modulated by stimulating the dorsolateral prefrontal cortex (DLPFC) with transcranial direct current stimulation (tDCS). We hypothesized that tDCS of the DLPFC could modulate empathy for pain as well. In the present study, healthy subjects were asked to watch pictures depicting somebody under painful or non-painful conditions and to evaluate the pain intensity of others as well as their own pain-related unpleasantness before and after tDCS of the DLPFC. It was found that ratings for others’ pain increased in subjects with an anodal tDCS of the DLPFC in comparison to those with sham tDCS, indicating enhanced pain empathy with the anodal tDCS. Furthermore, the changes of ratings for others’ pain were positively correlated with the changes of pain-related self-unpleasantness. These findings indicate that tDCS could modulate pain empathy and be used as a potential tool for modulating diseases accompanied with empathy deficits.","container-title":"Neuroscience","DOI":"10.1016/j.neuroscience.2014.09.044","ISSN":"0306-4522","journalAbbreviation":"Neuroscience","page":"202-207","title":"Transcranial direct current stimulation of the dorsolateral prefrontal cortex increased pain empathy","volume":"281","author":[{"family":"Wang","given":"J."},{"family":"Wang","given":"Y."},{"family":"Hu","given":"Z."},{"family":"Li","given":"X."}],"issued":{"date-parts":[["2014",12,5]]}}},{"id":717,"uris":["http://zotero.org/users/local/ww4sk5CR/items/W8X5ELS6"],"itemData":{"id":717,"type":"article-journal","abstract":"The dorsolateral prefrontal cortex (DLPFC) is involved in the cognitive appraisal and modulation of the pain experience. In this sham-controlled study, with healthy volunteers, we used bi-hemispheric transcranial direct current stimulation (tDCS) over the DLPFC to assess emotional reactions elicited by pain observation. Left-cathodal/right-anodal tDCS decreased valence and arousal evaluations compared to other tDCS conditions. Compared to sham condition, both left-cathodal/right-anodal and left-anodal/right-cathodal tDCS decreased hostility, sadness and self-pain perception. These decreased sensations after both active tDCS suggest a common role for left and right DLPFC in personal distress modulation. However, the differences in arousal and valence evaluations point to distinct roles of lateralized DLPFC in cognitive empathy, probably through distinct emotion regulation mechanisms.","container-title":"Neuroscience Letters","DOI":"10.1016/j.neulet.2015.03.042","ISSN":"0304-3940","journalAbbreviation":"Neuroscience Letters","page":"12-16","title":"Hemispheric dorsolateral prefrontal cortex lateralization in the regulation of empathy for pain","volume":"594","author":[{"family":"Rêgo","given":"Gabriel G."},{"family":"Lapenta","given":"Olívia M."},{"family":"Marques","given":"Lucas M."},{"family":"Costa","given":"Thiago L."},{"family":"Leite","given":"Jorge"},{"family":"Carvalho","given":"Sandra"},{"family":"Gonçalves","given":"Óscar F."},{"family":"Brunoni","given":"André R."},{"family":"Fregni","given":"Felipe"},{"family":"Boggio","given":"Paulo S."}],"issued":{"date-parts":[["2015",5,6]]}}}],"schema":"https://github.com/citation-style-language/schema/raw/master/csl-citation.json"} </w:instrText>
      </w:r>
      <w:r w:rsidR="00AB0973" w:rsidRPr="000309F2">
        <w:rPr>
          <w:rFonts w:ascii="Times New Roman" w:eastAsia="Calibri" w:hAnsi="Times New Roman" w:cs="Times New Roman"/>
          <w:color w:val="000000" w:themeColor="text1"/>
          <w:lang w:val="en-US"/>
        </w:rPr>
        <w:fldChar w:fldCharType="separate"/>
      </w:r>
      <w:r w:rsidR="00AB0973" w:rsidRPr="000309F2">
        <w:rPr>
          <w:rFonts w:ascii="Times New Roman" w:hAnsi="Times New Roman" w:cs="Times New Roman"/>
          <w:color w:val="000000" w:themeColor="text1"/>
          <w:kern w:val="0"/>
          <w:vertAlign w:val="superscript"/>
          <w:lang w:val="en-US"/>
        </w:rPr>
        <w:t>213,225</w:t>
      </w:r>
      <w:r w:rsidR="00AB0973" w:rsidRPr="000309F2">
        <w:rPr>
          <w:rFonts w:ascii="Times New Roman" w:eastAsia="Calibri" w:hAnsi="Times New Roman" w:cs="Times New Roman"/>
          <w:color w:val="000000" w:themeColor="text1"/>
          <w:lang w:val="en-US"/>
        </w:rPr>
        <w:fldChar w:fldCharType="end"/>
      </w:r>
      <w:r w:rsidR="00AB0973">
        <w:rPr>
          <w:rFonts w:ascii="Times New Roman" w:eastAsia="Calibri" w:hAnsi="Times New Roman" w:cs="Times New Roman"/>
          <w:color w:val="000000" w:themeColor="text1"/>
          <w:lang w:val="en-US"/>
        </w:rPr>
        <w:t xml:space="preserve"> and </w:t>
      </w:r>
      <w:r w:rsidR="004128F0" w:rsidRPr="000309F2">
        <w:rPr>
          <w:rFonts w:ascii="Times New Roman" w:eastAsia="Calibri" w:hAnsi="Times New Roman" w:cs="Times New Roman"/>
          <w:color w:val="000000" w:themeColor="text1"/>
          <w:lang w:val="en-US"/>
        </w:rPr>
        <w:t>bilateral DLPFC stimulation</w:t>
      </w:r>
      <w:r w:rsidR="009D5C77" w:rsidRPr="000309F2">
        <w:rPr>
          <w:rFonts w:ascii="Times New Roman" w:eastAsia="Calibri" w:hAnsi="Times New Roman" w:cs="Times New Roman"/>
          <w:color w:val="000000" w:themeColor="text1"/>
          <w:lang w:val="en-US"/>
        </w:rPr>
        <w:t xml:space="preserve"> </w:t>
      </w:r>
      <w:r w:rsidR="009D5C77" w:rsidRPr="000309F2">
        <w:rPr>
          <w:rFonts w:ascii="Times New Roman" w:eastAsia="Calibri" w:hAnsi="Times New Roman" w:cs="Times New Roman"/>
          <w:color w:val="000000" w:themeColor="text1"/>
          <w:lang w:val="en-US"/>
        </w:rPr>
        <w:fldChar w:fldCharType="begin"/>
      </w:r>
      <w:r w:rsidR="009D5C77" w:rsidRPr="000309F2">
        <w:rPr>
          <w:rFonts w:ascii="Times New Roman" w:eastAsia="Calibri" w:hAnsi="Times New Roman" w:cs="Times New Roman"/>
          <w:color w:val="000000" w:themeColor="text1"/>
          <w:lang w:val="en-US"/>
        </w:rPr>
        <w:instrText xml:space="preserve"> ADDIN ZOTERO_ITEM CSL_CITATION {"citationID":"frYLfMRn","properties":{"formattedCitation":"\\super 208,236\\nosupersub{}","plainCitation":"208,236","noteIndex":0},"citationItems":[{"id":716,"uris":["http://zotero.org/users/local/ww4sk5CR/items/RL2ZCGXA"],"itemData":{"id":716,"type":"article-journal","abstract":"Summary\nRecent evidence has supported the notion that the hypothalamic-pituitary-adrenal (HPA) and the sympatho-adreno-medullary (SAM) systems are modulated by cortical structures such as the prefrontal cortex. This top-down modulation may play a major role in the neuroendocrine changes associated with stressful events. We aimed to investigate further this hypothesis by modulating directly prefrontal cortex excitability using transcranial direct current stimulation (tDCS) – a non-invasive, neuromodulatory tool that induces polarity-dependent changes in cortical excitability – and measuring effects on salivary cortisol and heart rate variability as proxies of the HPA and SAM systems. Twenty healthy participants with no clinical and neuropsychiatric conditions were randomized to receive bifrontal tDCS (left anodal/right cathodal or left cathodal/right anodal) or sham stimulation, in a within-subject design. During each stimulation session, after a resting period, subjects were shown images with neutral or negative valence. Our findings showed that excitability enhancing left anodal tDCS induced a decrease in cortisol levels. This effect is more pronounced during emotional negative stimuli. Moreover, vagal activity was higher during left anodal tDCS and emotional negative stimuli, as compared to sham stimulation and neutral images. We also observed an association between higher mood scores, higher vagal activation and lower cortisol levels for anodal stimulation. Subjective mood and anxiety evaluation revealed no specific changes after stimulation. Our findings suggest that tDCS induced transient, polarity specific modulatory top-down effects with anodal tDCS leading to a down-regulation of HPA and SAM systems. Further research using tDCS and neuroendocrine markers should explore the mechanisms of stress regulation in healthy and clinical samples.","container-title":"Psychoneuroendocrinology","DOI":"10.1016/j.psyneuen.2012.04.020","ISSN":"0306-4530","issue":"1","journalAbbreviation":"Psychoneuroendocrinology","page":"58-66","title":"Polarity- and valence-dependent effects of prefrontal transcranial direct current stimulation on heart rate variability and salivary cortisol","volume":"38","author":[{"family":"Brunoni","given":"Andre R."},{"family":"Vanderhasselt","given":"Marie-Anne"},{"family":"Boggio","given":"Paulo S."},{"family":"Fregni","given":"Felipe"},{"family":"Dantas","given":"Eduardo Miranda"},{"family":"Mill","given":"José G."},{"family":"Lotufo","given":"Paulo A."},{"family":"Benseñor","given":"Isabela M."}],"issued":{"date-parts":[["2013",1,1]]}}},{"id":146,"uris":["http://zotero.org/users/local/ww4sk5CR/items/8AY7BDF8"],"itemData":{"id":146,"type":"article-journal","abstract":"Previous studies suggest the dorsolateral prefrontal cortex (DLPFC) is involved in processing of empathic concern. This has not been experimentally tested to date. We tested the hypotheses that electrical potentiation in the right DLPFC would be associated with increased empathic concern and prosocial behavior. Participants were randomly allocated to one of three transcranial Direct Current Stimulation (tDCS) conditions: (a) relative right potentiation, (b) relative left potentiation, and (c) sham. Participants viewed images of African children in distressing circumstances, and completed measures of empathic concern pre- and post-tDCS manipulation. Contrary to our prediction, neither effects, nor interactions of heightened empathic concern were observed. These results conflict with previous studies using this bilateral tDCS montage. Explanations could be that stimulation used in this study had been simply too weak (1.5 mA). Alternatively, the area of the DLPFC involved in emotion regulation is closer to the cortex than the area involved in empathic concern, and more easily potentiated by tDCS. Therefore, the DLPFC potentiation in the present study may have linked empathic concern with adaptive emotion regulation strategies. Future research could examine this possibility using measures of emotion regulation and higher fidelity neurostimulation (e.g., repetitive Transcranial Magnetic Stimulation [rTMS]). (PsycINFO Database Record (c) 2019 APA, all rights reserved)","archive":"psyh","archive_location":"2018-01935-004","container-title":"Social Neuroscience","DOI":"10.1080/17470919.2016.1273133","ISSN":"1747-0919","issue":"2","journalAbbreviation":"Social Neuroscience","note":"publisher: Taylor &amp; Francis","page":"190-201","source":"EBSCOhost","title":"tDCS potentiation provides no evidence for a link between right dorsal–lateral prefrontal cortical activity and empathic responding","volume":"13","author":[{"family":"Snowdon","given":"Marion E."},{"family":"Cathcart","given":"Stuart"}],"issued":{"date-parts":[["2018",3]]}}}],"schema":"https://github.com/citation-style-language/schema/raw/master/csl-citation.json"} </w:instrText>
      </w:r>
      <w:r w:rsidR="009D5C77" w:rsidRPr="000309F2">
        <w:rPr>
          <w:rFonts w:ascii="Times New Roman" w:eastAsia="Calibri" w:hAnsi="Times New Roman" w:cs="Times New Roman"/>
          <w:color w:val="000000" w:themeColor="text1"/>
          <w:lang w:val="en-US"/>
        </w:rPr>
        <w:fldChar w:fldCharType="separate"/>
      </w:r>
      <w:r w:rsidR="009D5C77" w:rsidRPr="000309F2">
        <w:rPr>
          <w:rFonts w:ascii="Times New Roman" w:hAnsi="Times New Roman" w:cs="Times New Roman"/>
          <w:color w:val="000000" w:themeColor="text1"/>
          <w:kern w:val="0"/>
          <w:vertAlign w:val="superscript"/>
          <w:lang w:val="en-US"/>
        </w:rPr>
        <w:t>208,236</w:t>
      </w:r>
      <w:r w:rsidR="009D5C77" w:rsidRPr="000309F2">
        <w:rPr>
          <w:rFonts w:ascii="Times New Roman" w:eastAsia="Calibri" w:hAnsi="Times New Roman" w:cs="Times New Roman"/>
          <w:color w:val="000000" w:themeColor="text1"/>
          <w:lang w:val="en-US"/>
        </w:rPr>
        <w:fldChar w:fldCharType="end"/>
      </w:r>
      <w:r w:rsidR="00AB0973">
        <w:rPr>
          <w:rFonts w:ascii="Times New Roman" w:eastAsia="Calibri" w:hAnsi="Times New Roman" w:cs="Times New Roman"/>
          <w:color w:val="000000" w:themeColor="text1"/>
          <w:lang w:val="en-US"/>
        </w:rPr>
        <w:t xml:space="preserve"> </w:t>
      </w:r>
      <w:r w:rsidR="004128F0" w:rsidRPr="000309F2">
        <w:rPr>
          <w:rFonts w:ascii="Times New Roman" w:eastAsia="Calibri" w:hAnsi="Times New Roman" w:cs="Times New Roman"/>
          <w:color w:val="000000" w:themeColor="text1"/>
          <w:lang w:val="en-US"/>
        </w:rPr>
        <w:t xml:space="preserve">showed </w:t>
      </w:r>
      <w:r w:rsidR="009D5C77" w:rsidRPr="000309F2">
        <w:rPr>
          <w:rFonts w:ascii="Times New Roman" w:eastAsia="Calibri" w:hAnsi="Times New Roman" w:cs="Times New Roman"/>
          <w:color w:val="000000" w:themeColor="text1"/>
          <w:lang w:val="en-US"/>
        </w:rPr>
        <w:t>no</w:t>
      </w:r>
      <w:r w:rsidR="004128F0" w:rsidRPr="000309F2">
        <w:rPr>
          <w:rFonts w:ascii="Times New Roman" w:eastAsia="Calibri" w:hAnsi="Times New Roman" w:cs="Times New Roman"/>
          <w:color w:val="000000" w:themeColor="text1"/>
          <w:lang w:val="en-US"/>
        </w:rPr>
        <w:t xml:space="preserve"> significant differences from sham</w:t>
      </w:r>
      <w:r w:rsidR="00AB0973">
        <w:rPr>
          <w:rFonts w:ascii="Times New Roman" w:eastAsia="Calibri" w:hAnsi="Times New Roman" w:cs="Times New Roman"/>
          <w:color w:val="000000" w:themeColor="text1"/>
          <w:lang w:val="en-US"/>
        </w:rPr>
        <w:t xml:space="preserve">. </w:t>
      </w:r>
      <w:r w:rsidR="004128F0" w:rsidRPr="000309F2">
        <w:rPr>
          <w:rFonts w:ascii="Times New Roman" w:eastAsia="Calibri" w:hAnsi="Times New Roman" w:cs="Times New Roman"/>
          <w:color w:val="000000" w:themeColor="text1"/>
          <w:lang w:val="en-US"/>
        </w:rPr>
        <w:t xml:space="preserve">Findings on prosocial behavior are similarly mixed. On one hand, left-anodal/right-cathodal </w:t>
      </w:r>
      <w:r w:rsidR="005F2A91" w:rsidRPr="000309F2">
        <w:rPr>
          <w:rFonts w:ascii="Times New Roman" w:eastAsia="Calibri" w:hAnsi="Times New Roman" w:cs="Times New Roman"/>
          <w:color w:val="000000" w:themeColor="text1"/>
          <w:lang w:val="en-US"/>
        </w:rPr>
        <w:t xml:space="preserve">stimulation to the </w:t>
      </w:r>
      <w:r w:rsidR="004128F0" w:rsidRPr="000309F2">
        <w:rPr>
          <w:rFonts w:ascii="Times New Roman" w:eastAsia="Calibri" w:hAnsi="Times New Roman" w:cs="Times New Roman"/>
          <w:color w:val="000000" w:themeColor="text1"/>
          <w:lang w:val="en-US"/>
        </w:rPr>
        <w:t>DLPFC</w:t>
      </w:r>
      <w:r w:rsidR="005F2A91" w:rsidRPr="000309F2">
        <w:rPr>
          <w:rFonts w:ascii="Times New Roman" w:eastAsia="Calibri" w:hAnsi="Times New Roman" w:cs="Times New Roman"/>
          <w:color w:val="000000" w:themeColor="text1"/>
          <w:lang w:val="en-US"/>
        </w:rPr>
        <w:t xml:space="preserve"> </w:t>
      </w:r>
      <w:r w:rsidR="005F2A91" w:rsidRPr="000309F2">
        <w:rPr>
          <w:rFonts w:ascii="Times New Roman" w:eastAsia="Calibri" w:hAnsi="Times New Roman" w:cs="Times New Roman"/>
          <w:color w:val="000000" w:themeColor="text1"/>
          <w:lang w:val="en-US"/>
        </w:rPr>
        <w:fldChar w:fldCharType="begin"/>
      </w:r>
      <w:r w:rsidR="005F2A91" w:rsidRPr="000309F2">
        <w:rPr>
          <w:rFonts w:ascii="Times New Roman" w:eastAsia="Calibri" w:hAnsi="Times New Roman" w:cs="Times New Roman"/>
          <w:color w:val="000000" w:themeColor="text1"/>
          <w:lang w:val="en-US"/>
        </w:rPr>
        <w:instrText xml:space="preserve"> ADDIN ZOTERO_ITEM CSL_CITATION {"citationID":"L12baJcV","properties":{"formattedCitation":"\\super 254\\nosupersub{}","plainCitation":"254","noteIndex":0},"citationItems":[{"id":718,"uris":["http://zotero.org/users/local/ww4sk5CR/items/XZL7CUTZ"],"itemData":{"id":718,"type":"article-journal","abstract":"Altruistic punishment of social norm violations plays a crucial role in maintaining widespread cooperation in human societies, and punitive behavior has been suggested to be related to the activity level of the dorsolateral prefrontal cortex (DLPFC). This study used unilateral and bilateral transcranial direct current stimulation (tDCS) to investigate how modulating the activity of the DLPFC affects cooperation and punishment in a 3-player prisoner’s dilemma. We found that none of the unilateral stimulations changed the participants’ cooperation behaviors, while left anodal/right cathodal stimulation increased the participants’ cooperation. For punitive behavior, we found that all unilateral stimulations (i.e., right anodal, right cathodal, left anodal, left cathodal) and bilateral stimulations (i.e., right anodal/left cathodal, left anodal/right cathodal) significantly decreased the punishment imposed by the cooperators toward the defectors. In addition, right anodal stimulation significantly decreased the participant’s third-party punishment (TPP) imposed by the cooperators toward the defectors. The other three unilateral stimulations also significantly decreased the participant’s TPP imposed by the cooperators toward the defectors, but only when the punishment was revealed to the punished person. Our findings indicate that the mechanisms of selfishness and negative emotions suggested by previous studies probably interact with different stimulations: for anodal stimulations, the mechanism of negative emotions may overwhelm the mechanism of selfishness, while for cathodal stimulations, the mechanism of selfishness may be more dominant than the mechanism of negative emotions.","container-title":"Frontiers in Neuroscience","ISSN":"1662-453X","journalAbbreviation":"Frontiers in Neuroscience","title":"Modulating Activity in the Dorsolateral Prefrontal Cortex Changes Punishment in the 3-Player Prisoner’s Dilemma: A Transcranial Direct Current Stimulation Study","URL":"https://www.frontiersin.org/journals/neuroscience/articles/10.3389/fnins.2019.01160","volume":"13","author":[{"family":"Chen","given":"Shu"},{"family":"Shi","given":"Jinchuan"},{"family":"Yang","given":"Xiaolan"},{"family":"Ye","given":"Hang"},{"family":"Luo","given":"Jun"}],"issued":{"date-parts":[["2019"]]}}}],"schema":"https://github.com/citation-style-language/schema/raw/master/csl-citation.json"} </w:instrText>
      </w:r>
      <w:r w:rsidR="005F2A91" w:rsidRPr="000309F2">
        <w:rPr>
          <w:rFonts w:ascii="Times New Roman" w:eastAsia="Calibri" w:hAnsi="Times New Roman" w:cs="Times New Roman"/>
          <w:color w:val="000000" w:themeColor="text1"/>
          <w:lang w:val="en-US"/>
        </w:rPr>
        <w:fldChar w:fldCharType="separate"/>
      </w:r>
      <w:r w:rsidR="005F2A91" w:rsidRPr="000309F2">
        <w:rPr>
          <w:rFonts w:ascii="Times New Roman" w:hAnsi="Times New Roman" w:cs="Times New Roman"/>
          <w:color w:val="000000" w:themeColor="text1"/>
          <w:kern w:val="0"/>
          <w:vertAlign w:val="superscript"/>
          <w:lang w:val="en-US"/>
        </w:rPr>
        <w:t>254</w:t>
      </w:r>
      <w:r w:rsidR="005F2A91" w:rsidRPr="000309F2">
        <w:rPr>
          <w:rFonts w:ascii="Times New Roman" w:eastAsia="Calibri" w:hAnsi="Times New Roman" w:cs="Times New Roman"/>
          <w:color w:val="000000" w:themeColor="text1"/>
          <w:lang w:val="en-US"/>
        </w:rPr>
        <w:fldChar w:fldCharType="end"/>
      </w:r>
      <w:r w:rsidR="005F2A91" w:rsidRPr="000309F2">
        <w:rPr>
          <w:rFonts w:ascii="Times New Roman" w:eastAsia="Calibri" w:hAnsi="Times New Roman" w:cs="Times New Roman"/>
          <w:color w:val="000000" w:themeColor="text1"/>
          <w:lang w:val="en-US"/>
        </w:rPr>
        <w:t xml:space="preserve"> and right-anodal/left-cathodal stimulation to the OFC </w:t>
      </w:r>
      <w:r w:rsidR="005F2A91" w:rsidRPr="000309F2">
        <w:rPr>
          <w:rFonts w:ascii="Times New Roman" w:eastAsia="Calibri" w:hAnsi="Times New Roman" w:cs="Times New Roman"/>
          <w:color w:val="000000" w:themeColor="text1"/>
          <w:lang w:val="en-US"/>
        </w:rPr>
        <w:fldChar w:fldCharType="begin"/>
      </w:r>
      <w:r w:rsidR="005F2A91" w:rsidRPr="000309F2">
        <w:rPr>
          <w:rFonts w:ascii="Times New Roman" w:eastAsia="Calibri" w:hAnsi="Times New Roman" w:cs="Times New Roman"/>
          <w:color w:val="000000" w:themeColor="text1"/>
          <w:lang w:val="en-US"/>
        </w:rPr>
        <w:instrText xml:space="preserve"> ADDIN ZOTERO_ITEM CSL_CITATION {"citationID":"fPBTzULr","properties":{"formattedCitation":"\\super 258\\nosupersub{}","plainCitation":"258","noteIndex":0},"citationItems":[{"id":102,"uris":["http://zotero.org/users/local/ww4sk5CR/items/LFU7WRQA"],"itemData":{"id":102,"type":"article-journal","abstract":"Trust is one of the most important factors in human society, as it pervades almost all domains of the society. The trusting behavior of trustors is dependent on the belief about the cooperative (reciprocal) level of trustees. Thence what are the motives underlying the cooperative behavior? An important explanation is that guilt aversion can motivate cooperative behavior. The right orbitofrontal cortex (OFC) is the guilt-specific region, while there is little understanding on the causal effect of this network. We explored the causal effect of the OFC on cooperative behavior using transcranial direct current stimulation (tDCS). Sixty participants played the trust game as trustees, and they received either anodal tDCS over the right OFC and simultaneously cathodal electrode over the right dorsolateral prefrontal cortex (DLPFC), or sham stimulation. Experimental results showed that participants as trustees transferred back more money in the tDCS treatment than sham stimulation. This suggests that the activity of the right OFC has causal effects on cooperative behavior. (PsycInfo Database Record (c) 2020 APA, all rights reserved)","archive":"psyh","archive_location":"2016-11636-010","container-title":"Behavioural Brain Research","DOI":"10.1016/j.bbr.2016.01.047","ISSN":"0166-4328","journalAbbreviation":"Behavioural Brain Research","note":"publisher: Elsevier Science","page":"71-75","source":"EBSCOhost","title":"Modulating activity in the orbitofrontal cortex changes trustees' cooperation: A transcranial direct current stimulation study","volume":"303","author":[{"family":"Wang","given":"Guangrong"},{"family":"Li","given":"Jianbiao"},{"family":"Yin","given":"Xile"},{"family":"Li","given":"Shuaiqi"},{"family":"Wei","given":"Mengxing"}],"issued":{"date-parts":[["2016",4,15]]}}}],"schema":"https://github.com/citation-style-language/schema/raw/master/csl-citation.json"} </w:instrText>
      </w:r>
      <w:r w:rsidR="005F2A91" w:rsidRPr="000309F2">
        <w:rPr>
          <w:rFonts w:ascii="Times New Roman" w:eastAsia="Calibri" w:hAnsi="Times New Roman" w:cs="Times New Roman"/>
          <w:color w:val="000000" w:themeColor="text1"/>
          <w:lang w:val="en-US"/>
        </w:rPr>
        <w:fldChar w:fldCharType="separate"/>
      </w:r>
      <w:r w:rsidR="005F2A91" w:rsidRPr="000309F2">
        <w:rPr>
          <w:rFonts w:ascii="Times New Roman" w:hAnsi="Times New Roman" w:cs="Times New Roman"/>
          <w:color w:val="000000" w:themeColor="text1"/>
          <w:kern w:val="0"/>
          <w:vertAlign w:val="superscript"/>
          <w:lang w:val="en-US"/>
        </w:rPr>
        <w:t>258</w:t>
      </w:r>
      <w:r w:rsidR="005F2A91" w:rsidRPr="000309F2">
        <w:rPr>
          <w:rFonts w:ascii="Times New Roman" w:eastAsia="Calibri" w:hAnsi="Times New Roman" w:cs="Times New Roman"/>
          <w:color w:val="000000" w:themeColor="text1"/>
          <w:lang w:val="en-US"/>
        </w:rPr>
        <w:fldChar w:fldCharType="end"/>
      </w:r>
      <w:r w:rsidR="005F2A91" w:rsidRPr="000309F2">
        <w:rPr>
          <w:rFonts w:ascii="Times New Roman" w:eastAsia="Calibri" w:hAnsi="Times New Roman" w:cs="Times New Roman"/>
          <w:color w:val="000000" w:themeColor="text1"/>
          <w:lang w:val="en-US"/>
        </w:rPr>
        <w:t xml:space="preserve"> </w:t>
      </w:r>
      <w:r w:rsidR="004128F0" w:rsidRPr="000309F2">
        <w:rPr>
          <w:rFonts w:ascii="Times New Roman" w:eastAsia="Calibri" w:hAnsi="Times New Roman" w:cs="Times New Roman"/>
          <w:color w:val="000000" w:themeColor="text1"/>
          <w:lang w:val="en-US"/>
        </w:rPr>
        <w:t>enhanced</w:t>
      </w:r>
      <w:r w:rsidR="005F2A91" w:rsidRPr="000309F2">
        <w:rPr>
          <w:rFonts w:ascii="Times New Roman" w:eastAsia="Calibri" w:hAnsi="Times New Roman" w:cs="Times New Roman"/>
          <w:color w:val="000000" w:themeColor="text1"/>
          <w:lang w:val="en-US"/>
        </w:rPr>
        <w:t xml:space="preserve"> cooperative behavior </w:t>
      </w:r>
      <w:r w:rsidR="004128F0" w:rsidRPr="000309F2">
        <w:rPr>
          <w:rFonts w:ascii="Times New Roman" w:eastAsia="Calibri" w:hAnsi="Times New Roman" w:cs="Times New Roman"/>
          <w:color w:val="000000" w:themeColor="text1"/>
          <w:lang w:val="en-US"/>
        </w:rPr>
        <w:t xml:space="preserve">relative to sham. By contrast, other montages produced no significant changes in cooperation or charitable giving </w:t>
      </w:r>
      <w:r w:rsidR="009D5C77" w:rsidRPr="000309F2">
        <w:rPr>
          <w:rFonts w:ascii="Times New Roman" w:eastAsia="Calibri" w:hAnsi="Times New Roman" w:cs="Times New Roman"/>
          <w:color w:val="000000" w:themeColor="text1"/>
          <w:lang w:val="en-US"/>
        </w:rPr>
        <w:fldChar w:fldCharType="begin"/>
      </w:r>
      <w:r w:rsidR="009D5C77" w:rsidRPr="000309F2">
        <w:rPr>
          <w:rFonts w:ascii="Times New Roman" w:eastAsia="Calibri" w:hAnsi="Times New Roman" w:cs="Times New Roman"/>
          <w:color w:val="000000" w:themeColor="text1"/>
          <w:lang w:val="en-US"/>
        </w:rPr>
        <w:instrText xml:space="preserve"> ADDIN ZOTERO_ITEM CSL_CITATION {"citationID":"3NvTjSPv","properties":{"formattedCitation":"\\super 236,258\\nosupersub{}","plainCitation":"236,258","noteIndex":0},"citationItems":[{"id":146,"uris":["http://zotero.org/users/local/ww4sk5CR/items/8AY7BDF8"],"itemData":{"id":146,"type":"article-journal","abstract":"Previous studies suggest the dorsolateral prefrontal cortex (DLPFC) is involved in processing of empathic concern. This has not been experimentally tested to date. We tested the hypotheses that electrical potentiation in the right DLPFC would be associated with increased empathic concern and prosocial behavior. Participants were randomly allocated to one of three transcranial Direct Current Stimulation (tDCS) conditions: (a) relative right potentiation, (b) relative left potentiation, and (c) sham. Participants viewed images of African children in distressing circumstances, and completed measures of empathic concern pre- and post-tDCS manipulation. Contrary to our prediction, neither effects, nor interactions of heightened empathic concern were observed. These results conflict with previous studies using this bilateral tDCS montage. Explanations could be that stimulation used in this study had been simply too weak (1.5 mA). Alternatively, the area of the DLPFC involved in emotion regulation is closer to the cortex than the area involved in empathic concern, and more easily potentiated by tDCS. Therefore, the DLPFC potentiation in the present study may have linked empathic concern with adaptive emotion regulation strategies. Future research could examine this possibility using measures of emotion regulation and higher fidelity neurostimulation (e.g., repetitive Transcranial Magnetic Stimulation [rTMS]). (PsycINFO Database Record (c) 2019 APA, all rights reserved)","archive":"psyh","archive_location":"2018-01935-004","container-title":"Social Neuroscience","DOI":"10.1080/17470919.2016.1273133","ISSN":"1747-0919","issue":"2","journalAbbreviation":"Social Neuroscience","note":"publisher: Taylor &amp; Francis","page":"190-201","source":"EBSCOhost","title":"tDCS potentiation provides no evidence for a link between right dorsal–lateral prefrontal cortical activity and empathic responding","volume":"13","author":[{"family":"Snowdon","given":"Marion E."},{"family":"Cathcart","given":"Stuart"}],"issued":{"date-parts":[["2018",3]]}}},{"id":102,"uris":["http://zotero.org/users/local/ww4sk5CR/items/LFU7WRQA"],"itemData":{"id":102,"type":"article-journal","abstract":"Trust is one of the most important factors in human society, as it pervades almost all domains of the society. The trusting behavior of trustors is dependent on the belief about the cooperative (reciprocal) level of trustees. Thence what are the motives underlying the cooperative behavior? An important explanation is that guilt aversion can motivate cooperative behavior. The right orbitofrontal cortex (OFC) is the guilt-specific region, while there is little understanding on the causal effect of this network. We explored the causal effect of the OFC on cooperative behavior using transcranial direct current stimulation (tDCS). Sixty participants played the trust game as trustees, and they received either anodal tDCS over the right OFC and simultaneously cathodal electrode over the right dorsolateral prefrontal cortex (DLPFC), or sham stimulation. Experimental results showed that participants as trustees transferred back more money in the tDCS treatment than sham stimulation. This suggests that the activity of the right OFC has causal effects on cooperative behavior. (PsycInfo Database Record (c) 2020 APA, all rights reserved)","archive":"psyh","archive_location":"2016-11636-010","container-title":"Behavioural Brain Research","DOI":"10.1016/j.bbr.2016.01.047","ISSN":"0166-4328","journalAbbreviation":"Behavioural Brain Research","note":"publisher: Elsevier Science","page":"71-75","source":"EBSCOhost","title":"Modulating activity in the orbitofrontal cortex changes trustees' cooperation: A transcranial direct current stimulation study","volume":"303","author":[{"family":"Wang","given":"Guangrong"},{"family":"Li","given":"Jianbiao"},{"family":"Yin","given":"Xile"},{"family":"Li","given":"Shuaiqi"},{"family":"Wei","given":"Mengxing"}],"issued":{"date-parts":[["2016",4,15]]}}}],"schema":"https://github.com/citation-style-language/schema/raw/master/csl-citation.json"} </w:instrText>
      </w:r>
      <w:r w:rsidR="009D5C77" w:rsidRPr="000309F2">
        <w:rPr>
          <w:rFonts w:ascii="Times New Roman" w:eastAsia="Calibri" w:hAnsi="Times New Roman" w:cs="Times New Roman"/>
          <w:color w:val="000000" w:themeColor="text1"/>
          <w:lang w:val="en-US"/>
        </w:rPr>
        <w:fldChar w:fldCharType="separate"/>
      </w:r>
      <w:r w:rsidR="009D5C77" w:rsidRPr="000309F2">
        <w:rPr>
          <w:rFonts w:ascii="Times New Roman" w:hAnsi="Times New Roman" w:cs="Times New Roman"/>
          <w:color w:val="000000" w:themeColor="text1"/>
          <w:kern w:val="0"/>
          <w:vertAlign w:val="superscript"/>
          <w:lang w:val="en-US"/>
        </w:rPr>
        <w:t>236,258</w:t>
      </w:r>
      <w:r w:rsidR="009D5C77" w:rsidRPr="000309F2">
        <w:rPr>
          <w:rFonts w:ascii="Times New Roman" w:eastAsia="Calibri" w:hAnsi="Times New Roman" w:cs="Times New Roman"/>
          <w:color w:val="000000" w:themeColor="text1"/>
          <w:lang w:val="en-US"/>
        </w:rPr>
        <w:fldChar w:fldCharType="end"/>
      </w:r>
      <w:r w:rsidR="009D5C77" w:rsidRPr="000309F2">
        <w:rPr>
          <w:rFonts w:ascii="Times New Roman" w:eastAsia="Calibri" w:hAnsi="Times New Roman" w:cs="Times New Roman"/>
          <w:color w:val="000000" w:themeColor="text1"/>
          <w:lang w:val="en-US"/>
        </w:rPr>
        <w:t xml:space="preserve">. </w:t>
      </w:r>
      <w:r w:rsidR="004128F0" w:rsidRPr="000309F2">
        <w:rPr>
          <w:rFonts w:ascii="Times New Roman" w:eastAsia="Calibri" w:hAnsi="Times New Roman" w:cs="Times New Roman"/>
          <w:color w:val="000000" w:themeColor="text1"/>
          <w:lang w:val="en-US"/>
        </w:rPr>
        <w:t xml:space="preserve">Only one study targeted guilt directly, reporting </w:t>
      </w:r>
      <w:r w:rsidR="005F2A91" w:rsidRPr="000309F2">
        <w:rPr>
          <w:rFonts w:ascii="Times New Roman" w:eastAsia="Calibri" w:hAnsi="Times New Roman" w:cs="Times New Roman"/>
          <w:color w:val="000000" w:themeColor="text1"/>
          <w:lang w:val="en-US"/>
        </w:rPr>
        <w:t>r</w:t>
      </w:r>
      <w:r w:rsidR="004128F0" w:rsidRPr="000309F2">
        <w:rPr>
          <w:rFonts w:ascii="Times New Roman" w:eastAsia="Calibri" w:hAnsi="Times New Roman" w:cs="Times New Roman"/>
          <w:color w:val="000000" w:themeColor="text1"/>
          <w:lang w:val="en-US"/>
        </w:rPr>
        <w:t xml:space="preserve">educed self-reported feelings of guilt following right-cathodal/left-anodal OFC stimulation </w:t>
      </w:r>
      <w:r w:rsidR="009D5C77" w:rsidRPr="000309F2">
        <w:rPr>
          <w:rFonts w:ascii="Times New Roman" w:eastAsia="Calibri" w:hAnsi="Times New Roman" w:cs="Times New Roman"/>
          <w:color w:val="000000" w:themeColor="text1"/>
          <w:lang w:val="en-US"/>
        </w:rPr>
        <w:fldChar w:fldCharType="begin"/>
      </w:r>
      <w:r w:rsidR="009D5C77" w:rsidRPr="000309F2">
        <w:rPr>
          <w:rFonts w:ascii="Times New Roman" w:eastAsia="Calibri" w:hAnsi="Times New Roman" w:cs="Times New Roman"/>
          <w:color w:val="000000" w:themeColor="text1"/>
          <w:lang w:val="en-US"/>
        </w:rPr>
        <w:instrText xml:space="preserve"> ADDIN ZOTERO_ITEM CSL_CITATION {"citationID":"3gx0DEij","properties":{"formattedCitation":"\\super 264\\nosupersub{}","plainCitation":"264","noteIndex":0},"citationItems":[{"id":623,"uris":["http://zotero.org/users/local/ww4sk5CR/items/XLS8NS56"],"itemData":{"id":623,"type":"article-journal","abstract":"Background\nTreating depressive symptoms in patients with schizophrenia is challenging. While transcranical Dicrect Current Stimulation (tDCS) improved other core symptoms of schizophrenia, conflicting results have been obtained on depressive symptoms. Thus, we aimed to expand current evidence on tDCS efficacy to improve depressive symptoms in patients with schizophrenia.\nMethods\nA double-blind RCT was performed with patients randomized to 2 mA active-tDCS or sham-tDCS (15 daily sessions) with a bilateral bipolar-nonbalanced prefrontal placement (anode: left Dorsolateral prefrontal cortex; cathode: right orbitofrontal region). Clinical outcomes included variations of Calgary Depression Scale for Schizophrenia total score (CDSS) and of Depression-hopelessness and Guilty idea of reference-pathological guilt factors. Analysis of covariance was performed evaluating between-group changes over time. The presence/absence of probable clinically significant depression was determined when CDSS &gt; 6.\nResults\nAs 50 outpatients were included (both groups, n = 25), significant improvements following active-tDCS were observed for CDSS total score (p = 0.001), Depression-hopelessness (p = 0.001) and Guilty idea of reference-pathological guilt (p = 0.03). Considering patients with CDSS&gt;6 (n = 23), compared to sham, active-tDCS significantly improved CDSS total score (p &lt; 0.001), Depression-hopelessness (p = 0.001) but Guilty idea of reference-pathological guilt only marginally improved (p = 0.051). Considering response rates of clinically significant depression, important reductions of CDSS score were observed (78 % of the sample scored ≤6; active-tDCS, n = 23; sham-tDCS, n = 16; p = 0.017). Early wakening item did not significantly change in any group.\nLimitations\nThe study lacks a follow-up period and evaluation of tDCS effects on psychosocial functioning.\nConclusions\nBilateral bipolar-nonbalanced prefrontal tDCS is a successful protocol for the treatment of depressive symptoms in patients with schizophrenia.","container-title":"Journal of Affective Disorders","DOI":"10.1016/j.jad.2024.01.050","ISSN":"0165-0327","journalAbbreviation":"Journal of Affective Disorders","page":"165-175","title":"Improving depressive symptoms in patients with schizophrenia using bilateral bipolar-nonbalanced prefrontal tDCS: Results from a double-blind sham-controlled trial","volume":"349","author":[{"family":"Lisoni","given":"Jacopo"},{"family":"Nibbio","given":"Gabriele"},{"family":"Baldacci","given":"Giulia"},{"family":"Zucchetti","given":"Andrea"},{"family":"Cicale","given":"Andrea"},{"family":"Zardini","given":"Daniela"},{"family":"Miotto","given":"Paola"},{"family":"Deste","given":"Giacomo"},{"family":"Barlati","given":"Stefano"},{"family":"Vita","given":"Antonio"}],"issued":{"date-parts":[["2024",3,15]]}}}],"schema":"https://github.com/citation-style-language/schema/raw/master/csl-citation.json"} </w:instrText>
      </w:r>
      <w:r w:rsidR="009D5C77" w:rsidRPr="000309F2">
        <w:rPr>
          <w:rFonts w:ascii="Times New Roman" w:eastAsia="Calibri" w:hAnsi="Times New Roman" w:cs="Times New Roman"/>
          <w:color w:val="000000" w:themeColor="text1"/>
          <w:lang w:val="en-US"/>
        </w:rPr>
        <w:fldChar w:fldCharType="separate"/>
      </w:r>
      <w:r w:rsidR="009D5C77" w:rsidRPr="000309F2">
        <w:rPr>
          <w:rFonts w:ascii="Times New Roman" w:hAnsi="Times New Roman" w:cs="Times New Roman"/>
          <w:color w:val="000000" w:themeColor="text1"/>
          <w:kern w:val="0"/>
          <w:vertAlign w:val="superscript"/>
          <w:lang w:val="en-US"/>
        </w:rPr>
        <w:t>264</w:t>
      </w:r>
      <w:r w:rsidR="009D5C77" w:rsidRPr="000309F2">
        <w:rPr>
          <w:rFonts w:ascii="Times New Roman" w:eastAsia="Calibri" w:hAnsi="Times New Roman" w:cs="Times New Roman"/>
          <w:color w:val="000000" w:themeColor="text1"/>
          <w:lang w:val="en-US"/>
        </w:rPr>
        <w:fldChar w:fldCharType="end"/>
      </w:r>
      <w:r w:rsidR="004128F0" w:rsidRPr="000309F2">
        <w:rPr>
          <w:rFonts w:ascii="Times New Roman" w:eastAsia="Calibri" w:hAnsi="Times New Roman" w:cs="Times New Roman"/>
          <w:color w:val="000000" w:themeColor="text1"/>
          <w:lang w:val="en-US"/>
        </w:rPr>
        <w:t xml:space="preserve">. </w:t>
      </w:r>
      <w:r w:rsidR="00F96EC9" w:rsidRPr="000309F2">
        <w:rPr>
          <w:rFonts w:ascii="Times New Roman" w:eastAsia="Calibri" w:hAnsi="Times New Roman" w:cs="Times New Roman"/>
          <w:color w:val="000000" w:themeColor="text1"/>
          <w:lang w:val="en-US"/>
        </w:rPr>
        <w:t xml:space="preserve">We also identified one study specifically testing </w:t>
      </w:r>
      <w:r w:rsidR="005F2A91" w:rsidRPr="000309F2">
        <w:rPr>
          <w:rFonts w:ascii="Times New Roman" w:eastAsia="Calibri" w:hAnsi="Times New Roman" w:cs="Times New Roman"/>
          <w:color w:val="000000" w:themeColor="text1"/>
          <w:lang w:val="en-US"/>
        </w:rPr>
        <w:t xml:space="preserve">the effects of both right-cathodal/left-anodal and right-anodal/left-cathodal </w:t>
      </w:r>
      <w:r w:rsidR="00F96EC9" w:rsidRPr="000309F2">
        <w:rPr>
          <w:rFonts w:ascii="Times New Roman" w:eastAsia="Calibri" w:hAnsi="Times New Roman" w:cs="Times New Roman"/>
          <w:color w:val="000000" w:themeColor="text1"/>
          <w:lang w:val="en-US"/>
        </w:rPr>
        <w:t>stimulation over the DLPFC on relevant psychopathy traits (particularly</w:t>
      </w:r>
      <w:r w:rsidR="004128F0" w:rsidRPr="000309F2">
        <w:rPr>
          <w:rFonts w:ascii="Times New Roman" w:eastAsia="Calibri" w:hAnsi="Times New Roman" w:cs="Times New Roman"/>
          <w:color w:val="000000" w:themeColor="text1"/>
          <w:lang w:val="en-US"/>
        </w:rPr>
        <w:t xml:space="preserve"> </w:t>
      </w:r>
      <w:r w:rsidR="009D5C77" w:rsidRPr="000309F2">
        <w:rPr>
          <w:rFonts w:ascii="Times New Roman" w:eastAsia="Calibri" w:hAnsi="Times New Roman" w:cs="Times New Roman"/>
          <w:color w:val="000000" w:themeColor="text1"/>
          <w:lang w:val="en-US"/>
        </w:rPr>
        <w:t>cold-heartedness</w:t>
      </w:r>
      <w:r w:rsidR="00F96EC9" w:rsidRPr="000309F2">
        <w:rPr>
          <w:rFonts w:ascii="Times New Roman" w:eastAsia="Calibri" w:hAnsi="Times New Roman" w:cs="Times New Roman"/>
          <w:color w:val="000000" w:themeColor="text1"/>
          <w:lang w:val="en-US"/>
        </w:rPr>
        <w:t>)</w:t>
      </w:r>
      <w:r w:rsidR="009D5C77" w:rsidRPr="000309F2">
        <w:rPr>
          <w:rFonts w:ascii="Times New Roman" w:eastAsia="Calibri" w:hAnsi="Times New Roman" w:cs="Times New Roman"/>
          <w:color w:val="000000" w:themeColor="text1"/>
          <w:lang w:val="en-US"/>
        </w:rPr>
        <w:t xml:space="preserve"> </w:t>
      </w:r>
      <w:r w:rsidR="009D5C77" w:rsidRPr="000309F2">
        <w:rPr>
          <w:rFonts w:ascii="Times New Roman" w:eastAsia="Calibri" w:hAnsi="Times New Roman" w:cs="Times New Roman"/>
          <w:color w:val="000000" w:themeColor="text1"/>
          <w:lang w:val="en-US"/>
        </w:rPr>
        <w:fldChar w:fldCharType="begin"/>
      </w:r>
      <w:r w:rsidR="009D5C77" w:rsidRPr="000309F2">
        <w:rPr>
          <w:rFonts w:ascii="Times New Roman" w:eastAsia="Calibri" w:hAnsi="Times New Roman" w:cs="Times New Roman"/>
          <w:color w:val="000000" w:themeColor="text1"/>
          <w:lang w:val="en-US"/>
        </w:rPr>
        <w:instrText xml:space="preserve"> ADDIN ZOTERO_ITEM CSL_CITATION {"citationID":"r2rjXuB0","properties":{"formattedCitation":"\\super 265\\nosupersub{}","plainCitation":"265","noteIndex":0},"citationItems":[{"id":106,"uris":["http://zotero.org/users/local/ww4sk5CR/items/WZIXQ8M7"],"itemData":{"id":106,"type":"article-journal","abstract":"Deceptive abilities have long been studied in relation to personality traits. More recently, studies explored the neural substrates associated with deceptive skills suggesting a critical role of the prefrontal cortex. Here we investigated whether non-invasive brain stimulation over the dorsolateral prefrontal cortex (DLPFC) could modulate generation of untruthful responses about subject’s personal life across contexts (i.e., deceiving on guilt-free questions on daily activities; generating previously memorized lies about past experience; and producing spontaneous lies about past experience), as well as across modality responses (verbal and motor responses). Results reveal that real, but not sham, transcranial direct current stimulation (tDCS) over the DLPFC can reduce response latency for untruthful over truthful answers across contexts and modality responses. Also, contexts of lies seem to incur a different hemispheric laterality. These findings add up to previous studies demonstrating that it is possible to modulate some processes involved in generation of untruthful answers by applying non-invasive brain stimulation over the DLPFC and extend these findings by showing a differential hemispheric contribution of DLPFCs according to contexts. (PsycINFO Database Record (c) 2019 APA, all rights reserved)","archive":"psyh","archive_location":"2017-43330-001","container-title":"Frontiers in Psychiatry","DOI":"10.3389/fpsyt.2012.00097","ISSN":"1664-0640","journalAbbreviation":"Frontiers in Psychiatry","note":"publisher: Frontiers Media S.A.","source":"EBSCOhost","title":"Modulation of untruthful responses with non-invasive brain stimulation","URL":"https://search.ebscohost.com/login.aspx?direct=true&amp;db=psyh&amp;AN=2017-43330-001&amp;site=ehost-live&amp;authtype=sso&amp;custid=s9814295","volume":"3","author":[{"family":"Fecteau","given":"Shirley"},{"family":"Boggio","given":"Paulo"},{"family":"Fregni","given":"Felipe"},{"family":"Pascual-Leone","given":"Alvaro"}],"issued":{"date-parts":[["2013",2,26]]}}}],"schema":"https://github.com/citation-style-language/schema/raw/master/csl-citation.json"} </w:instrText>
      </w:r>
      <w:r w:rsidR="009D5C77" w:rsidRPr="000309F2">
        <w:rPr>
          <w:rFonts w:ascii="Times New Roman" w:eastAsia="Calibri" w:hAnsi="Times New Roman" w:cs="Times New Roman"/>
          <w:color w:val="000000" w:themeColor="text1"/>
          <w:lang w:val="en-US"/>
        </w:rPr>
        <w:fldChar w:fldCharType="separate"/>
      </w:r>
      <w:r w:rsidR="009D5C77" w:rsidRPr="000309F2">
        <w:rPr>
          <w:rFonts w:ascii="Times New Roman" w:hAnsi="Times New Roman" w:cs="Times New Roman"/>
          <w:color w:val="000000" w:themeColor="text1"/>
          <w:kern w:val="0"/>
          <w:vertAlign w:val="superscript"/>
          <w:lang w:val="en-US"/>
        </w:rPr>
        <w:t>265</w:t>
      </w:r>
      <w:r w:rsidR="009D5C77" w:rsidRPr="000309F2">
        <w:rPr>
          <w:rFonts w:ascii="Times New Roman" w:eastAsia="Calibri" w:hAnsi="Times New Roman" w:cs="Times New Roman"/>
          <w:color w:val="000000" w:themeColor="text1"/>
          <w:lang w:val="en-US"/>
        </w:rPr>
        <w:fldChar w:fldCharType="end"/>
      </w:r>
      <w:r w:rsidR="00F96EC9" w:rsidRPr="000309F2">
        <w:rPr>
          <w:rFonts w:ascii="Times New Roman" w:eastAsia="Calibri" w:hAnsi="Times New Roman" w:cs="Times New Roman"/>
          <w:color w:val="000000" w:themeColor="text1"/>
          <w:lang w:val="en-US"/>
        </w:rPr>
        <w:t>, although no significant changes were observed relative to sham.</w:t>
      </w:r>
      <w:r w:rsidR="004128F0" w:rsidRPr="000309F2">
        <w:rPr>
          <w:rFonts w:ascii="Times New Roman" w:eastAsia="Calibri" w:hAnsi="Times New Roman" w:cs="Times New Roman"/>
          <w:color w:val="000000" w:themeColor="text1"/>
          <w:lang w:val="en-US"/>
        </w:rPr>
        <w:t xml:space="preserve"> </w:t>
      </w:r>
    </w:p>
    <w:p w14:paraId="1A46CBA0" w14:textId="64A27395" w:rsidR="00325A1D" w:rsidRPr="000309F2" w:rsidRDefault="00325A1D" w:rsidP="00325A1D">
      <w:pPr>
        <w:spacing w:after="0" w:line="480" w:lineRule="auto"/>
        <w:jc w:val="left"/>
        <w:rPr>
          <w:rFonts w:ascii="Times New Roman" w:eastAsia="Calibri" w:hAnsi="Times New Roman" w:cs="Times New Roman"/>
          <w:color w:val="000000" w:themeColor="text1"/>
          <w:lang w:val="en-US"/>
        </w:rPr>
      </w:pPr>
      <w:r w:rsidRPr="000309F2">
        <w:rPr>
          <w:rFonts w:ascii="Times New Roman" w:eastAsia="Calibri" w:hAnsi="Times New Roman" w:cs="Times New Roman"/>
          <w:color w:val="000000" w:themeColor="text1"/>
          <w:lang w:val="en-US"/>
        </w:rPr>
        <w:lastRenderedPageBreak/>
        <w:t>Meta-analy</w:t>
      </w:r>
      <w:r w:rsidR="005F2A91" w:rsidRPr="000309F2">
        <w:rPr>
          <w:rFonts w:ascii="Times New Roman" w:eastAsia="Calibri" w:hAnsi="Times New Roman" w:cs="Times New Roman"/>
          <w:color w:val="000000" w:themeColor="text1"/>
          <w:lang w:val="en-US"/>
        </w:rPr>
        <w:t>se</w:t>
      </w:r>
      <w:r w:rsidRPr="000309F2">
        <w:rPr>
          <w:rFonts w:ascii="Times New Roman" w:eastAsia="Calibri" w:hAnsi="Times New Roman" w:cs="Times New Roman"/>
          <w:color w:val="000000" w:themeColor="text1"/>
          <w:lang w:val="en-US"/>
        </w:rPr>
        <w:t xml:space="preserve">s on these data overall revealed </w:t>
      </w:r>
      <w:r w:rsidR="0006494C" w:rsidRPr="000309F2">
        <w:rPr>
          <w:rFonts w:ascii="Times New Roman" w:eastAsia="Calibri" w:hAnsi="Times New Roman" w:cs="Times New Roman"/>
          <w:color w:val="000000" w:themeColor="text1"/>
          <w:lang w:val="en-US"/>
        </w:rPr>
        <w:t>a non-significant mean effect size of g = 0.</w:t>
      </w:r>
      <w:r w:rsidR="005F2A91" w:rsidRPr="000309F2">
        <w:rPr>
          <w:rFonts w:ascii="Times New Roman" w:eastAsia="Calibri" w:hAnsi="Times New Roman" w:cs="Times New Roman"/>
          <w:color w:val="000000" w:themeColor="text1"/>
          <w:lang w:val="en-US"/>
        </w:rPr>
        <w:t xml:space="preserve">18, </w:t>
      </w:r>
      <w:r w:rsidR="00790D40" w:rsidRPr="000309F2">
        <w:rPr>
          <w:rFonts w:ascii="Times New Roman" w:eastAsia="Times New Roman" w:hAnsi="Times New Roman" w:cs="Times New Roman"/>
          <w:bCs/>
          <w:color w:val="000000" w:themeColor="text1"/>
          <w:lang w:val="en-US" w:eastAsia="en-GB"/>
        </w:rPr>
        <w:t>95% CI</w:t>
      </w:r>
      <w:r w:rsidR="00790D40" w:rsidRPr="000309F2">
        <w:rPr>
          <w:rFonts w:ascii="Times New Roman" w:eastAsia="Times New Roman" w:hAnsi="Times New Roman" w:cs="Times New Roman"/>
          <w:color w:val="000000" w:themeColor="text1"/>
          <w:lang w:val="en-US" w:eastAsia="en-GB"/>
        </w:rPr>
        <w:t xml:space="preserve"> </w:t>
      </w:r>
      <w:r w:rsidR="0006494C" w:rsidRPr="000309F2">
        <w:rPr>
          <w:rFonts w:ascii="Times New Roman" w:eastAsia="Calibri" w:hAnsi="Times New Roman" w:cs="Times New Roman"/>
          <w:color w:val="000000" w:themeColor="text1"/>
          <w:lang w:val="en-US"/>
        </w:rPr>
        <w:t>-0.</w:t>
      </w:r>
      <w:r w:rsidR="005F2A91" w:rsidRPr="000309F2">
        <w:rPr>
          <w:rFonts w:ascii="Times New Roman" w:eastAsia="Calibri" w:hAnsi="Times New Roman" w:cs="Times New Roman"/>
          <w:color w:val="000000" w:themeColor="text1"/>
          <w:lang w:val="en-US"/>
        </w:rPr>
        <w:t>58</w:t>
      </w:r>
      <w:r w:rsidR="00790D40" w:rsidRPr="000309F2">
        <w:rPr>
          <w:rFonts w:ascii="Times New Roman" w:eastAsia="Calibri" w:hAnsi="Times New Roman" w:cs="Times New Roman"/>
          <w:color w:val="000000" w:themeColor="text1"/>
          <w:lang w:val="en-US"/>
        </w:rPr>
        <w:t xml:space="preserve"> to </w:t>
      </w:r>
      <w:r w:rsidR="0006494C" w:rsidRPr="000309F2">
        <w:rPr>
          <w:rFonts w:ascii="Times New Roman" w:eastAsia="Calibri" w:hAnsi="Times New Roman" w:cs="Times New Roman"/>
          <w:color w:val="000000" w:themeColor="text1"/>
          <w:lang w:val="en-US"/>
        </w:rPr>
        <w:t>0.</w:t>
      </w:r>
      <w:r w:rsidR="005F2A91" w:rsidRPr="000309F2">
        <w:rPr>
          <w:rFonts w:ascii="Times New Roman" w:eastAsia="Calibri" w:hAnsi="Times New Roman" w:cs="Times New Roman"/>
          <w:color w:val="000000" w:themeColor="text1"/>
          <w:lang w:val="en-US"/>
        </w:rPr>
        <w:t>94</w:t>
      </w:r>
      <w:r w:rsidR="0006494C" w:rsidRPr="000309F2">
        <w:rPr>
          <w:rFonts w:ascii="Times New Roman" w:eastAsia="Calibri" w:hAnsi="Times New Roman" w:cs="Times New Roman"/>
          <w:color w:val="000000" w:themeColor="text1"/>
          <w:lang w:val="en-US"/>
        </w:rPr>
        <w:t>, p = 0.6</w:t>
      </w:r>
      <w:r w:rsidR="005F2A91" w:rsidRPr="000309F2">
        <w:rPr>
          <w:rFonts w:ascii="Times New Roman" w:eastAsia="Calibri" w:hAnsi="Times New Roman" w:cs="Times New Roman"/>
          <w:color w:val="000000" w:themeColor="text1"/>
          <w:lang w:val="en-US"/>
        </w:rPr>
        <w:t>40</w:t>
      </w:r>
      <w:r w:rsidR="0006494C" w:rsidRPr="000309F2">
        <w:rPr>
          <w:rFonts w:ascii="Times New Roman" w:eastAsia="Calibri" w:hAnsi="Times New Roman" w:cs="Times New Roman"/>
          <w:color w:val="000000" w:themeColor="text1"/>
          <w:lang w:val="en-US"/>
        </w:rPr>
        <w:t>)</w:t>
      </w:r>
      <w:r w:rsidR="00C35255" w:rsidRPr="000309F2">
        <w:rPr>
          <w:rFonts w:ascii="Times New Roman" w:eastAsia="Calibri" w:hAnsi="Times New Roman" w:cs="Times New Roman"/>
          <w:color w:val="000000" w:themeColor="text1"/>
          <w:lang w:val="en-US"/>
        </w:rPr>
        <w:t xml:space="preserve"> and high between-study variability (</w:t>
      </w:r>
      <w:r w:rsidR="00C35255" w:rsidRPr="000309F2">
        <w:rPr>
          <w:rFonts w:ascii="Times New Roman" w:eastAsia="Calibri" w:hAnsi="Times New Roman" w:cs="Times New Roman"/>
          <w:bCs/>
          <w:color w:val="000000" w:themeColor="text1"/>
          <w:lang w:val="en-US"/>
        </w:rPr>
        <w:t>τ</w:t>
      </w:r>
      <w:r w:rsidR="00C35255" w:rsidRPr="000309F2">
        <w:rPr>
          <w:rFonts w:ascii="Times New Roman" w:eastAsia="Calibri" w:hAnsi="Times New Roman" w:cs="Times New Roman"/>
          <w:bCs/>
          <w:color w:val="000000" w:themeColor="text1"/>
          <w:vertAlign w:val="superscript"/>
          <w:lang w:val="en-US"/>
        </w:rPr>
        <w:t>2</w:t>
      </w:r>
      <w:r w:rsidR="00C35255" w:rsidRPr="000309F2">
        <w:rPr>
          <w:rFonts w:ascii="Times New Roman" w:eastAsia="Calibri" w:hAnsi="Times New Roman" w:cs="Times New Roman"/>
          <w:color w:val="000000" w:themeColor="text1"/>
          <w:lang w:val="en-US"/>
        </w:rPr>
        <w:t xml:space="preserve"> = 2.63, I² = 96.49%, 95% PI -2.99 to 3.35)</w:t>
      </w:r>
      <w:r w:rsidR="0006494C" w:rsidRPr="000309F2">
        <w:rPr>
          <w:rFonts w:ascii="Times New Roman" w:eastAsia="Calibri" w:hAnsi="Times New Roman" w:cs="Times New Roman"/>
          <w:color w:val="000000" w:themeColor="text1"/>
          <w:lang w:val="en-US"/>
        </w:rPr>
        <w:t xml:space="preserve">. </w:t>
      </w:r>
      <w:r w:rsidR="00277152" w:rsidRPr="000309F2">
        <w:rPr>
          <w:rFonts w:ascii="Times New Roman" w:eastAsia="Calibri" w:hAnsi="Times New Roman" w:cs="Times New Roman"/>
          <w:color w:val="000000" w:themeColor="text1"/>
          <w:lang w:val="en-US"/>
        </w:rPr>
        <w:t>Moderator analyses were not performed due to limited number of independent studies.</w:t>
      </w:r>
    </w:p>
    <w:p w14:paraId="36DCBC26" w14:textId="51A95420" w:rsidR="002D5306" w:rsidRPr="000309F2" w:rsidRDefault="002D5306" w:rsidP="002D5306">
      <w:pPr>
        <w:spacing w:after="0" w:line="480" w:lineRule="auto"/>
        <w:jc w:val="left"/>
        <w:rPr>
          <w:rFonts w:ascii="Times New Roman" w:eastAsia="Calibri" w:hAnsi="Times New Roman" w:cs="Times New Roman"/>
          <w:i/>
          <w:iCs/>
          <w:color w:val="000000" w:themeColor="text1"/>
          <w:lang w:val="en-US"/>
        </w:rPr>
      </w:pPr>
      <w:r w:rsidRPr="000309F2">
        <w:rPr>
          <w:rFonts w:ascii="Times New Roman" w:eastAsia="Calibri" w:hAnsi="Times New Roman" w:cs="Times New Roman"/>
          <w:i/>
          <w:iCs/>
          <w:color w:val="000000" w:themeColor="text1"/>
          <w:lang w:val="en-US"/>
        </w:rPr>
        <w:t>Effects of HD-tDCS</w:t>
      </w:r>
    </w:p>
    <w:p w14:paraId="2F03344C" w14:textId="77777777" w:rsidR="00F94429" w:rsidRPr="000309F2" w:rsidRDefault="00E41531" w:rsidP="00F94429">
      <w:pPr>
        <w:spacing w:after="0" w:line="480" w:lineRule="auto"/>
        <w:jc w:val="left"/>
        <w:rPr>
          <w:rFonts w:ascii="Times New Roman" w:eastAsia="Calibri" w:hAnsi="Times New Roman" w:cs="Times New Roman"/>
          <w:color w:val="000000" w:themeColor="text1"/>
          <w:lang w:val="en-US"/>
        </w:rPr>
      </w:pPr>
      <w:r w:rsidRPr="000309F2">
        <w:rPr>
          <w:rFonts w:ascii="Times New Roman" w:eastAsia="Calibri" w:hAnsi="Times New Roman" w:cs="Times New Roman"/>
          <w:color w:val="000000" w:themeColor="text1"/>
          <w:lang w:val="en-US"/>
        </w:rPr>
        <w:t xml:space="preserve">A total of 6 studies (13 effects) applied HD-tDCS at intensities typically around 2 mA for about 20 minutes, although one study applied 1.5 mA stimulation for 11.8 minutes </w:t>
      </w:r>
      <w:r w:rsidRPr="000309F2">
        <w:rPr>
          <w:rFonts w:ascii="Times New Roman" w:eastAsia="Calibri" w:hAnsi="Times New Roman" w:cs="Times New Roman"/>
          <w:color w:val="000000" w:themeColor="text1"/>
          <w:lang w:val="en-US"/>
        </w:rPr>
        <w:fldChar w:fldCharType="begin"/>
      </w:r>
      <w:r w:rsidRPr="000309F2">
        <w:rPr>
          <w:rFonts w:ascii="Times New Roman" w:eastAsia="Calibri" w:hAnsi="Times New Roman" w:cs="Times New Roman"/>
          <w:color w:val="000000" w:themeColor="text1"/>
          <w:lang w:val="en-US"/>
        </w:rPr>
        <w:instrText xml:space="preserve"> ADDIN ZOTERO_ITEM CSL_CITATION {"citationID":"uNku2j53","properties":{"formattedCitation":"\\super 267\\nosupersub{}","plainCitation":"267","noteIndex":0},"citationItems":[{"id":36,"uris":["http://zotero.org/users/local/ww4sk5CR/items/REB2ETIP"],"itemData":{"id":36,"type":"article-journal","abstract":"Empathy, including cognitive and emotional empathy, refers to the ability to infer the mental states of others and to the capacity to share emotions. The neural mechanisms involved in empathy are complex and not yet fully understood, and previous studies have shown that both cognitive and emotional empathy are closely associated with the inferior frontal gyrus (IFG). In this study, we examined whether empathy can be modulated by high-definition transcranial direct current stimulation (HD-tDCS) of the right IFG. Twenty-three healthy participants took part in all three experimental conditions (i.e., anodal, cathodal and sham stimulation) in a randomized order. Participants then completed the Chinese version of the Multifaceted Empathy Test (MET), which assesses both cognitive and emotional empathy. The results show that scores obtained for cognitive empathy following cathodal stimulation are significantly lower than those obtained following sham stimulation. In addition, scores obtained for cognitive empathy following anodal stimulation are higher than those obtained following sham stimulation, though the difference is only marginally significant. However, the results fail to show whether the stimulation of the right IFG via HD-tDCS plays a role in emotional empathy. Our results suggest that the right IFG plays a key role in cognitive empathy and indicate that HD-tDCS can regulate cognitive empathy by inducing excitability changes in the right IFG. (PsycINFO Database Record (c) 2018 APA, all rights reserved)","archive":"psyh","archive_location":"2018-60742-001","container-title":"Frontiers in Human Neuroscience","DOI":"10.3389/fnhum.2018.00446","ISSN":"1662-5161","journalAbbreviation":"Frontiers in Human Neuroscience","note":"publisher: Frontiers Media S.A.","source":"EBSCOhost","title":"The effect of high-definition transcranial direct current stimulation of the right inferior frontal gyrus on empathy in healthy individuals","URL":"https://search.ebscohost.com/login.aspx?direct=true&amp;db=psyh&amp;AN=2018-60742-001&amp;site=ehost-live&amp;authtype=sso&amp;custid=s9814295","volume":"12","author":[{"family":"Wu","given":"Xiaoling"},{"family":"Xu","given":"Feifei"},{"family":"Chen","given":"Xingui"},{"family":"Wang","given":"Lu"},{"family":"Huang","given":"Wanling"},{"family":"Wan","given":"Ke"},{"family":"Ji","given":"Gong-Jun"},{"family":"Xiao","given":"Guixian"},{"family":"Xu","given":"Sheng"},{"family":"Yu","given":"Fengqiong"},{"family":"Zhu","given":"Chunyan"},{"family":"Xi","given":"Chunhua"},{"family":"Wang","given":"Kai"}],"issued":{"date-parts":[["2018",11,12]]}}}],"schema":"https://github.com/citation-style-language/schema/raw/master/csl-citation.json"} </w:instrText>
      </w:r>
      <w:r w:rsidRPr="000309F2">
        <w:rPr>
          <w:rFonts w:ascii="Times New Roman" w:eastAsia="Calibri" w:hAnsi="Times New Roman" w:cs="Times New Roman"/>
          <w:color w:val="000000" w:themeColor="text1"/>
          <w:lang w:val="en-US"/>
        </w:rPr>
        <w:fldChar w:fldCharType="separate"/>
      </w:r>
      <w:r w:rsidRPr="000309F2">
        <w:rPr>
          <w:rFonts w:ascii="Times New Roman" w:hAnsi="Times New Roman" w:cs="Times New Roman"/>
          <w:color w:val="000000" w:themeColor="text1"/>
          <w:kern w:val="0"/>
          <w:vertAlign w:val="superscript"/>
          <w:lang w:val="en-US"/>
        </w:rPr>
        <w:t>267</w:t>
      </w:r>
      <w:r w:rsidRPr="000309F2">
        <w:rPr>
          <w:rFonts w:ascii="Times New Roman" w:eastAsia="Calibri" w:hAnsi="Times New Roman" w:cs="Times New Roman"/>
          <w:color w:val="000000" w:themeColor="text1"/>
          <w:lang w:val="en-US"/>
        </w:rPr>
        <w:fldChar w:fldCharType="end"/>
      </w:r>
      <w:r w:rsidRPr="000309F2">
        <w:rPr>
          <w:rFonts w:ascii="Times New Roman" w:eastAsia="Calibri" w:hAnsi="Times New Roman" w:cs="Times New Roman"/>
          <w:color w:val="000000" w:themeColor="text1"/>
          <w:lang w:val="en-US"/>
        </w:rPr>
        <w:t xml:space="preserve">. Protocols ranged from single-session stimulation to 10-session interventions. Overall, the evidence for socio-affective modulation is mixed. For prosocial outcomes, anodal HD-tDCS of the right TPJ increased charitable giving </w:t>
      </w:r>
      <w:r w:rsidRPr="000309F2">
        <w:rPr>
          <w:rFonts w:ascii="Times New Roman" w:eastAsia="Calibri" w:hAnsi="Times New Roman" w:cs="Times New Roman"/>
          <w:color w:val="000000" w:themeColor="text1"/>
          <w:lang w:val="en-US"/>
        </w:rPr>
        <w:fldChar w:fldCharType="begin"/>
      </w:r>
      <w:r w:rsidRPr="000309F2">
        <w:rPr>
          <w:rFonts w:ascii="Times New Roman" w:eastAsia="Calibri" w:hAnsi="Times New Roman" w:cs="Times New Roman"/>
          <w:color w:val="000000" w:themeColor="text1"/>
          <w:lang w:val="en-US"/>
        </w:rPr>
        <w:instrText xml:space="preserve"> ADDIN ZOTERO_ITEM CSL_CITATION {"citationID":"UDHeMx1l","properties":{"formattedCitation":"\\super 239\\nosupersub{}","plainCitation":"239","noteIndex":0},"citationItems":[{"id":714,"uris":["http://zotero.org/users/local/ww4sk5CR/items/BMVND5MW"],"itemData":{"id":714,"type":"article-journal","abstract":"We tested the hypothesis that modulation of neurocomputational inputs to value-based decision-making affects the rationality of economic choices. The brain’s right temporoparietal junction (rTPJ) has been functionally associated with both social behavior and with domain-general information processing and attention. To identify the causal function of rTPJ in prosocial decisions, we administered focal high definition transcranial direct current stimulation (HD-tDCS) while participants allocated money between themselves and a charity in a modified dictator game. Anodal stimulation led to improved rationality as well as increased charitable giving and egalitarianism, resulting in more consistent and efficient choices and increased sensitivity to the price of giving. These results are consistent with the theory that anodal stimulation of the rTPJ increases the precision of value computations in social decision-making. Our results demonstrate that theories of rTPJ function should account for the multifaceted role of the rTPJ in the representation of social inputs into value-based decisions.","container-title":"Scientific Reports","DOI":"10.1038/s41598-020-76956-9","ISSN":"2045-2322","issue":"1","journalAbbreviation":"Scientific Reports","page":"20275","title":"Focal stimulation of the temporoparietal junction improves rationality in prosocial decision-making","volume":"10","author":[{"family":"Li","given":"Flora"},{"family":"Ball","given":"Sheryl"},{"family":"Zhang","given":"Xiaomeng"},{"family":"Smith","given":"Alec"}],"issued":{"date-parts":[["2020",11,20]]}}}],"schema":"https://github.com/citation-style-language/schema/raw/master/csl-citation.json"} </w:instrText>
      </w:r>
      <w:r w:rsidRPr="000309F2">
        <w:rPr>
          <w:rFonts w:ascii="Times New Roman" w:eastAsia="Calibri" w:hAnsi="Times New Roman" w:cs="Times New Roman"/>
          <w:color w:val="000000" w:themeColor="text1"/>
          <w:lang w:val="en-US"/>
        </w:rPr>
        <w:fldChar w:fldCharType="separate"/>
      </w:r>
      <w:r w:rsidRPr="000309F2">
        <w:rPr>
          <w:rFonts w:ascii="Times New Roman" w:hAnsi="Times New Roman" w:cs="Times New Roman"/>
          <w:color w:val="000000" w:themeColor="text1"/>
          <w:kern w:val="0"/>
          <w:vertAlign w:val="superscript"/>
          <w:lang w:val="en-US"/>
        </w:rPr>
        <w:t>239</w:t>
      </w:r>
      <w:r w:rsidRPr="000309F2">
        <w:rPr>
          <w:rFonts w:ascii="Times New Roman" w:eastAsia="Calibri" w:hAnsi="Times New Roman" w:cs="Times New Roman"/>
          <w:color w:val="000000" w:themeColor="text1"/>
          <w:lang w:val="en-US"/>
        </w:rPr>
        <w:fldChar w:fldCharType="end"/>
      </w:r>
      <w:r w:rsidRPr="000309F2">
        <w:rPr>
          <w:rFonts w:ascii="Times New Roman" w:eastAsia="Calibri" w:hAnsi="Times New Roman" w:cs="Times New Roman"/>
          <w:color w:val="000000" w:themeColor="text1"/>
          <w:lang w:val="en-US"/>
        </w:rPr>
        <w:t xml:space="preserve"> and cathodal stimulation of the right DLPFC and IPL reduced helping behavior </w:t>
      </w:r>
      <w:r w:rsidRPr="000309F2">
        <w:rPr>
          <w:rFonts w:ascii="Times New Roman" w:eastAsia="Calibri" w:hAnsi="Times New Roman" w:cs="Times New Roman"/>
          <w:color w:val="000000" w:themeColor="text1"/>
          <w:lang w:val="en-US"/>
        </w:rPr>
        <w:fldChar w:fldCharType="begin"/>
      </w:r>
      <w:r w:rsidRPr="000309F2">
        <w:rPr>
          <w:rFonts w:ascii="Times New Roman" w:eastAsia="Calibri" w:hAnsi="Times New Roman" w:cs="Times New Roman"/>
          <w:color w:val="000000" w:themeColor="text1"/>
          <w:lang w:val="en-US"/>
        </w:rPr>
        <w:instrText xml:space="preserve"> ADDIN ZOTERO_ITEM CSL_CITATION {"citationID":"0d0838s4","properties":{"formattedCitation":"\\super 248\\nosupersub{}","plainCitation":"248","noteIndex":0},"citationItems":[{"id":150,"uris":["http://zotero.org/users/local/ww4sk5CR/items/XWLYLPTM"],"itemData":{"id":150,"type":"article-journal","abstract":"Altruistic behavior, i.e., promoting the welfare of others at a cost to oneself, is subserved by the integration of various social, affective, and economic factors represented in extensive brain regions. However, it is unclear how different regions interact to process/integrate information regarding the helper's interest and recipient's need when deciding whether to behave altruistically. Here we combined an interactive game with functional Magnetic Resonance Imaging (fMRI) and transcranial direct current stimulation (tDCS) to characterize the neural network underlying the processing/integration of self-interest and other-need. At the behavioral level, high self-risk decreased helping behavior and high other-need increased helping behavior. At the neural level, activity in medial prefrontal cortex (MPFC) and right dorsolateral prefrontal cortex (rDLPFC) were positively associated with self-risk levels, and activity in right inferior parietal lobe (rIPL) and rDLPFC were negatively associated with other-need levels. Dynamic causal modeling further suggested that both MPFC and rIPL were extrinsically connected to rDLPFC; high self-risk enhanced the effective connectivity from MPFC to rDLPFC, and the modulatory effect of other-need on the connectivity from rIPL to rDLPFC positively correlated with the modulatory effect of other-need on individuals’ helping rate. Two tDCS experiments provided causal evidence that rDLPFC affects both self-interest and other-need concerns, and rIPL selectively affects the other-need concerns. These findings suggest a crucial role of the MPFC-IPL-DLPFC network during altruistic decision-making, with rDLPFC as a central node for integrating and modulating motives regarding self-interest and other-need. (PsycINFO Database Record (c) 2017 APA, all rights reserved)","archive":"psyh","archive_location":"2017-42973-051","container-title":"NeuroImage","DOI":"10.1016/j.neuroimage.2017.06.040","ISSN":"1053-8119","journalAbbreviation":"NeuroImage","note":"publisher: Elsevier Science","page":"598-611","source":"EBSCOhost","title":"How do self-interest and other-need interact in the brain to determine altruistic behavior?","volume":"157","author":[{"family":"Hu","given":"Jie"},{"family":"Li","given":"Yue"},{"family":"Yin","given":"Yunlu"},{"family":"Blue","given":"Philip R."},{"family":"Yu","given":"Hongbo"},{"family":"Zhou","given":"Xiaolin"}],"issued":{"date-parts":[["2017",8,15]]}}}],"schema":"https://github.com/citation-style-language/schema/raw/master/csl-citation.json"} </w:instrText>
      </w:r>
      <w:r w:rsidRPr="000309F2">
        <w:rPr>
          <w:rFonts w:ascii="Times New Roman" w:eastAsia="Calibri" w:hAnsi="Times New Roman" w:cs="Times New Roman"/>
          <w:color w:val="000000" w:themeColor="text1"/>
          <w:lang w:val="en-US"/>
        </w:rPr>
        <w:fldChar w:fldCharType="separate"/>
      </w:r>
      <w:r w:rsidRPr="000309F2">
        <w:rPr>
          <w:rFonts w:ascii="Times New Roman" w:hAnsi="Times New Roman" w:cs="Times New Roman"/>
          <w:color w:val="000000" w:themeColor="text1"/>
          <w:kern w:val="0"/>
          <w:vertAlign w:val="superscript"/>
          <w:lang w:val="en-US"/>
        </w:rPr>
        <w:t>248</w:t>
      </w:r>
      <w:r w:rsidRPr="000309F2">
        <w:rPr>
          <w:rFonts w:ascii="Times New Roman" w:eastAsia="Calibri" w:hAnsi="Times New Roman" w:cs="Times New Roman"/>
          <w:color w:val="000000" w:themeColor="text1"/>
          <w:lang w:val="en-US"/>
        </w:rPr>
        <w:fldChar w:fldCharType="end"/>
      </w:r>
      <w:r w:rsidRPr="000309F2">
        <w:rPr>
          <w:rFonts w:ascii="Times New Roman" w:eastAsia="Calibri" w:hAnsi="Times New Roman" w:cs="Times New Roman"/>
          <w:color w:val="000000" w:themeColor="text1"/>
          <w:lang w:val="en-US"/>
        </w:rPr>
        <w:t xml:space="preserve">, which is consistent with the expected effects typically seen in these polarities. Empathy-related outcomes were more heterogeneous, with cathodal stimulation of the right IFC showing no change in affective resonance </w:t>
      </w:r>
      <w:r w:rsidRPr="000309F2">
        <w:rPr>
          <w:rFonts w:ascii="Times New Roman" w:eastAsia="Calibri" w:hAnsi="Times New Roman" w:cs="Times New Roman"/>
          <w:color w:val="000000" w:themeColor="text1"/>
          <w:lang w:val="en-US"/>
        </w:rPr>
        <w:fldChar w:fldCharType="begin"/>
      </w:r>
      <w:r w:rsidRPr="000309F2">
        <w:rPr>
          <w:rFonts w:ascii="Times New Roman" w:eastAsia="Calibri" w:hAnsi="Times New Roman" w:cs="Times New Roman"/>
          <w:color w:val="000000" w:themeColor="text1"/>
          <w:lang w:val="en-US"/>
        </w:rPr>
        <w:instrText xml:space="preserve"> ADDIN ZOTERO_ITEM CSL_CITATION {"citationID":"JmW5NOkd","properties":{"formattedCitation":"\\super 267\\nosupersub{}","plainCitation":"267","noteIndex":0},"citationItems":[{"id":36,"uris":["http://zotero.org/users/local/ww4sk5CR/items/REB2ETIP"],"itemData":{"id":36,"type":"article-journal","abstract":"Empathy, including cognitive and emotional empathy, refers to the ability to infer the mental states of others and to the capacity to share emotions. The neural mechanisms involved in empathy are complex and not yet fully understood, and previous studies have shown that both cognitive and emotional empathy are closely associated with the inferior frontal gyrus (IFG). In this study, we examined whether empathy can be modulated by high-definition transcranial direct current stimulation (HD-tDCS) of the right IFG. Twenty-three healthy participants took part in all three experimental conditions (i.e., anodal, cathodal and sham stimulation) in a randomized order. Participants then completed the Chinese version of the Multifaceted Empathy Test (MET), which assesses both cognitive and emotional empathy. The results show that scores obtained for cognitive empathy following cathodal stimulation are significantly lower than those obtained following sham stimulation. In addition, scores obtained for cognitive empathy following anodal stimulation are higher than those obtained following sham stimulation, though the difference is only marginally significant. However, the results fail to show whether the stimulation of the right IFG via HD-tDCS plays a role in emotional empathy. Our results suggest that the right IFG plays a key role in cognitive empathy and indicate that HD-tDCS can regulate cognitive empathy by inducing excitability changes in the right IFG. (PsycINFO Database Record (c) 2018 APA, all rights reserved)","archive":"psyh","archive_location":"2018-60742-001","container-title":"Frontiers in Human Neuroscience","DOI":"10.3389/fnhum.2018.00446","ISSN":"1662-5161","journalAbbreviation":"Frontiers in Human Neuroscience","note":"publisher: Frontiers Media S.A.","source":"EBSCOhost","title":"The effect of high-definition transcranial direct current stimulation of the right inferior frontal gyrus on empathy in healthy individuals","URL":"https://search.ebscohost.com/login.aspx?direct=true&amp;db=psyh&amp;AN=2018-60742-001&amp;site=ehost-live&amp;authtype=sso&amp;custid=s9814295","volume":"12","author":[{"family":"Wu","given":"Xiaoling"},{"family":"Xu","given":"Feifei"},{"family":"Chen","given":"Xingui"},{"family":"Wang","given":"Lu"},{"family":"Huang","given":"Wanling"},{"family":"Wan","given":"Ke"},{"family":"Ji","given":"Gong-Jun"},{"family":"Xiao","given":"Guixian"},{"family":"Xu","given":"Sheng"},{"family":"Yu","given":"Fengqiong"},{"family":"Zhu","given":"Chunyan"},{"family":"Xi","given":"Chunhua"},{"family":"Wang","given":"Kai"}],"issued":{"date-parts":[["2018",11,12]]}}}],"schema":"https://github.com/citation-style-language/schema/raw/master/csl-citation.json"} </w:instrText>
      </w:r>
      <w:r w:rsidRPr="000309F2">
        <w:rPr>
          <w:rFonts w:ascii="Times New Roman" w:eastAsia="Calibri" w:hAnsi="Times New Roman" w:cs="Times New Roman"/>
          <w:color w:val="000000" w:themeColor="text1"/>
          <w:lang w:val="en-US"/>
        </w:rPr>
        <w:fldChar w:fldCharType="separate"/>
      </w:r>
      <w:r w:rsidRPr="000309F2">
        <w:rPr>
          <w:rFonts w:ascii="Times New Roman" w:hAnsi="Times New Roman" w:cs="Times New Roman"/>
          <w:color w:val="000000" w:themeColor="text1"/>
          <w:kern w:val="0"/>
          <w:vertAlign w:val="superscript"/>
          <w:lang w:val="en-US"/>
        </w:rPr>
        <w:t>267</w:t>
      </w:r>
      <w:r w:rsidRPr="000309F2">
        <w:rPr>
          <w:rFonts w:ascii="Times New Roman" w:eastAsia="Calibri" w:hAnsi="Times New Roman" w:cs="Times New Roman"/>
          <w:color w:val="000000" w:themeColor="text1"/>
          <w:lang w:val="en-US"/>
        </w:rPr>
        <w:fldChar w:fldCharType="end"/>
      </w:r>
      <w:r w:rsidRPr="000309F2">
        <w:rPr>
          <w:rFonts w:ascii="Times New Roman" w:eastAsia="Calibri" w:hAnsi="Times New Roman" w:cs="Times New Roman"/>
          <w:color w:val="000000" w:themeColor="text1"/>
          <w:lang w:val="en-US"/>
        </w:rPr>
        <w:t xml:space="preserve">, anodal stimulation of the right ATL </w:t>
      </w:r>
      <w:r w:rsidRPr="000309F2">
        <w:rPr>
          <w:rFonts w:ascii="Times New Roman" w:eastAsia="Calibri" w:hAnsi="Times New Roman" w:cs="Times New Roman"/>
          <w:color w:val="000000" w:themeColor="text1"/>
          <w:lang w:val="en-US"/>
        </w:rPr>
        <w:fldChar w:fldCharType="begin"/>
      </w:r>
      <w:r w:rsidRPr="000309F2">
        <w:rPr>
          <w:rFonts w:ascii="Times New Roman" w:eastAsia="Calibri" w:hAnsi="Times New Roman" w:cs="Times New Roman"/>
          <w:color w:val="000000" w:themeColor="text1"/>
          <w:lang w:val="en-US"/>
        </w:rPr>
        <w:instrText xml:space="preserve"> ADDIN ZOTERO_ITEM CSL_CITATION {"citationID":"jSZcfYIs","properties":{"formattedCitation":"\\super 237\\nosupersub{}","plainCitation":"237","noteIndex":0},"citationItems":[{"id":6,"uris":["http://zotero.org/users/local/ww4sk5CR/items/SSTH4Z8L"],"itemData":{"id":6,"type":"article-journal","abstract":"Background: Previous studies have shown that interpersonal neural synchronization (INS) is a ubiquitous phenomenon between individuals, and recent studies have further demonstrated close associations between INS and shared external sensorimotor input and/or internal mental processes within a dyad. However, most previous studies have employed an observational approach to describe the behavior-INS correlation, leading to difficulties in causally disentangling the relationship among INS, external sensorimotor input and the internal mental process. Objective/hypothesis: The present study aimed to directly change the level of INS through anodal transcranial direct current stimulation (tDCS) to test whether the change in INS would directly impact the internal mental process (Hypothesis 1) or indirectly through external sensorimotor input; the interaction behaviors were also changed (Hypothesis 2) or not (Hypothesis 3). Methods: Thirty pairs of romantically involved heterosexual couples were recruited for a within-subjects design. Three conditions were assessed: a true stimulation condition with 20-min anodal high-definition tDCS to the right anterior temporal lobe (rATL) of women before they communicated with their partners, a sham stimulation condition and a control brain region stimulation condition. The comparison between the true and sham or control brain region conditions allows us to detect the true effect of brain stimulation on INS. Functional near-infrared spectroscopy (fNIRS) hyperscanning was used to simultaneously collect dyadic participants' hemodynamic signals during communication. INS, empathy, and interaction behaviors were examined and compared among different stimulation conditions. Results: True brain stimulation significantly decreased INS between the rATL of the women and sensorimotor cortex (SMC) of the men compared to the sham stimulation condition (t(27.8) = −2.821, P = 0.009, d = 0.714) and control brain region stimulation condition (t(27.2) = −2.606, P = 0.015, d = 0.664) during communication. It also significantly decreased the level of emotional empathy (F(2,145) = 6.893, P = 0.001) but did not change sensorimotor processes, such as verbal or nonverbal interaction behaviors. However, nonverbal behaviors mediated the relationship between the changes in INS and emotional empathy (lower limit confidence interval = 0.01, upper limit confidence interval = 2.66). Conclusion(s): These findings support the third hypothesis, suggesting that INS is associated with the shared internal mental process indirectly via the sensorimotor process, but the sensorimotor process itself does not covary with the INS and the associated internal mental process. These results provide new insight into the hierarchical architecture of dual-brain function from a bottom-up perspective. (PsycInfo Database Record (c) 2023 APA, all rights reserved)","archive":"psyh","archive_location":"2023-48589-009","container-title":"Brain Stimulation","DOI":"10.1016/j.brs.2022.12.009","ISSN":"1935-861X","issue":"1","journalAbbreviation":"Brain Stimulation","note":"publisher: Elsevier Science","page":"28-39","source":"EBSCOhost","title":"Transcranial direct current stimulation of the right anterior temporal lobe changes interpersonal neural synchronization and shared mental processes","volume":"16","author":[{"family":"Long","given":"Yuhang"},{"family":"Zhong","given":"Miao"},{"family":"Aili","given":"Ruhuiya"},{"family":"Zhang","given":"Huan"},{"family":"Fang","given":"Xiaoyi"},{"family":"Lu","given":"Chunming"}],"issued":{"date-parts":[["2023",1]]}}}],"schema":"https://github.com/citation-style-language/schema/raw/master/csl-citation.json"} </w:instrText>
      </w:r>
      <w:r w:rsidRPr="000309F2">
        <w:rPr>
          <w:rFonts w:ascii="Times New Roman" w:eastAsia="Calibri" w:hAnsi="Times New Roman" w:cs="Times New Roman"/>
          <w:color w:val="000000" w:themeColor="text1"/>
          <w:lang w:val="en-US"/>
        </w:rPr>
        <w:fldChar w:fldCharType="separate"/>
      </w:r>
      <w:r w:rsidRPr="000309F2">
        <w:rPr>
          <w:rFonts w:ascii="Times New Roman" w:hAnsi="Times New Roman" w:cs="Times New Roman"/>
          <w:color w:val="000000" w:themeColor="text1"/>
          <w:kern w:val="0"/>
          <w:vertAlign w:val="superscript"/>
          <w:lang w:val="en-US"/>
        </w:rPr>
        <w:t>237</w:t>
      </w:r>
      <w:r w:rsidRPr="000309F2">
        <w:rPr>
          <w:rFonts w:ascii="Times New Roman" w:eastAsia="Calibri" w:hAnsi="Times New Roman" w:cs="Times New Roman"/>
          <w:color w:val="000000" w:themeColor="text1"/>
          <w:lang w:val="en-US"/>
        </w:rPr>
        <w:fldChar w:fldCharType="end"/>
      </w:r>
      <w:r w:rsidRPr="000309F2">
        <w:rPr>
          <w:rFonts w:ascii="Times New Roman" w:eastAsia="Calibri" w:hAnsi="Times New Roman" w:cs="Times New Roman"/>
          <w:color w:val="000000" w:themeColor="text1"/>
          <w:lang w:val="en-US"/>
        </w:rPr>
        <w:t xml:space="preserve"> or the right DLPFC </w:t>
      </w:r>
      <w:r w:rsidRPr="000309F2">
        <w:rPr>
          <w:rFonts w:ascii="Times New Roman" w:eastAsia="Calibri" w:hAnsi="Times New Roman" w:cs="Times New Roman"/>
          <w:color w:val="000000" w:themeColor="text1"/>
          <w:lang w:val="en-US"/>
        </w:rPr>
        <w:fldChar w:fldCharType="begin"/>
      </w:r>
      <w:r w:rsidRPr="000309F2">
        <w:rPr>
          <w:rFonts w:ascii="Times New Roman" w:eastAsia="Calibri" w:hAnsi="Times New Roman" w:cs="Times New Roman"/>
          <w:color w:val="000000" w:themeColor="text1"/>
          <w:lang w:val="en-US"/>
        </w:rPr>
        <w:instrText xml:space="preserve"> ADDIN ZOTERO_ITEM CSL_CITATION {"citationID":"BjyfmfaX","properties":{"formattedCitation":"\\super 218\\nosupersub{}","plainCitation":"218","noteIndex":0},"citationItems":[{"id":715,"uris":["http://zotero.org/users/local/ww4sk5CR/items/CMBTBJ8K"],"itemData":{"id":715,"type":"article-journal","abstract":"Background\nImplicit emotion regulation (ER), a form of ER, is essential for protecting mental health in the process of social interaction. Both the ventrolateral prefrontal cortex (VLPFC) and the dorsolateral prefrontal cortex (DLPFC) have been shown to be involved in ER processes, including explicit ER of social pain, but whether they play a role in implicit ER is unclear.\nMethods\nWe investigated whether anodal high-definition transcranial direct current stimulation (HD-tDCS) of the right VLPFC (rVLPFC) or the right DLPFC (rDLPFC) influences implicit ER. In total, 63 healthy participants completed an emotion priming task, which measures the implicit ER of social pain, before and after receiving active or sham HD-tDCS (2 mA for 20 min, 10 consecutive days). Event-related potentials (ERPs) were recorded during task performance.\nResults\nCombined with the results of the behavioral and electrophysiological indices indicated that stimulation of both the rVLPFC and the rDLPFC by anodic HD-tDCS could significantly reduce the affective responses caused by social exclusion. The further results also suggested that rDLPFC activation may contribute to promoting the involvement of early cognitive resources in the implicit ER process of social pain, thus helping to reduce the subjective negative experience of individuals.\nLimitations\nThere were no dynamic interactive emotional stimuli to induce social pain, and only static images of social exclusion were used.\nConclusion\nOur study provides cognitive and neurological evidence that expands our knowledge of the role of the rDLPFC and the rVLPFC in social ER. It can also serve as a reference for targeted intervention of implicit ER in social pain.","container-title":"Journal of Affective Disorders","DOI":"10.1016/j.jad.2023.05.075","ISSN":"0165-0327","journalAbbreviation":"Journal of Affective Disorders","page":"74-82","title":"Effects of high-definition transcranial direct current stimulation on implicit emotion regulation of social pain in healthy individuals","volume":"338","author":[{"family":"Zhang","given":"Qingqing"},{"family":"Chen","given":"Tingting"},{"family":"Liu","given":"Shanshan"},{"family":"Liu","given":"Xinying"},{"family":"Zhang","given":"Yifan"},{"family":"Yu","given":"Fengqiong"},{"family":"Ji","given":"Gong-Jun"},{"family":"Li","given":"Xiaoming"},{"family":"Zhu","given":"Chunyan"}],"issued":{"date-parts":[["2023",10,1]]}}}],"schema":"https://github.com/citation-style-language/schema/raw/master/csl-citation.json"} </w:instrText>
      </w:r>
      <w:r w:rsidRPr="000309F2">
        <w:rPr>
          <w:rFonts w:ascii="Times New Roman" w:eastAsia="Calibri" w:hAnsi="Times New Roman" w:cs="Times New Roman"/>
          <w:color w:val="000000" w:themeColor="text1"/>
          <w:lang w:val="en-US"/>
        </w:rPr>
        <w:fldChar w:fldCharType="separate"/>
      </w:r>
      <w:r w:rsidRPr="000309F2">
        <w:rPr>
          <w:rFonts w:ascii="Times New Roman" w:hAnsi="Times New Roman" w:cs="Times New Roman"/>
          <w:color w:val="000000" w:themeColor="text1"/>
          <w:kern w:val="0"/>
          <w:vertAlign w:val="superscript"/>
          <w:lang w:val="en-US"/>
        </w:rPr>
        <w:t>218</w:t>
      </w:r>
      <w:r w:rsidRPr="000309F2">
        <w:rPr>
          <w:rFonts w:ascii="Times New Roman" w:eastAsia="Calibri" w:hAnsi="Times New Roman" w:cs="Times New Roman"/>
          <w:color w:val="000000" w:themeColor="text1"/>
          <w:lang w:val="en-US"/>
        </w:rPr>
        <w:fldChar w:fldCharType="end"/>
      </w:r>
      <w:r w:rsidRPr="000309F2">
        <w:rPr>
          <w:rFonts w:ascii="Times New Roman" w:eastAsia="Calibri" w:hAnsi="Times New Roman" w:cs="Times New Roman"/>
          <w:color w:val="000000" w:themeColor="text1"/>
          <w:lang w:val="en-US"/>
        </w:rPr>
        <w:t xml:space="preserve"> decreasing emotional responses, and multi-session anodal stimulation of the VMPFC producing no significant effects on affective resonance, empathic concern, or general empathy </w:t>
      </w:r>
      <w:r w:rsidRPr="000309F2">
        <w:rPr>
          <w:rFonts w:ascii="Times New Roman" w:eastAsia="Calibri" w:hAnsi="Times New Roman" w:cs="Times New Roman"/>
          <w:color w:val="000000" w:themeColor="text1"/>
          <w:lang w:val="en-US"/>
        </w:rPr>
        <w:fldChar w:fldCharType="begin"/>
      </w:r>
      <w:r w:rsidRPr="000309F2">
        <w:rPr>
          <w:rFonts w:ascii="Times New Roman" w:eastAsia="Calibri" w:hAnsi="Times New Roman" w:cs="Times New Roman"/>
          <w:color w:val="000000" w:themeColor="text1"/>
          <w:lang w:val="en-US"/>
        </w:rPr>
        <w:instrText xml:space="preserve"> ADDIN ZOTERO_ITEM CSL_CITATION {"citationID":"SypsauPw","properties":{"formattedCitation":"\\super 235\\nosupersub{}","plainCitation":"235","noteIndex":0},"citationItems":[{"id":660,"uris":["http://zotero.org/users/local/ww4sk5CR/items/M4EDXIVC"],"itemData":{"id":660,"type":"article-journal","abstract":"Background\nStudies have shown that impairments in the ventromedial prefrontal cortex play a crucial role in violent behavior in forensic patients who also abuse cocaine and alcohol. Moreover, interventions that aimed to reduce violence risk in those patients are found not to be optimal. A promising intervention might be to modulate the ventromedial prefrontal cortex by high-definition (HD) transcranial direct current stimulation (tDCS). The current study aimed to examine HD-tDCS as an intervention to increase empathic abilities and reduce violent behavior in forensic substance dependent offenders. In addition, using electroencephalography, we examined the effects on the P3 and the late positive potential of the event-related potentials in reaction to situations that depict victims of aggression.\nMethods\nFifty male forensic patients with a substance dependence were tested in a double-blind, placebo-controlled randomized study. The patients received HD-tDCS 2 times a day for 20 minutes for 5 consecutive days. Before and after the intervention, the patients completed self-reports and performed the Point Subtraction Aggression Paradigm, and electroencephalography was recorded while patients performed an empathy task.\nResults\nResults showed a decrease in aggressive responses on the Point Subtraction Aggression Paradigm and in self-reported reactive aggression in the active tDCS group. Additionally, we found a general increase in late positive potential amplitude after active tDCS. No effects on trait empathy and the P3 were found.\nConclusions\nCurrent findings are the first to find positive effects of HD-tDCS in reducing aggression and modulating electrophysiological responses in forensic patients, showing the potential of using tDCS as an intervention to reduce aggression in forensic mental health care.","container-title":"Biological Psychiatry: Cognitive Neuroscience and Neuroimaging","DOI":"10.1016/j.bpsc.2021.05.007","ISSN":"2451-9022","issue":"1","journalAbbreviation":"Biological Psychiatry: Cognitive Neuroscience and Neuroimaging","page":"95-107","title":"Transcranial Direct Current Stimulation Targeting the Ventromedial Prefrontal Cortex Reduces Reactive Aggression and Modulates Electrophysiological Responses in a Forensic Population","volume":"7","author":[{"family":"Sergiou","given":"Carmen S."},{"family":"Santarnecchi","given":"Emiliano"},{"family":"Romanella","given":"Sara M."},{"family":"Wieser","given":"Matthias J."},{"family":"Franken","given":"Ingmar H.A."},{"family":"Rassin","given":"Eric G.C."},{"family":"Dongen","given":"Josanne D.M.","non-dropping-particle":"van"}],"issued":{"date-parts":[["2022",1,1]]}}}],"schema":"https://github.com/citation-style-language/schema/raw/master/csl-citation.json"} </w:instrText>
      </w:r>
      <w:r w:rsidRPr="000309F2">
        <w:rPr>
          <w:rFonts w:ascii="Times New Roman" w:eastAsia="Calibri" w:hAnsi="Times New Roman" w:cs="Times New Roman"/>
          <w:color w:val="000000" w:themeColor="text1"/>
          <w:lang w:val="en-US"/>
        </w:rPr>
        <w:fldChar w:fldCharType="separate"/>
      </w:r>
      <w:r w:rsidRPr="000309F2">
        <w:rPr>
          <w:rFonts w:ascii="Times New Roman" w:hAnsi="Times New Roman" w:cs="Times New Roman"/>
          <w:color w:val="000000" w:themeColor="text1"/>
          <w:kern w:val="0"/>
          <w:vertAlign w:val="superscript"/>
          <w:lang w:val="en-US"/>
        </w:rPr>
        <w:t>235</w:t>
      </w:r>
      <w:r w:rsidRPr="000309F2">
        <w:rPr>
          <w:rFonts w:ascii="Times New Roman" w:eastAsia="Calibri" w:hAnsi="Times New Roman" w:cs="Times New Roman"/>
          <w:color w:val="000000" w:themeColor="text1"/>
          <w:lang w:val="en-US"/>
        </w:rPr>
        <w:fldChar w:fldCharType="end"/>
      </w:r>
      <w:r w:rsidRPr="000309F2">
        <w:rPr>
          <w:rFonts w:ascii="Times New Roman" w:eastAsia="Calibri" w:hAnsi="Times New Roman" w:cs="Times New Roman"/>
          <w:color w:val="000000" w:themeColor="text1"/>
          <w:lang w:val="en-US"/>
        </w:rPr>
        <w:t xml:space="preserve">. Similarly, anodal HD-tDCS over the VMPFC produced no measurable effects on psychopathic expression </w:t>
      </w:r>
      <w:r w:rsidRPr="000309F2">
        <w:rPr>
          <w:rFonts w:ascii="Times New Roman" w:eastAsia="Calibri" w:hAnsi="Times New Roman" w:cs="Times New Roman"/>
          <w:color w:val="000000" w:themeColor="text1"/>
          <w:lang w:val="en-US"/>
        </w:rPr>
        <w:fldChar w:fldCharType="begin"/>
      </w:r>
      <w:r w:rsidRPr="000309F2">
        <w:rPr>
          <w:rFonts w:ascii="Times New Roman" w:eastAsia="Calibri" w:hAnsi="Times New Roman" w:cs="Times New Roman"/>
          <w:color w:val="000000" w:themeColor="text1"/>
          <w:lang w:val="en-US"/>
        </w:rPr>
        <w:instrText xml:space="preserve"> ADDIN ZOTERO_ITEM CSL_CITATION {"citationID":"SypsauPw","properties":{"formattedCitation":"\\super 235\\nosupersub{}","plainCitation":"235","noteIndex":0},"citationItems":[{"id":660,"uris":["http://zotero.org/users/local/ww4sk5CR/items/M4EDXIVC"],"itemData":{"id":660,"type":"article-journal","abstract":"Background\nStudies have shown that impairments in the ventromedial prefrontal cortex play a crucial role in violent behavior in forensic patients who also abuse cocaine and alcohol. Moreover, interventions that aimed to reduce violence risk in those patients are found not to be optimal. A promising intervention might be to modulate the ventromedial prefrontal cortex by high-definition (HD) transcranial direct current stimulation (tDCS). The current study aimed to examine HD-tDCS as an intervention to increase empathic abilities and reduce violent behavior in forensic substance dependent offenders. In addition, using electroencephalography, we examined the effects on the P3 and the late positive potential of the event-related potentials in reaction to situations that depict victims of aggression.\nMethods\nFifty male forensic patients with a substance dependence were tested in a double-blind, placebo-controlled randomized study. The patients received HD-tDCS 2 times a day for 20 minutes for 5 consecutive days. Before and after the intervention, the patients completed self-reports and performed the Point Subtraction Aggression Paradigm, and electroencephalography was recorded while patients performed an empathy task.\nResults\nResults showed a decrease in aggressive responses on the Point Subtraction Aggression Paradigm and in self-reported reactive aggression in the active tDCS group. Additionally, we found a general increase in late positive potential amplitude after active tDCS. No effects on trait empathy and the P3 were found.\nConclusions\nCurrent findings are the first to find positive effects of HD-tDCS in reducing aggression and modulating electrophysiological responses in forensic patients, showing the potential of using tDCS as an intervention to reduce aggression in forensic mental health care.","container-title":"Biological Psychiatry: Cognitive Neuroscience and Neuroimaging","DOI":"10.1016/j.bpsc.2021.05.007","ISSN":"2451-9022","issue":"1","journalAbbreviation":"Biological Psychiatry: Cognitive Neuroscience and Neuroimaging","page":"95-107","title":"Transcranial Direct Current Stimulation Targeting the Ventromedial Prefrontal Cortex Reduces Reactive Aggression and Modulates Electrophysiological Responses in a Forensic Population","volume":"7","author":[{"family":"Sergiou","given":"Carmen S."},{"family":"Santarnecchi","given":"Emiliano"},{"family":"Romanella","given":"Sara M."},{"family":"Wieser","given":"Matthias J."},{"family":"Franken","given":"Ingmar H.A."},{"family":"Rassin","given":"Eric G.C."},{"family":"Dongen","given":"Josanne D.M.","non-dropping-particle":"van"}],"issued":{"date-parts":[["2022",1,1]]}}}],"schema":"https://github.com/citation-style-language/schema/raw/master/csl-citation.json"} </w:instrText>
      </w:r>
      <w:r w:rsidRPr="000309F2">
        <w:rPr>
          <w:rFonts w:ascii="Times New Roman" w:eastAsia="Calibri" w:hAnsi="Times New Roman" w:cs="Times New Roman"/>
          <w:color w:val="000000" w:themeColor="text1"/>
          <w:lang w:val="en-US"/>
        </w:rPr>
        <w:fldChar w:fldCharType="separate"/>
      </w:r>
      <w:r w:rsidRPr="000309F2">
        <w:rPr>
          <w:rFonts w:ascii="Times New Roman" w:eastAsia="Calibri" w:hAnsi="Times New Roman" w:cs="Times New Roman"/>
          <w:color w:val="000000" w:themeColor="text1"/>
          <w:vertAlign w:val="superscript"/>
          <w:lang w:val="en-US"/>
        </w:rPr>
        <w:t>235</w:t>
      </w:r>
      <w:r w:rsidRPr="000309F2">
        <w:rPr>
          <w:rFonts w:ascii="Times New Roman" w:eastAsia="Calibri" w:hAnsi="Times New Roman" w:cs="Times New Roman"/>
          <w:color w:val="000000" w:themeColor="text1"/>
          <w:lang w:val="en-US"/>
        </w:rPr>
        <w:fldChar w:fldCharType="end"/>
      </w:r>
      <w:r w:rsidRPr="000309F2">
        <w:rPr>
          <w:rFonts w:ascii="Times New Roman" w:eastAsia="Calibri" w:hAnsi="Times New Roman" w:cs="Times New Roman"/>
          <w:color w:val="000000" w:themeColor="text1"/>
          <w:lang w:val="en-US"/>
        </w:rPr>
        <w:t>.</w:t>
      </w:r>
      <w:r w:rsidR="00F94429" w:rsidRPr="000309F2">
        <w:rPr>
          <w:rFonts w:ascii="Times New Roman" w:eastAsia="Calibri" w:hAnsi="Times New Roman" w:cs="Times New Roman"/>
          <w:color w:val="000000" w:themeColor="text1"/>
          <w:lang w:val="en-US"/>
        </w:rPr>
        <w:t xml:space="preserve"> </w:t>
      </w:r>
    </w:p>
    <w:p w14:paraId="55439E4F" w14:textId="16684151" w:rsidR="0006494C" w:rsidRPr="000309F2" w:rsidRDefault="00F94429" w:rsidP="00F94429">
      <w:pPr>
        <w:spacing w:after="0" w:line="480" w:lineRule="auto"/>
        <w:jc w:val="left"/>
        <w:rPr>
          <w:rFonts w:ascii="Times New Roman" w:eastAsia="Calibri" w:hAnsi="Times New Roman" w:cs="Times New Roman"/>
          <w:color w:val="000000" w:themeColor="text1"/>
          <w:lang w:val="en-US"/>
        </w:rPr>
        <w:sectPr w:rsidR="0006494C" w:rsidRPr="000309F2" w:rsidSect="0006494C">
          <w:pgSz w:w="11906" w:h="16838"/>
          <w:pgMar w:top="1440" w:right="1440" w:bottom="1440" w:left="1440" w:header="720" w:footer="720" w:gutter="0"/>
          <w:cols w:space="720"/>
          <w:docGrid w:linePitch="360"/>
        </w:sectPr>
      </w:pPr>
      <w:r w:rsidRPr="000309F2">
        <w:rPr>
          <w:rFonts w:ascii="Times New Roman" w:eastAsia="Calibri" w:hAnsi="Times New Roman" w:cs="Times New Roman"/>
          <w:color w:val="000000" w:themeColor="text1"/>
          <w:lang w:val="en-US"/>
        </w:rPr>
        <w:t xml:space="preserve">Heterogeneity assessments indicated substantial between-study variability (τ² = 0.53, I² = 90.17%, 95% PI -1.53 to 1.33), with no significant overall effect of HD-tDCS on target outcomes (g = -0.10, 95% CI -0.52 to 0.32, p = 0.636). </w:t>
      </w:r>
      <w:r w:rsidR="00277152" w:rsidRPr="000309F2">
        <w:rPr>
          <w:rFonts w:ascii="Times New Roman" w:eastAsia="Calibri" w:hAnsi="Times New Roman" w:cs="Times New Roman"/>
          <w:color w:val="000000" w:themeColor="text1"/>
          <w:lang w:val="en-US"/>
        </w:rPr>
        <w:t>Given the small number of studies, we did not assess moderation</w:t>
      </w:r>
      <w:r w:rsidRPr="000309F2">
        <w:rPr>
          <w:rFonts w:ascii="Times New Roman" w:eastAsia="Calibri" w:hAnsi="Times New Roman" w:cs="Times New Roman"/>
          <w:color w:val="000000" w:themeColor="text1"/>
          <w:lang w:val="en-US"/>
        </w:rPr>
        <w:t xml:space="preserve">. </w:t>
      </w:r>
    </w:p>
    <w:p w14:paraId="4DEC9B06" w14:textId="6FB0140B" w:rsidR="0006494C" w:rsidRPr="000309F2" w:rsidRDefault="0006494C" w:rsidP="0006494C">
      <w:pPr>
        <w:spacing w:after="0" w:line="480" w:lineRule="auto"/>
        <w:jc w:val="left"/>
        <w:rPr>
          <w:rFonts w:ascii="Times New Roman" w:eastAsia="Calibri" w:hAnsi="Times New Roman" w:cs="Times New Roman"/>
          <w:i/>
          <w:iCs/>
          <w:color w:val="000000" w:themeColor="text1"/>
          <w:lang w:val="en-US"/>
        </w:rPr>
      </w:pPr>
      <w:r w:rsidRPr="000309F2">
        <w:rPr>
          <w:rFonts w:ascii="Times New Roman" w:eastAsia="Calibri" w:hAnsi="Times New Roman" w:cs="Times New Roman"/>
          <w:b/>
          <w:bCs/>
          <w:color w:val="000000" w:themeColor="text1"/>
          <w:lang w:val="en-US"/>
        </w:rPr>
        <w:lastRenderedPageBreak/>
        <w:t xml:space="preserve">Supplementary </w:t>
      </w:r>
      <w:r w:rsidR="00A7765B" w:rsidRPr="000309F2">
        <w:rPr>
          <w:rFonts w:ascii="Times New Roman" w:eastAsia="Calibri" w:hAnsi="Times New Roman" w:cs="Times New Roman"/>
          <w:b/>
          <w:bCs/>
          <w:color w:val="000000" w:themeColor="text1"/>
          <w:lang w:val="en-US"/>
        </w:rPr>
        <w:t>5</w:t>
      </w:r>
      <w:r w:rsidRPr="000309F2">
        <w:rPr>
          <w:rFonts w:ascii="Times New Roman" w:eastAsia="Calibri" w:hAnsi="Times New Roman" w:cs="Times New Roman"/>
          <w:b/>
          <w:bCs/>
          <w:color w:val="000000" w:themeColor="text1"/>
          <w:lang w:val="en-US"/>
        </w:rPr>
        <w:t xml:space="preserve">. </w:t>
      </w:r>
      <w:r w:rsidRPr="000309F2">
        <w:rPr>
          <w:rFonts w:ascii="Times New Roman" w:eastAsia="Calibri" w:hAnsi="Times New Roman" w:cs="Times New Roman"/>
          <w:i/>
          <w:iCs/>
          <w:color w:val="000000" w:themeColor="text1"/>
          <w:lang w:val="en-US"/>
        </w:rPr>
        <w:t>Leave-one-out analyses and influence diagnostics</w:t>
      </w:r>
    </w:p>
    <w:tbl>
      <w:tblPr>
        <w:tblW w:w="5000" w:type="pct"/>
        <w:tblLook w:val="04A0" w:firstRow="1" w:lastRow="0" w:firstColumn="1" w:lastColumn="0" w:noHBand="0" w:noVBand="1"/>
      </w:tblPr>
      <w:tblGrid>
        <w:gridCol w:w="1001"/>
        <w:gridCol w:w="1003"/>
        <w:gridCol w:w="1004"/>
        <w:gridCol w:w="1004"/>
        <w:gridCol w:w="1004"/>
        <w:gridCol w:w="1004"/>
        <w:gridCol w:w="1004"/>
        <w:gridCol w:w="1003"/>
        <w:gridCol w:w="999"/>
      </w:tblGrid>
      <w:tr w:rsidR="00B25BDD" w:rsidRPr="000309F2" w14:paraId="7CB8395D" w14:textId="77777777" w:rsidTr="00A50204">
        <w:trPr>
          <w:trHeight w:val="432"/>
        </w:trPr>
        <w:tc>
          <w:tcPr>
            <w:tcW w:w="5000" w:type="pct"/>
            <w:gridSpan w:val="9"/>
            <w:tcBorders>
              <w:top w:val="single" w:sz="8" w:space="0" w:color="auto"/>
              <w:bottom w:val="single" w:sz="8" w:space="0" w:color="auto"/>
            </w:tcBorders>
            <w:vAlign w:val="center"/>
          </w:tcPr>
          <w:p w14:paraId="09041577" w14:textId="5F0340D9"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lang w:val="en-US" w:eastAsia="en-GB"/>
                <w14:ligatures w14:val="none"/>
              </w:rPr>
              <w:t>HF-rTMS</w:t>
            </w:r>
          </w:p>
        </w:tc>
      </w:tr>
      <w:tr w:rsidR="00B25BDD" w:rsidRPr="000309F2" w14:paraId="16D0155D" w14:textId="77777777" w:rsidTr="0026214D">
        <w:trPr>
          <w:trHeight w:val="432"/>
        </w:trPr>
        <w:tc>
          <w:tcPr>
            <w:tcW w:w="555" w:type="pct"/>
            <w:tcBorders>
              <w:top w:val="single" w:sz="8" w:space="0" w:color="auto"/>
              <w:bottom w:val="single" w:sz="6" w:space="0" w:color="auto"/>
            </w:tcBorders>
            <w:vAlign w:val="center"/>
            <w:hideMark/>
          </w:tcPr>
          <w:p w14:paraId="427D9B6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Study</w:t>
            </w:r>
          </w:p>
        </w:tc>
        <w:tc>
          <w:tcPr>
            <w:tcW w:w="556" w:type="pct"/>
            <w:tcBorders>
              <w:top w:val="single" w:sz="8" w:space="0" w:color="auto"/>
              <w:bottom w:val="single" w:sz="6" w:space="0" w:color="auto"/>
            </w:tcBorders>
            <w:vAlign w:val="center"/>
            <w:hideMark/>
          </w:tcPr>
          <w:p w14:paraId="67BF6035"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Estimate</w:t>
            </w:r>
          </w:p>
        </w:tc>
        <w:tc>
          <w:tcPr>
            <w:tcW w:w="556" w:type="pct"/>
            <w:tcBorders>
              <w:top w:val="single" w:sz="8" w:space="0" w:color="auto"/>
              <w:bottom w:val="single" w:sz="6" w:space="0" w:color="auto"/>
            </w:tcBorders>
            <w:vAlign w:val="center"/>
            <w:hideMark/>
          </w:tcPr>
          <w:p w14:paraId="33DACE6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Pval</w:t>
            </w:r>
          </w:p>
        </w:tc>
        <w:tc>
          <w:tcPr>
            <w:tcW w:w="556" w:type="pct"/>
            <w:tcBorders>
              <w:top w:val="single" w:sz="8" w:space="0" w:color="auto"/>
              <w:bottom w:val="single" w:sz="6" w:space="0" w:color="auto"/>
            </w:tcBorders>
            <w:vAlign w:val="center"/>
            <w:hideMark/>
          </w:tcPr>
          <w:p w14:paraId="6C2C6C7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CI.lb</w:t>
            </w:r>
          </w:p>
        </w:tc>
        <w:tc>
          <w:tcPr>
            <w:tcW w:w="556" w:type="pct"/>
            <w:tcBorders>
              <w:top w:val="single" w:sz="8" w:space="0" w:color="auto"/>
              <w:bottom w:val="single" w:sz="6" w:space="0" w:color="auto"/>
            </w:tcBorders>
            <w:vAlign w:val="center"/>
            <w:hideMark/>
          </w:tcPr>
          <w:p w14:paraId="7F4A6D37"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CI.ub</w:t>
            </w:r>
          </w:p>
        </w:tc>
        <w:tc>
          <w:tcPr>
            <w:tcW w:w="556" w:type="pct"/>
            <w:tcBorders>
              <w:top w:val="single" w:sz="8" w:space="0" w:color="auto"/>
              <w:bottom w:val="single" w:sz="6" w:space="0" w:color="auto"/>
            </w:tcBorders>
            <w:vAlign w:val="center"/>
            <w:hideMark/>
          </w:tcPr>
          <w:p w14:paraId="654CE292"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Tau2</w:t>
            </w:r>
          </w:p>
        </w:tc>
        <w:tc>
          <w:tcPr>
            <w:tcW w:w="556" w:type="pct"/>
            <w:tcBorders>
              <w:top w:val="single" w:sz="8" w:space="0" w:color="auto"/>
              <w:bottom w:val="single" w:sz="6" w:space="0" w:color="auto"/>
            </w:tcBorders>
            <w:vAlign w:val="center"/>
            <w:hideMark/>
          </w:tcPr>
          <w:p w14:paraId="519CE42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I2</w:t>
            </w:r>
          </w:p>
        </w:tc>
        <w:tc>
          <w:tcPr>
            <w:tcW w:w="556" w:type="pct"/>
            <w:tcBorders>
              <w:top w:val="single" w:sz="8" w:space="0" w:color="auto"/>
              <w:bottom w:val="single" w:sz="6" w:space="0" w:color="auto"/>
            </w:tcBorders>
            <w:vAlign w:val="center"/>
            <w:hideMark/>
          </w:tcPr>
          <w:p w14:paraId="0AE9F308"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Rstudent</w:t>
            </w:r>
          </w:p>
        </w:tc>
        <w:tc>
          <w:tcPr>
            <w:tcW w:w="553" w:type="pct"/>
            <w:tcBorders>
              <w:top w:val="single" w:sz="8" w:space="0" w:color="auto"/>
              <w:bottom w:val="single" w:sz="6" w:space="0" w:color="auto"/>
            </w:tcBorders>
            <w:vAlign w:val="center"/>
            <w:hideMark/>
          </w:tcPr>
          <w:p w14:paraId="4C1D303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Cook.d</w:t>
            </w:r>
          </w:p>
        </w:tc>
      </w:tr>
      <w:tr w:rsidR="00B25BDD" w:rsidRPr="000309F2" w14:paraId="3A421A92" w14:textId="77777777" w:rsidTr="0026214D">
        <w:trPr>
          <w:trHeight w:val="432"/>
        </w:trPr>
        <w:tc>
          <w:tcPr>
            <w:tcW w:w="555" w:type="pct"/>
            <w:tcBorders>
              <w:top w:val="single" w:sz="6" w:space="0" w:color="auto"/>
            </w:tcBorders>
            <w:vAlign w:val="center"/>
            <w:hideMark/>
          </w:tcPr>
          <w:p w14:paraId="47D040AA"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w:t>
            </w:r>
          </w:p>
        </w:tc>
        <w:tc>
          <w:tcPr>
            <w:tcW w:w="556" w:type="pct"/>
            <w:tcBorders>
              <w:top w:val="single" w:sz="6" w:space="0" w:color="auto"/>
            </w:tcBorders>
            <w:vAlign w:val="center"/>
            <w:hideMark/>
          </w:tcPr>
          <w:p w14:paraId="1B4D963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0.49</w:t>
            </w:r>
          </w:p>
        </w:tc>
        <w:tc>
          <w:tcPr>
            <w:tcW w:w="556" w:type="pct"/>
            <w:tcBorders>
              <w:top w:val="single" w:sz="6" w:space="0" w:color="auto"/>
            </w:tcBorders>
            <w:vAlign w:val="center"/>
            <w:hideMark/>
          </w:tcPr>
          <w:p w14:paraId="0A88C1B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0.052</w:t>
            </w:r>
          </w:p>
        </w:tc>
        <w:tc>
          <w:tcPr>
            <w:tcW w:w="556" w:type="pct"/>
            <w:tcBorders>
              <w:top w:val="single" w:sz="6" w:space="0" w:color="auto"/>
            </w:tcBorders>
            <w:vAlign w:val="center"/>
            <w:hideMark/>
          </w:tcPr>
          <w:p w14:paraId="3B7CDF2D"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0.00</w:t>
            </w:r>
          </w:p>
        </w:tc>
        <w:tc>
          <w:tcPr>
            <w:tcW w:w="556" w:type="pct"/>
            <w:tcBorders>
              <w:top w:val="single" w:sz="6" w:space="0" w:color="auto"/>
            </w:tcBorders>
            <w:vAlign w:val="center"/>
            <w:hideMark/>
          </w:tcPr>
          <w:p w14:paraId="408A9CAF"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0.98</w:t>
            </w:r>
          </w:p>
        </w:tc>
        <w:tc>
          <w:tcPr>
            <w:tcW w:w="556" w:type="pct"/>
            <w:tcBorders>
              <w:top w:val="single" w:sz="6" w:space="0" w:color="auto"/>
            </w:tcBorders>
            <w:vAlign w:val="center"/>
            <w:hideMark/>
          </w:tcPr>
          <w:p w14:paraId="20A9CF8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1.15</w:t>
            </w:r>
          </w:p>
        </w:tc>
        <w:tc>
          <w:tcPr>
            <w:tcW w:w="556" w:type="pct"/>
            <w:tcBorders>
              <w:top w:val="single" w:sz="6" w:space="0" w:color="auto"/>
            </w:tcBorders>
            <w:vAlign w:val="center"/>
            <w:hideMark/>
          </w:tcPr>
          <w:p w14:paraId="2D8B1B60"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92.86</w:t>
            </w:r>
          </w:p>
        </w:tc>
        <w:tc>
          <w:tcPr>
            <w:tcW w:w="556" w:type="pct"/>
            <w:tcBorders>
              <w:top w:val="single" w:sz="6" w:space="0" w:color="auto"/>
            </w:tcBorders>
            <w:vAlign w:val="center"/>
            <w:hideMark/>
          </w:tcPr>
          <w:p w14:paraId="4CA60798"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1.60</w:t>
            </w:r>
          </w:p>
        </w:tc>
        <w:tc>
          <w:tcPr>
            <w:tcW w:w="553" w:type="pct"/>
            <w:tcBorders>
              <w:top w:val="single" w:sz="6" w:space="0" w:color="auto"/>
            </w:tcBorders>
            <w:vAlign w:val="center"/>
            <w:hideMark/>
          </w:tcPr>
          <w:p w14:paraId="187E2445"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0.12</w:t>
            </w:r>
          </w:p>
        </w:tc>
      </w:tr>
      <w:tr w:rsidR="00B25BDD" w:rsidRPr="000309F2" w14:paraId="66A65585" w14:textId="77777777" w:rsidTr="0026214D">
        <w:trPr>
          <w:trHeight w:val="432"/>
        </w:trPr>
        <w:tc>
          <w:tcPr>
            <w:tcW w:w="555" w:type="pct"/>
            <w:vAlign w:val="center"/>
            <w:hideMark/>
          </w:tcPr>
          <w:p w14:paraId="15023306"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2</w:t>
            </w:r>
            <w:r w:rsidRPr="000309F2">
              <w:rPr>
                <w:rFonts w:ascii="Times New Roman" w:eastAsia="Times New Roman" w:hAnsi="Times New Roman" w:cs="Times New Roman"/>
                <w:color w:val="000000" w:themeColor="text1"/>
                <w:kern w:val="0"/>
                <w:sz w:val="20"/>
                <w:szCs w:val="20"/>
                <w:vertAlign w:val="superscript"/>
                <w:lang w:val="en-US" w:eastAsia="en-GB"/>
                <w14:ligatures w14:val="none"/>
              </w:rPr>
              <w:t>*</w:t>
            </w:r>
          </w:p>
        </w:tc>
        <w:tc>
          <w:tcPr>
            <w:tcW w:w="556" w:type="pct"/>
            <w:vAlign w:val="center"/>
            <w:hideMark/>
          </w:tcPr>
          <w:p w14:paraId="106C3ACF"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0.40</w:t>
            </w:r>
          </w:p>
        </w:tc>
        <w:tc>
          <w:tcPr>
            <w:tcW w:w="556" w:type="pct"/>
            <w:vAlign w:val="center"/>
            <w:hideMark/>
          </w:tcPr>
          <w:p w14:paraId="2318D192"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0.042</w:t>
            </w:r>
          </w:p>
        </w:tc>
        <w:tc>
          <w:tcPr>
            <w:tcW w:w="556" w:type="pct"/>
            <w:vAlign w:val="center"/>
            <w:hideMark/>
          </w:tcPr>
          <w:p w14:paraId="0A2C94A0"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0.02</w:t>
            </w:r>
          </w:p>
        </w:tc>
        <w:tc>
          <w:tcPr>
            <w:tcW w:w="556" w:type="pct"/>
            <w:vAlign w:val="center"/>
            <w:hideMark/>
          </w:tcPr>
          <w:p w14:paraId="6B4E75A5"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0.79</w:t>
            </w:r>
          </w:p>
        </w:tc>
        <w:tc>
          <w:tcPr>
            <w:tcW w:w="556" w:type="pct"/>
            <w:vAlign w:val="center"/>
            <w:hideMark/>
          </w:tcPr>
          <w:p w14:paraId="3C042BA2"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0.67</w:t>
            </w:r>
          </w:p>
        </w:tc>
        <w:tc>
          <w:tcPr>
            <w:tcW w:w="556" w:type="pct"/>
            <w:vAlign w:val="center"/>
            <w:hideMark/>
          </w:tcPr>
          <w:p w14:paraId="070AC6E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88.51</w:t>
            </w:r>
          </w:p>
        </w:tc>
        <w:tc>
          <w:tcPr>
            <w:tcW w:w="556" w:type="pct"/>
            <w:vAlign w:val="center"/>
            <w:hideMark/>
          </w:tcPr>
          <w:p w14:paraId="437CAE8F"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4.06</w:t>
            </w:r>
          </w:p>
        </w:tc>
        <w:tc>
          <w:tcPr>
            <w:tcW w:w="553" w:type="pct"/>
            <w:vAlign w:val="center"/>
            <w:hideMark/>
          </w:tcPr>
          <w:p w14:paraId="2141715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0.48</w:t>
            </w:r>
          </w:p>
        </w:tc>
      </w:tr>
      <w:tr w:rsidR="00B25BDD" w:rsidRPr="000309F2" w14:paraId="4D3324E1" w14:textId="77777777" w:rsidTr="0026214D">
        <w:trPr>
          <w:trHeight w:val="432"/>
        </w:trPr>
        <w:tc>
          <w:tcPr>
            <w:tcW w:w="555" w:type="pct"/>
            <w:vAlign w:val="center"/>
            <w:hideMark/>
          </w:tcPr>
          <w:p w14:paraId="162BC8A1"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3</w:t>
            </w:r>
          </w:p>
        </w:tc>
        <w:tc>
          <w:tcPr>
            <w:tcW w:w="556" w:type="pct"/>
            <w:vAlign w:val="center"/>
            <w:hideMark/>
          </w:tcPr>
          <w:p w14:paraId="28BC7EE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0.61</w:t>
            </w:r>
          </w:p>
        </w:tc>
        <w:tc>
          <w:tcPr>
            <w:tcW w:w="556" w:type="pct"/>
            <w:vAlign w:val="center"/>
            <w:hideMark/>
          </w:tcPr>
          <w:p w14:paraId="625C9F5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0.023</w:t>
            </w:r>
          </w:p>
        </w:tc>
        <w:tc>
          <w:tcPr>
            <w:tcW w:w="556" w:type="pct"/>
            <w:vAlign w:val="center"/>
            <w:hideMark/>
          </w:tcPr>
          <w:p w14:paraId="165A5E8C"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0.08</w:t>
            </w:r>
          </w:p>
        </w:tc>
        <w:tc>
          <w:tcPr>
            <w:tcW w:w="556" w:type="pct"/>
            <w:vAlign w:val="center"/>
            <w:hideMark/>
          </w:tcPr>
          <w:p w14:paraId="23E9D75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1.14</w:t>
            </w:r>
          </w:p>
        </w:tc>
        <w:tc>
          <w:tcPr>
            <w:tcW w:w="556" w:type="pct"/>
            <w:vAlign w:val="center"/>
            <w:hideMark/>
          </w:tcPr>
          <w:p w14:paraId="5CF6B3BD"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1.33</w:t>
            </w:r>
          </w:p>
        </w:tc>
        <w:tc>
          <w:tcPr>
            <w:tcW w:w="556" w:type="pct"/>
            <w:vAlign w:val="center"/>
            <w:hideMark/>
          </w:tcPr>
          <w:p w14:paraId="7F5A4E05"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93.67</w:t>
            </w:r>
          </w:p>
        </w:tc>
        <w:tc>
          <w:tcPr>
            <w:tcW w:w="556" w:type="pct"/>
            <w:vAlign w:val="center"/>
            <w:hideMark/>
          </w:tcPr>
          <w:p w14:paraId="4670196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-0.49</w:t>
            </w:r>
          </w:p>
        </w:tc>
        <w:tc>
          <w:tcPr>
            <w:tcW w:w="553" w:type="pct"/>
            <w:vAlign w:val="center"/>
            <w:hideMark/>
          </w:tcPr>
          <w:p w14:paraId="558AE9A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0.01</w:t>
            </w:r>
          </w:p>
        </w:tc>
      </w:tr>
      <w:tr w:rsidR="00B25BDD" w:rsidRPr="000309F2" w14:paraId="61E702B8" w14:textId="77777777" w:rsidTr="0026214D">
        <w:trPr>
          <w:trHeight w:val="432"/>
        </w:trPr>
        <w:tc>
          <w:tcPr>
            <w:tcW w:w="555" w:type="pct"/>
            <w:vAlign w:val="center"/>
            <w:hideMark/>
          </w:tcPr>
          <w:p w14:paraId="3E1AAAD3"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4</w:t>
            </w:r>
          </w:p>
        </w:tc>
        <w:tc>
          <w:tcPr>
            <w:tcW w:w="556" w:type="pct"/>
            <w:vAlign w:val="center"/>
            <w:hideMark/>
          </w:tcPr>
          <w:p w14:paraId="2018276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0.62</w:t>
            </w:r>
          </w:p>
        </w:tc>
        <w:tc>
          <w:tcPr>
            <w:tcW w:w="556" w:type="pct"/>
            <w:vAlign w:val="center"/>
            <w:hideMark/>
          </w:tcPr>
          <w:p w14:paraId="59ABC66C"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0.022</w:t>
            </w:r>
          </w:p>
        </w:tc>
        <w:tc>
          <w:tcPr>
            <w:tcW w:w="556" w:type="pct"/>
            <w:vAlign w:val="center"/>
            <w:hideMark/>
          </w:tcPr>
          <w:p w14:paraId="2DE805B0"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0.09</w:t>
            </w:r>
          </w:p>
        </w:tc>
        <w:tc>
          <w:tcPr>
            <w:tcW w:w="556" w:type="pct"/>
            <w:vAlign w:val="center"/>
            <w:hideMark/>
          </w:tcPr>
          <w:p w14:paraId="392EEC5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1.14</w:t>
            </w:r>
          </w:p>
        </w:tc>
        <w:tc>
          <w:tcPr>
            <w:tcW w:w="556" w:type="pct"/>
            <w:vAlign w:val="center"/>
            <w:hideMark/>
          </w:tcPr>
          <w:p w14:paraId="582E3A78"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1.32</w:t>
            </w:r>
          </w:p>
        </w:tc>
        <w:tc>
          <w:tcPr>
            <w:tcW w:w="556" w:type="pct"/>
            <w:vAlign w:val="center"/>
            <w:hideMark/>
          </w:tcPr>
          <w:p w14:paraId="0085FE8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93.63</w:t>
            </w:r>
          </w:p>
        </w:tc>
        <w:tc>
          <w:tcPr>
            <w:tcW w:w="556" w:type="pct"/>
            <w:vAlign w:val="center"/>
            <w:hideMark/>
          </w:tcPr>
          <w:p w14:paraId="2F81B72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-0.60</w:t>
            </w:r>
          </w:p>
        </w:tc>
        <w:tc>
          <w:tcPr>
            <w:tcW w:w="553" w:type="pct"/>
            <w:vAlign w:val="center"/>
            <w:hideMark/>
          </w:tcPr>
          <w:p w14:paraId="1E5C9C5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0.02</w:t>
            </w:r>
          </w:p>
        </w:tc>
      </w:tr>
      <w:tr w:rsidR="00B25BDD" w:rsidRPr="000309F2" w14:paraId="2A523CE8" w14:textId="77777777" w:rsidTr="0026214D">
        <w:trPr>
          <w:trHeight w:val="432"/>
        </w:trPr>
        <w:tc>
          <w:tcPr>
            <w:tcW w:w="555" w:type="pct"/>
            <w:vAlign w:val="center"/>
            <w:hideMark/>
          </w:tcPr>
          <w:p w14:paraId="7660431D"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5</w:t>
            </w:r>
          </w:p>
        </w:tc>
        <w:tc>
          <w:tcPr>
            <w:tcW w:w="556" w:type="pct"/>
            <w:vAlign w:val="center"/>
            <w:hideMark/>
          </w:tcPr>
          <w:p w14:paraId="65FBB83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0.61</w:t>
            </w:r>
          </w:p>
        </w:tc>
        <w:tc>
          <w:tcPr>
            <w:tcW w:w="556" w:type="pct"/>
            <w:vAlign w:val="center"/>
            <w:hideMark/>
          </w:tcPr>
          <w:p w14:paraId="04D688B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0.022</w:t>
            </w:r>
          </w:p>
        </w:tc>
        <w:tc>
          <w:tcPr>
            <w:tcW w:w="556" w:type="pct"/>
            <w:vAlign w:val="center"/>
            <w:hideMark/>
          </w:tcPr>
          <w:p w14:paraId="3547CEE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0.09</w:t>
            </w:r>
          </w:p>
        </w:tc>
        <w:tc>
          <w:tcPr>
            <w:tcW w:w="556" w:type="pct"/>
            <w:vAlign w:val="center"/>
            <w:hideMark/>
          </w:tcPr>
          <w:p w14:paraId="1ED9B935"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1.14</w:t>
            </w:r>
          </w:p>
        </w:tc>
        <w:tc>
          <w:tcPr>
            <w:tcW w:w="556" w:type="pct"/>
            <w:vAlign w:val="center"/>
            <w:hideMark/>
          </w:tcPr>
          <w:p w14:paraId="21A2E3B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1.33</w:t>
            </w:r>
          </w:p>
        </w:tc>
        <w:tc>
          <w:tcPr>
            <w:tcW w:w="556" w:type="pct"/>
            <w:vAlign w:val="center"/>
            <w:hideMark/>
          </w:tcPr>
          <w:p w14:paraId="0105FB6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93.65</w:t>
            </w:r>
          </w:p>
        </w:tc>
        <w:tc>
          <w:tcPr>
            <w:tcW w:w="556" w:type="pct"/>
            <w:vAlign w:val="center"/>
            <w:hideMark/>
          </w:tcPr>
          <w:p w14:paraId="5D8A9328"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-0.54</w:t>
            </w:r>
          </w:p>
        </w:tc>
        <w:tc>
          <w:tcPr>
            <w:tcW w:w="553" w:type="pct"/>
            <w:vAlign w:val="center"/>
            <w:hideMark/>
          </w:tcPr>
          <w:p w14:paraId="283C3F3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0.02</w:t>
            </w:r>
          </w:p>
        </w:tc>
      </w:tr>
      <w:tr w:rsidR="00B25BDD" w:rsidRPr="000309F2" w14:paraId="263D7897" w14:textId="77777777" w:rsidTr="0026214D">
        <w:trPr>
          <w:trHeight w:val="432"/>
        </w:trPr>
        <w:tc>
          <w:tcPr>
            <w:tcW w:w="555" w:type="pct"/>
            <w:vAlign w:val="center"/>
            <w:hideMark/>
          </w:tcPr>
          <w:p w14:paraId="2FF769E6"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6</w:t>
            </w:r>
          </w:p>
        </w:tc>
        <w:tc>
          <w:tcPr>
            <w:tcW w:w="556" w:type="pct"/>
            <w:vAlign w:val="center"/>
            <w:hideMark/>
          </w:tcPr>
          <w:p w14:paraId="41A65952"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0.61</w:t>
            </w:r>
          </w:p>
        </w:tc>
        <w:tc>
          <w:tcPr>
            <w:tcW w:w="556" w:type="pct"/>
            <w:vAlign w:val="center"/>
            <w:hideMark/>
          </w:tcPr>
          <w:p w14:paraId="25BD848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0.024</w:t>
            </w:r>
          </w:p>
        </w:tc>
        <w:tc>
          <w:tcPr>
            <w:tcW w:w="556" w:type="pct"/>
            <w:vAlign w:val="center"/>
            <w:hideMark/>
          </w:tcPr>
          <w:p w14:paraId="72929598"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0.08</w:t>
            </w:r>
          </w:p>
        </w:tc>
        <w:tc>
          <w:tcPr>
            <w:tcW w:w="556" w:type="pct"/>
            <w:vAlign w:val="center"/>
            <w:hideMark/>
          </w:tcPr>
          <w:p w14:paraId="7C81E4E5"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1.14</w:t>
            </w:r>
          </w:p>
        </w:tc>
        <w:tc>
          <w:tcPr>
            <w:tcW w:w="556" w:type="pct"/>
            <w:vAlign w:val="center"/>
            <w:hideMark/>
          </w:tcPr>
          <w:p w14:paraId="1E372EFD"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1.33</w:t>
            </w:r>
          </w:p>
        </w:tc>
        <w:tc>
          <w:tcPr>
            <w:tcW w:w="556" w:type="pct"/>
            <w:vAlign w:val="center"/>
            <w:hideMark/>
          </w:tcPr>
          <w:p w14:paraId="461254E2"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93.69</w:t>
            </w:r>
          </w:p>
        </w:tc>
        <w:tc>
          <w:tcPr>
            <w:tcW w:w="556" w:type="pct"/>
            <w:vAlign w:val="center"/>
            <w:hideMark/>
          </w:tcPr>
          <w:p w14:paraId="484F4C0D"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-0.46</w:t>
            </w:r>
          </w:p>
        </w:tc>
        <w:tc>
          <w:tcPr>
            <w:tcW w:w="553" w:type="pct"/>
            <w:vAlign w:val="center"/>
            <w:hideMark/>
          </w:tcPr>
          <w:p w14:paraId="2525626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0.01</w:t>
            </w:r>
          </w:p>
        </w:tc>
      </w:tr>
      <w:tr w:rsidR="00B25BDD" w:rsidRPr="000309F2" w14:paraId="23441426" w14:textId="77777777" w:rsidTr="0026214D">
        <w:trPr>
          <w:trHeight w:val="432"/>
        </w:trPr>
        <w:tc>
          <w:tcPr>
            <w:tcW w:w="555" w:type="pct"/>
            <w:vAlign w:val="center"/>
            <w:hideMark/>
          </w:tcPr>
          <w:p w14:paraId="1F480AE7"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7</w:t>
            </w:r>
          </w:p>
        </w:tc>
        <w:tc>
          <w:tcPr>
            <w:tcW w:w="556" w:type="pct"/>
            <w:vAlign w:val="center"/>
            <w:hideMark/>
          </w:tcPr>
          <w:p w14:paraId="29D715C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0.66</w:t>
            </w:r>
          </w:p>
        </w:tc>
        <w:tc>
          <w:tcPr>
            <w:tcW w:w="556" w:type="pct"/>
            <w:vAlign w:val="center"/>
            <w:hideMark/>
          </w:tcPr>
          <w:p w14:paraId="3B6BA001"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0.011</w:t>
            </w:r>
          </w:p>
        </w:tc>
        <w:tc>
          <w:tcPr>
            <w:tcW w:w="556" w:type="pct"/>
            <w:vAlign w:val="center"/>
            <w:hideMark/>
          </w:tcPr>
          <w:p w14:paraId="2AE613FE"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0.15</w:t>
            </w:r>
          </w:p>
        </w:tc>
        <w:tc>
          <w:tcPr>
            <w:tcW w:w="556" w:type="pct"/>
            <w:vAlign w:val="center"/>
            <w:hideMark/>
          </w:tcPr>
          <w:p w14:paraId="5799B1A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1.16</w:t>
            </w:r>
          </w:p>
        </w:tc>
        <w:tc>
          <w:tcPr>
            <w:tcW w:w="556" w:type="pct"/>
            <w:vAlign w:val="center"/>
            <w:hideMark/>
          </w:tcPr>
          <w:p w14:paraId="3E40CD8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1.22</w:t>
            </w:r>
          </w:p>
        </w:tc>
        <w:tc>
          <w:tcPr>
            <w:tcW w:w="556" w:type="pct"/>
            <w:vAlign w:val="center"/>
            <w:hideMark/>
          </w:tcPr>
          <w:p w14:paraId="57196B90"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93.15</w:t>
            </w:r>
          </w:p>
        </w:tc>
        <w:tc>
          <w:tcPr>
            <w:tcW w:w="556" w:type="pct"/>
            <w:vAlign w:val="center"/>
            <w:hideMark/>
          </w:tcPr>
          <w:p w14:paraId="05406402"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-1.34</w:t>
            </w:r>
          </w:p>
        </w:tc>
        <w:tc>
          <w:tcPr>
            <w:tcW w:w="553" w:type="pct"/>
            <w:vAlign w:val="center"/>
            <w:hideMark/>
          </w:tcPr>
          <w:p w14:paraId="12495B6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0.08</w:t>
            </w:r>
          </w:p>
        </w:tc>
      </w:tr>
      <w:tr w:rsidR="00B25BDD" w:rsidRPr="000309F2" w14:paraId="174F3054" w14:textId="77777777" w:rsidTr="0026214D">
        <w:trPr>
          <w:trHeight w:val="432"/>
        </w:trPr>
        <w:tc>
          <w:tcPr>
            <w:tcW w:w="555" w:type="pct"/>
            <w:vAlign w:val="center"/>
            <w:hideMark/>
          </w:tcPr>
          <w:p w14:paraId="05C5C336"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8</w:t>
            </w:r>
          </w:p>
        </w:tc>
        <w:tc>
          <w:tcPr>
            <w:tcW w:w="556" w:type="pct"/>
            <w:vAlign w:val="center"/>
            <w:hideMark/>
          </w:tcPr>
          <w:p w14:paraId="0EDE941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0.61</w:t>
            </w:r>
          </w:p>
        </w:tc>
        <w:tc>
          <w:tcPr>
            <w:tcW w:w="556" w:type="pct"/>
            <w:vAlign w:val="center"/>
            <w:hideMark/>
          </w:tcPr>
          <w:p w14:paraId="0BE3BC9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0.022</w:t>
            </w:r>
          </w:p>
        </w:tc>
        <w:tc>
          <w:tcPr>
            <w:tcW w:w="556" w:type="pct"/>
            <w:vAlign w:val="center"/>
            <w:hideMark/>
          </w:tcPr>
          <w:p w14:paraId="3AC6302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0.09</w:t>
            </w:r>
          </w:p>
        </w:tc>
        <w:tc>
          <w:tcPr>
            <w:tcW w:w="556" w:type="pct"/>
            <w:vAlign w:val="center"/>
            <w:hideMark/>
          </w:tcPr>
          <w:p w14:paraId="6032902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1.14</w:t>
            </w:r>
          </w:p>
        </w:tc>
        <w:tc>
          <w:tcPr>
            <w:tcW w:w="556" w:type="pct"/>
            <w:vAlign w:val="center"/>
            <w:hideMark/>
          </w:tcPr>
          <w:p w14:paraId="0ED0FA4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1.32</w:t>
            </w:r>
          </w:p>
        </w:tc>
        <w:tc>
          <w:tcPr>
            <w:tcW w:w="556" w:type="pct"/>
            <w:vAlign w:val="center"/>
            <w:hideMark/>
          </w:tcPr>
          <w:p w14:paraId="021EC5B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93.66</w:t>
            </w:r>
          </w:p>
        </w:tc>
        <w:tc>
          <w:tcPr>
            <w:tcW w:w="556" w:type="pct"/>
            <w:vAlign w:val="center"/>
            <w:hideMark/>
          </w:tcPr>
          <w:p w14:paraId="7193FFB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-0.55</w:t>
            </w:r>
          </w:p>
        </w:tc>
        <w:tc>
          <w:tcPr>
            <w:tcW w:w="553" w:type="pct"/>
            <w:vAlign w:val="center"/>
            <w:hideMark/>
          </w:tcPr>
          <w:p w14:paraId="55C590C1"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0.02</w:t>
            </w:r>
          </w:p>
        </w:tc>
      </w:tr>
      <w:tr w:rsidR="00B25BDD" w:rsidRPr="000309F2" w14:paraId="5CB09A5A" w14:textId="77777777" w:rsidTr="0026214D">
        <w:trPr>
          <w:trHeight w:val="432"/>
        </w:trPr>
        <w:tc>
          <w:tcPr>
            <w:tcW w:w="555" w:type="pct"/>
            <w:vAlign w:val="center"/>
            <w:hideMark/>
          </w:tcPr>
          <w:p w14:paraId="53FDD5CA"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w:t>
            </w:r>
          </w:p>
        </w:tc>
        <w:tc>
          <w:tcPr>
            <w:tcW w:w="556" w:type="pct"/>
            <w:vAlign w:val="center"/>
            <w:hideMark/>
          </w:tcPr>
          <w:p w14:paraId="4BFF86F7"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0.64</w:t>
            </w:r>
          </w:p>
        </w:tc>
        <w:tc>
          <w:tcPr>
            <w:tcW w:w="556" w:type="pct"/>
            <w:vAlign w:val="center"/>
            <w:hideMark/>
          </w:tcPr>
          <w:p w14:paraId="24E990BE"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0.016</w:t>
            </w:r>
          </w:p>
        </w:tc>
        <w:tc>
          <w:tcPr>
            <w:tcW w:w="556" w:type="pct"/>
            <w:vAlign w:val="center"/>
            <w:hideMark/>
          </w:tcPr>
          <w:p w14:paraId="2F6288C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0.12</w:t>
            </w:r>
          </w:p>
        </w:tc>
        <w:tc>
          <w:tcPr>
            <w:tcW w:w="556" w:type="pct"/>
            <w:vAlign w:val="center"/>
            <w:hideMark/>
          </w:tcPr>
          <w:p w14:paraId="722676F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1.15</w:t>
            </w:r>
          </w:p>
        </w:tc>
        <w:tc>
          <w:tcPr>
            <w:tcW w:w="556" w:type="pct"/>
            <w:vAlign w:val="center"/>
            <w:hideMark/>
          </w:tcPr>
          <w:p w14:paraId="48AEA371"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1.27</w:t>
            </w:r>
          </w:p>
        </w:tc>
        <w:tc>
          <w:tcPr>
            <w:tcW w:w="556" w:type="pct"/>
            <w:vAlign w:val="center"/>
            <w:hideMark/>
          </w:tcPr>
          <w:p w14:paraId="6EC10B6D"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93.50</w:t>
            </w:r>
          </w:p>
        </w:tc>
        <w:tc>
          <w:tcPr>
            <w:tcW w:w="556" w:type="pct"/>
            <w:vAlign w:val="center"/>
            <w:hideMark/>
          </w:tcPr>
          <w:p w14:paraId="7EE04B95"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-0.98</w:t>
            </w:r>
          </w:p>
        </w:tc>
        <w:tc>
          <w:tcPr>
            <w:tcW w:w="553" w:type="pct"/>
            <w:vAlign w:val="center"/>
            <w:hideMark/>
          </w:tcPr>
          <w:p w14:paraId="7DC07E0C"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0.05</w:t>
            </w:r>
          </w:p>
        </w:tc>
      </w:tr>
      <w:tr w:rsidR="00B25BDD" w:rsidRPr="000309F2" w14:paraId="139A2704" w14:textId="77777777" w:rsidTr="0026214D">
        <w:trPr>
          <w:trHeight w:val="432"/>
        </w:trPr>
        <w:tc>
          <w:tcPr>
            <w:tcW w:w="555" w:type="pct"/>
            <w:vAlign w:val="center"/>
            <w:hideMark/>
          </w:tcPr>
          <w:p w14:paraId="7E1E629B"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10</w:t>
            </w:r>
          </w:p>
        </w:tc>
        <w:tc>
          <w:tcPr>
            <w:tcW w:w="556" w:type="pct"/>
            <w:vAlign w:val="center"/>
            <w:hideMark/>
          </w:tcPr>
          <w:p w14:paraId="6EB9D46F"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0.60</w:t>
            </w:r>
          </w:p>
        </w:tc>
        <w:tc>
          <w:tcPr>
            <w:tcW w:w="556" w:type="pct"/>
            <w:vAlign w:val="center"/>
            <w:hideMark/>
          </w:tcPr>
          <w:p w14:paraId="6A17978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0.025</w:t>
            </w:r>
          </w:p>
        </w:tc>
        <w:tc>
          <w:tcPr>
            <w:tcW w:w="556" w:type="pct"/>
            <w:vAlign w:val="center"/>
            <w:hideMark/>
          </w:tcPr>
          <w:p w14:paraId="261D74A8"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0.07</w:t>
            </w:r>
          </w:p>
        </w:tc>
        <w:tc>
          <w:tcPr>
            <w:tcW w:w="556" w:type="pct"/>
            <w:vAlign w:val="center"/>
            <w:hideMark/>
          </w:tcPr>
          <w:p w14:paraId="53111D9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1.13</w:t>
            </w:r>
          </w:p>
        </w:tc>
        <w:tc>
          <w:tcPr>
            <w:tcW w:w="556" w:type="pct"/>
            <w:vAlign w:val="center"/>
            <w:hideMark/>
          </w:tcPr>
          <w:p w14:paraId="52A9B59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1.34</w:t>
            </w:r>
          </w:p>
        </w:tc>
        <w:tc>
          <w:tcPr>
            <w:tcW w:w="556" w:type="pct"/>
            <w:vAlign w:val="center"/>
            <w:hideMark/>
          </w:tcPr>
          <w:p w14:paraId="53A7A251"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93.78</w:t>
            </w:r>
          </w:p>
        </w:tc>
        <w:tc>
          <w:tcPr>
            <w:tcW w:w="556" w:type="pct"/>
            <w:vAlign w:val="center"/>
            <w:hideMark/>
          </w:tcPr>
          <w:p w14:paraId="610AD610"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-0.35</w:t>
            </w:r>
          </w:p>
        </w:tc>
        <w:tc>
          <w:tcPr>
            <w:tcW w:w="553" w:type="pct"/>
            <w:vAlign w:val="center"/>
            <w:hideMark/>
          </w:tcPr>
          <w:p w14:paraId="77C31F71"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0.01</w:t>
            </w:r>
          </w:p>
        </w:tc>
      </w:tr>
      <w:tr w:rsidR="00B25BDD" w:rsidRPr="000309F2" w14:paraId="2C39A9F1" w14:textId="77777777" w:rsidTr="0026214D">
        <w:trPr>
          <w:trHeight w:val="432"/>
        </w:trPr>
        <w:tc>
          <w:tcPr>
            <w:tcW w:w="555" w:type="pct"/>
            <w:vAlign w:val="center"/>
            <w:hideMark/>
          </w:tcPr>
          <w:p w14:paraId="1BD78CC3"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11</w:t>
            </w:r>
          </w:p>
        </w:tc>
        <w:tc>
          <w:tcPr>
            <w:tcW w:w="556" w:type="pct"/>
            <w:vAlign w:val="center"/>
            <w:hideMark/>
          </w:tcPr>
          <w:p w14:paraId="373FD32E"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0.62</w:t>
            </w:r>
          </w:p>
        </w:tc>
        <w:tc>
          <w:tcPr>
            <w:tcW w:w="556" w:type="pct"/>
            <w:vAlign w:val="center"/>
            <w:hideMark/>
          </w:tcPr>
          <w:p w14:paraId="26956A5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0.022</w:t>
            </w:r>
          </w:p>
        </w:tc>
        <w:tc>
          <w:tcPr>
            <w:tcW w:w="556" w:type="pct"/>
            <w:vAlign w:val="center"/>
            <w:hideMark/>
          </w:tcPr>
          <w:p w14:paraId="4D1D9B9E"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0.09</w:t>
            </w:r>
          </w:p>
        </w:tc>
        <w:tc>
          <w:tcPr>
            <w:tcW w:w="556" w:type="pct"/>
            <w:vAlign w:val="center"/>
            <w:hideMark/>
          </w:tcPr>
          <w:p w14:paraId="03E7DA9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1.14</w:t>
            </w:r>
          </w:p>
        </w:tc>
        <w:tc>
          <w:tcPr>
            <w:tcW w:w="556" w:type="pct"/>
            <w:vAlign w:val="center"/>
            <w:hideMark/>
          </w:tcPr>
          <w:p w14:paraId="70B96C5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1.33</w:t>
            </w:r>
          </w:p>
        </w:tc>
        <w:tc>
          <w:tcPr>
            <w:tcW w:w="556" w:type="pct"/>
            <w:vAlign w:val="center"/>
            <w:hideMark/>
          </w:tcPr>
          <w:p w14:paraId="147DC96E"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93.14</w:t>
            </w:r>
          </w:p>
        </w:tc>
        <w:tc>
          <w:tcPr>
            <w:tcW w:w="556" w:type="pct"/>
            <w:vAlign w:val="center"/>
            <w:hideMark/>
          </w:tcPr>
          <w:p w14:paraId="38A53EA1"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-0.55</w:t>
            </w:r>
          </w:p>
        </w:tc>
        <w:tc>
          <w:tcPr>
            <w:tcW w:w="553" w:type="pct"/>
            <w:vAlign w:val="center"/>
            <w:hideMark/>
          </w:tcPr>
          <w:p w14:paraId="36606CC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0.02</w:t>
            </w:r>
          </w:p>
        </w:tc>
      </w:tr>
      <w:tr w:rsidR="00B25BDD" w:rsidRPr="000309F2" w14:paraId="3FE23031" w14:textId="77777777" w:rsidTr="0026214D">
        <w:trPr>
          <w:trHeight w:val="432"/>
        </w:trPr>
        <w:tc>
          <w:tcPr>
            <w:tcW w:w="555" w:type="pct"/>
            <w:vAlign w:val="center"/>
            <w:hideMark/>
          </w:tcPr>
          <w:p w14:paraId="3B395D5D"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12</w:t>
            </w:r>
          </w:p>
        </w:tc>
        <w:tc>
          <w:tcPr>
            <w:tcW w:w="556" w:type="pct"/>
            <w:vAlign w:val="center"/>
            <w:hideMark/>
          </w:tcPr>
          <w:p w14:paraId="22BF9852"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0.62</w:t>
            </w:r>
          </w:p>
        </w:tc>
        <w:tc>
          <w:tcPr>
            <w:tcW w:w="556" w:type="pct"/>
            <w:vAlign w:val="center"/>
            <w:hideMark/>
          </w:tcPr>
          <w:p w14:paraId="2B434BF8"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0.021</w:t>
            </w:r>
          </w:p>
        </w:tc>
        <w:tc>
          <w:tcPr>
            <w:tcW w:w="556" w:type="pct"/>
            <w:vAlign w:val="center"/>
            <w:hideMark/>
          </w:tcPr>
          <w:p w14:paraId="4FC63C30"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0.10</w:t>
            </w:r>
          </w:p>
        </w:tc>
        <w:tc>
          <w:tcPr>
            <w:tcW w:w="556" w:type="pct"/>
            <w:vAlign w:val="center"/>
            <w:hideMark/>
          </w:tcPr>
          <w:p w14:paraId="02FFE82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1.15</w:t>
            </w:r>
          </w:p>
        </w:tc>
        <w:tc>
          <w:tcPr>
            <w:tcW w:w="556" w:type="pct"/>
            <w:vAlign w:val="center"/>
            <w:hideMark/>
          </w:tcPr>
          <w:p w14:paraId="2E79535E"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1.32</w:t>
            </w:r>
          </w:p>
        </w:tc>
        <w:tc>
          <w:tcPr>
            <w:tcW w:w="556" w:type="pct"/>
            <w:vAlign w:val="center"/>
            <w:hideMark/>
          </w:tcPr>
          <w:p w14:paraId="7F801005"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93.09</w:t>
            </w:r>
          </w:p>
        </w:tc>
        <w:tc>
          <w:tcPr>
            <w:tcW w:w="556" w:type="pct"/>
            <w:vAlign w:val="center"/>
            <w:hideMark/>
          </w:tcPr>
          <w:p w14:paraId="6EF37C9C"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-0.66</w:t>
            </w:r>
          </w:p>
        </w:tc>
        <w:tc>
          <w:tcPr>
            <w:tcW w:w="553" w:type="pct"/>
            <w:vAlign w:val="center"/>
            <w:hideMark/>
          </w:tcPr>
          <w:p w14:paraId="0E0062FD"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0.02</w:t>
            </w:r>
          </w:p>
        </w:tc>
      </w:tr>
      <w:tr w:rsidR="00B25BDD" w:rsidRPr="000309F2" w14:paraId="3F859ADA" w14:textId="77777777" w:rsidTr="0026214D">
        <w:trPr>
          <w:trHeight w:val="432"/>
        </w:trPr>
        <w:tc>
          <w:tcPr>
            <w:tcW w:w="555" w:type="pct"/>
            <w:vAlign w:val="center"/>
            <w:hideMark/>
          </w:tcPr>
          <w:p w14:paraId="635FAF0D"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13</w:t>
            </w:r>
          </w:p>
        </w:tc>
        <w:tc>
          <w:tcPr>
            <w:tcW w:w="556" w:type="pct"/>
            <w:vAlign w:val="center"/>
            <w:hideMark/>
          </w:tcPr>
          <w:p w14:paraId="68CB6B1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0.61</w:t>
            </w:r>
          </w:p>
        </w:tc>
        <w:tc>
          <w:tcPr>
            <w:tcW w:w="556" w:type="pct"/>
            <w:vAlign w:val="center"/>
            <w:hideMark/>
          </w:tcPr>
          <w:p w14:paraId="5ED89511"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0.025</w:t>
            </w:r>
          </w:p>
        </w:tc>
        <w:tc>
          <w:tcPr>
            <w:tcW w:w="556" w:type="pct"/>
            <w:vAlign w:val="center"/>
            <w:hideMark/>
          </w:tcPr>
          <w:p w14:paraId="35DB981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0.08</w:t>
            </w:r>
          </w:p>
        </w:tc>
        <w:tc>
          <w:tcPr>
            <w:tcW w:w="556" w:type="pct"/>
            <w:vAlign w:val="center"/>
            <w:hideMark/>
          </w:tcPr>
          <w:p w14:paraId="4466D8A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1.14</w:t>
            </w:r>
          </w:p>
        </w:tc>
        <w:tc>
          <w:tcPr>
            <w:tcW w:w="556" w:type="pct"/>
            <w:vAlign w:val="center"/>
            <w:hideMark/>
          </w:tcPr>
          <w:p w14:paraId="3891D21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1.34</w:t>
            </w:r>
          </w:p>
        </w:tc>
        <w:tc>
          <w:tcPr>
            <w:tcW w:w="556" w:type="pct"/>
            <w:vAlign w:val="center"/>
            <w:hideMark/>
          </w:tcPr>
          <w:p w14:paraId="4D356CE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93.20</w:t>
            </w:r>
          </w:p>
        </w:tc>
        <w:tc>
          <w:tcPr>
            <w:tcW w:w="556" w:type="pct"/>
            <w:vAlign w:val="center"/>
            <w:hideMark/>
          </w:tcPr>
          <w:p w14:paraId="159FF51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-0.41</w:t>
            </w:r>
          </w:p>
        </w:tc>
        <w:tc>
          <w:tcPr>
            <w:tcW w:w="553" w:type="pct"/>
            <w:vAlign w:val="center"/>
            <w:hideMark/>
          </w:tcPr>
          <w:p w14:paraId="348A7A61"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0.01</w:t>
            </w:r>
          </w:p>
        </w:tc>
      </w:tr>
      <w:tr w:rsidR="00B25BDD" w:rsidRPr="000309F2" w14:paraId="0D0BBBC4" w14:textId="77777777" w:rsidTr="0026214D">
        <w:trPr>
          <w:trHeight w:val="432"/>
        </w:trPr>
        <w:tc>
          <w:tcPr>
            <w:tcW w:w="555" w:type="pct"/>
            <w:vAlign w:val="center"/>
            <w:hideMark/>
          </w:tcPr>
          <w:p w14:paraId="03927F35"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14</w:t>
            </w:r>
          </w:p>
        </w:tc>
        <w:tc>
          <w:tcPr>
            <w:tcW w:w="556" w:type="pct"/>
            <w:vAlign w:val="center"/>
            <w:hideMark/>
          </w:tcPr>
          <w:p w14:paraId="2626B7D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0.58</w:t>
            </w:r>
          </w:p>
        </w:tc>
        <w:tc>
          <w:tcPr>
            <w:tcW w:w="556" w:type="pct"/>
            <w:vAlign w:val="center"/>
            <w:hideMark/>
          </w:tcPr>
          <w:p w14:paraId="3667BE0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0.030</w:t>
            </w:r>
          </w:p>
        </w:tc>
        <w:tc>
          <w:tcPr>
            <w:tcW w:w="556" w:type="pct"/>
            <w:vAlign w:val="center"/>
            <w:hideMark/>
          </w:tcPr>
          <w:p w14:paraId="44F1BCE1"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0.06</w:t>
            </w:r>
          </w:p>
        </w:tc>
        <w:tc>
          <w:tcPr>
            <w:tcW w:w="556" w:type="pct"/>
            <w:vAlign w:val="center"/>
            <w:hideMark/>
          </w:tcPr>
          <w:p w14:paraId="08E7CF45"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1.11</w:t>
            </w:r>
          </w:p>
        </w:tc>
        <w:tc>
          <w:tcPr>
            <w:tcW w:w="556" w:type="pct"/>
            <w:vAlign w:val="center"/>
            <w:hideMark/>
          </w:tcPr>
          <w:p w14:paraId="4007412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1.34</w:t>
            </w:r>
          </w:p>
        </w:tc>
        <w:tc>
          <w:tcPr>
            <w:tcW w:w="556" w:type="pct"/>
            <w:vAlign w:val="center"/>
            <w:hideMark/>
          </w:tcPr>
          <w:p w14:paraId="715AC8F5"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93.88</w:t>
            </w:r>
          </w:p>
        </w:tc>
        <w:tc>
          <w:tcPr>
            <w:tcW w:w="556" w:type="pct"/>
            <w:vAlign w:val="center"/>
            <w:hideMark/>
          </w:tcPr>
          <w:p w14:paraId="42DC58C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-0.04</w:t>
            </w:r>
          </w:p>
        </w:tc>
        <w:tc>
          <w:tcPr>
            <w:tcW w:w="553" w:type="pct"/>
            <w:vAlign w:val="center"/>
            <w:hideMark/>
          </w:tcPr>
          <w:p w14:paraId="1A461120"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0.00</w:t>
            </w:r>
          </w:p>
        </w:tc>
      </w:tr>
      <w:tr w:rsidR="00B25BDD" w:rsidRPr="000309F2" w14:paraId="112539CA" w14:textId="77777777" w:rsidTr="0026214D">
        <w:trPr>
          <w:trHeight w:val="432"/>
        </w:trPr>
        <w:tc>
          <w:tcPr>
            <w:tcW w:w="555" w:type="pct"/>
            <w:vAlign w:val="center"/>
            <w:hideMark/>
          </w:tcPr>
          <w:p w14:paraId="162EF817"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15</w:t>
            </w:r>
          </w:p>
        </w:tc>
        <w:tc>
          <w:tcPr>
            <w:tcW w:w="556" w:type="pct"/>
            <w:vAlign w:val="center"/>
            <w:hideMark/>
          </w:tcPr>
          <w:p w14:paraId="22F05270"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0.63</w:t>
            </w:r>
          </w:p>
        </w:tc>
        <w:tc>
          <w:tcPr>
            <w:tcW w:w="556" w:type="pct"/>
            <w:vAlign w:val="center"/>
            <w:hideMark/>
          </w:tcPr>
          <w:p w14:paraId="7897627C"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0.019</w:t>
            </w:r>
          </w:p>
        </w:tc>
        <w:tc>
          <w:tcPr>
            <w:tcW w:w="556" w:type="pct"/>
            <w:vAlign w:val="center"/>
            <w:hideMark/>
          </w:tcPr>
          <w:p w14:paraId="62AA1A0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0.10</w:t>
            </w:r>
          </w:p>
        </w:tc>
        <w:tc>
          <w:tcPr>
            <w:tcW w:w="556" w:type="pct"/>
            <w:vAlign w:val="center"/>
            <w:hideMark/>
          </w:tcPr>
          <w:p w14:paraId="32B6008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1.15</w:t>
            </w:r>
          </w:p>
        </w:tc>
        <w:tc>
          <w:tcPr>
            <w:tcW w:w="556" w:type="pct"/>
            <w:vAlign w:val="center"/>
            <w:hideMark/>
          </w:tcPr>
          <w:p w14:paraId="0B3ED712"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1.30</w:t>
            </w:r>
          </w:p>
        </w:tc>
        <w:tc>
          <w:tcPr>
            <w:tcW w:w="556" w:type="pct"/>
            <w:vAlign w:val="center"/>
            <w:hideMark/>
          </w:tcPr>
          <w:p w14:paraId="04CD7E7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93.52</w:t>
            </w:r>
          </w:p>
        </w:tc>
        <w:tc>
          <w:tcPr>
            <w:tcW w:w="556" w:type="pct"/>
            <w:vAlign w:val="center"/>
            <w:hideMark/>
          </w:tcPr>
          <w:p w14:paraId="5A798C85"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-0.76</w:t>
            </w:r>
          </w:p>
        </w:tc>
        <w:tc>
          <w:tcPr>
            <w:tcW w:w="553" w:type="pct"/>
            <w:vAlign w:val="center"/>
            <w:hideMark/>
          </w:tcPr>
          <w:p w14:paraId="0410BCBC"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0.03</w:t>
            </w:r>
          </w:p>
        </w:tc>
      </w:tr>
      <w:tr w:rsidR="00B25BDD" w:rsidRPr="000309F2" w14:paraId="5D2CC54E" w14:textId="77777777" w:rsidTr="0026214D">
        <w:trPr>
          <w:trHeight w:val="432"/>
        </w:trPr>
        <w:tc>
          <w:tcPr>
            <w:tcW w:w="555" w:type="pct"/>
            <w:vAlign w:val="center"/>
            <w:hideMark/>
          </w:tcPr>
          <w:p w14:paraId="5C26A46B"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16</w:t>
            </w:r>
          </w:p>
        </w:tc>
        <w:tc>
          <w:tcPr>
            <w:tcW w:w="556" w:type="pct"/>
            <w:vAlign w:val="center"/>
            <w:hideMark/>
          </w:tcPr>
          <w:p w14:paraId="517E72E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0.48</w:t>
            </w:r>
          </w:p>
        </w:tc>
        <w:tc>
          <w:tcPr>
            <w:tcW w:w="556" w:type="pct"/>
            <w:vAlign w:val="center"/>
            <w:hideMark/>
          </w:tcPr>
          <w:p w14:paraId="7B0A5C62"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0.053</w:t>
            </w:r>
          </w:p>
        </w:tc>
        <w:tc>
          <w:tcPr>
            <w:tcW w:w="556" w:type="pct"/>
            <w:vAlign w:val="center"/>
            <w:hideMark/>
          </w:tcPr>
          <w:p w14:paraId="5787075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-0.01</w:t>
            </w:r>
          </w:p>
        </w:tc>
        <w:tc>
          <w:tcPr>
            <w:tcW w:w="556" w:type="pct"/>
            <w:vAlign w:val="center"/>
            <w:hideMark/>
          </w:tcPr>
          <w:p w14:paraId="7231C2F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0.97</w:t>
            </w:r>
          </w:p>
        </w:tc>
        <w:tc>
          <w:tcPr>
            <w:tcW w:w="556" w:type="pct"/>
            <w:vAlign w:val="center"/>
            <w:hideMark/>
          </w:tcPr>
          <w:p w14:paraId="7A114B3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1.12</w:t>
            </w:r>
          </w:p>
        </w:tc>
        <w:tc>
          <w:tcPr>
            <w:tcW w:w="556" w:type="pct"/>
            <w:vAlign w:val="center"/>
            <w:hideMark/>
          </w:tcPr>
          <w:p w14:paraId="047F033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92.54</w:t>
            </w:r>
          </w:p>
        </w:tc>
        <w:tc>
          <w:tcPr>
            <w:tcW w:w="556" w:type="pct"/>
            <w:vAlign w:val="center"/>
            <w:hideMark/>
          </w:tcPr>
          <w:p w14:paraId="17AA985E"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1.76</w:t>
            </w:r>
          </w:p>
        </w:tc>
        <w:tc>
          <w:tcPr>
            <w:tcW w:w="553" w:type="pct"/>
            <w:noWrap/>
            <w:vAlign w:val="center"/>
            <w:hideMark/>
          </w:tcPr>
          <w:p w14:paraId="06A403A7"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0.15</w:t>
            </w:r>
          </w:p>
        </w:tc>
      </w:tr>
      <w:tr w:rsidR="00B25BDD" w:rsidRPr="000309F2" w14:paraId="0DD522FE" w14:textId="77777777" w:rsidTr="0026214D">
        <w:trPr>
          <w:trHeight w:val="432"/>
        </w:trPr>
        <w:tc>
          <w:tcPr>
            <w:tcW w:w="555" w:type="pct"/>
            <w:vAlign w:val="center"/>
            <w:hideMark/>
          </w:tcPr>
          <w:p w14:paraId="199A1E8D"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17</w:t>
            </w:r>
          </w:p>
        </w:tc>
        <w:tc>
          <w:tcPr>
            <w:tcW w:w="556" w:type="pct"/>
            <w:vAlign w:val="center"/>
            <w:hideMark/>
          </w:tcPr>
          <w:p w14:paraId="4892B93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0.55</w:t>
            </w:r>
          </w:p>
        </w:tc>
        <w:tc>
          <w:tcPr>
            <w:tcW w:w="556" w:type="pct"/>
            <w:vAlign w:val="center"/>
            <w:hideMark/>
          </w:tcPr>
          <w:p w14:paraId="3FD7B94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0.040</w:t>
            </w:r>
          </w:p>
        </w:tc>
        <w:tc>
          <w:tcPr>
            <w:tcW w:w="556" w:type="pct"/>
            <w:vAlign w:val="center"/>
            <w:hideMark/>
          </w:tcPr>
          <w:p w14:paraId="51EC049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0.03</w:t>
            </w:r>
          </w:p>
        </w:tc>
        <w:tc>
          <w:tcPr>
            <w:tcW w:w="556" w:type="pct"/>
            <w:vAlign w:val="center"/>
            <w:hideMark/>
          </w:tcPr>
          <w:p w14:paraId="6679750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1.08</w:t>
            </w:r>
          </w:p>
        </w:tc>
        <w:tc>
          <w:tcPr>
            <w:tcW w:w="556" w:type="pct"/>
            <w:vAlign w:val="center"/>
            <w:hideMark/>
          </w:tcPr>
          <w:p w14:paraId="5C8BEC7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1.33</w:t>
            </w:r>
          </w:p>
        </w:tc>
        <w:tc>
          <w:tcPr>
            <w:tcW w:w="556" w:type="pct"/>
            <w:vAlign w:val="center"/>
            <w:hideMark/>
          </w:tcPr>
          <w:p w14:paraId="7EFB069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93.52</w:t>
            </w:r>
          </w:p>
        </w:tc>
        <w:tc>
          <w:tcPr>
            <w:tcW w:w="556" w:type="pct"/>
            <w:noWrap/>
            <w:vAlign w:val="center"/>
            <w:hideMark/>
          </w:tcPr>
          <w:p w14:paraId="7F38B0A2"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0.46</w:t>
            </w:r>
          </w:p>
        </w:tc>
        <w:tc>
          <w:tcPr>
            <w:tcW w:w="553" w:type="pct"/>
            <w:noWrap/>
            <w:vAlign w:val="center"/>
            <w:hideMark/>
          </w:tcPr>
          <w:p w14:paraId="3CDD38B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0.01</w:t>
            </w:r>
          </w:p>
        </w:tc>
      </w:tr>
      <w:tr w:rsidR="00B25BDD" w:rsidRPr="000309F2" w14:paraId="645F1890" w14:textId="77777777" w:rsidTr="0026214D">
        <w:trPr>
          <w:trHeight w:val="432"/>
        </w:trPr>
        <w:tc>
          <w:tcPr>
            <w:tcW w:w="555" w:type="pct"/>
            <w:vAlign w:val="center"/>
            <w:hideMark/>
          </w:tcPr>
          <w:p w14:paraId="44AC1655"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18</w:t>
            </w:r>
          </w:p>
        </w:tc>
        <w:tc>
          <w:tcPr>
            <w:tcW w:w="556" w:type="pct"/>
            <w:vAlign w:val="center"/>
            <w:hideMark/>
          </w:tcPr>
          <w:p w14:paraId="18E18D3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0.55</w:t>
            </w:r>
          </w:p>
        </w:tc>
        <w:tc>
          <w:tcPr>
            <w:tcW w:w="556" w:type="pct"/>
            <w:vAlign w:val="center"/>
            <w:hideMark/>
          </w:tcPr>
          <w:p w14:paraId="1FF3B57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0.039</w:t>
            </w:r>
          </w:p>
        </w:tc>
        <w:tc>
          <w:tcPr>
            <w:tcW w:w="556" w:type="pct"/>
            <w:vAlign w:val="center"/>
            <w:hideMark/>
          </w:tcPr>
          <w:p w14:paraId="6384CC4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0.03</w:t>
            </w:r>
          </w:p>
        </w:tc>
        <w:tc>
          <w:tcPr>
            <w:tcW w:w="556" w:type="pct"/>
            <w:vAlign w:val="center"/>
            <w:hideMark/>
          </w:tcPr>
          <w:p w14:paraId="789D8EE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1.08</w:t>
            </w:r>
          </w:p>
        </w:tc>
        <w:tc>
          <w:tcPr>
            <w:tcW w:w="556" w:type="pct"/>
            <w:vAlign w:val="center"/>
            <w:hideMark/>
          </w:tcPr>
          <w:p w14:paraId="4F80A00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1.33</w:t>
            </w:r>
          </w:p>
        </w:tc>
        <w:tc>
          <w:tcPr>
            <w:tcW w:w="556" w:type="pct"/>
            <w:vAlign w:val="center"/>
            <w:hideMark/>
          </w:tcPr>
          <w:p w14:paraId="1487A0C8"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93.76</w:t>
            </w:r>
          </w:p>
        </w:tc>
        <w:tc>
          <w:tcPr>
            <w:tcW w:w="556" w:type="pct"/>
            <w:noWrap/>
            <w:vAlign w:val="center"/>
            <w:hideMark/>
          </w:tcPr>
          <w:p w14:paraId="322FDEA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0.48</w:t>
            </w:r>
          </w:p>
        </w:tc>
        <w:tc>
          <w:tcPr>
            <w:tcW w:w="553" w:type="pct"/>
            <w:noWrap/>
            <w:vAlign w:val="center"/>
            <w:hideMark/>
          </w:tcPr>
          <w:p w14:paraId="717D061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0.01</w:t>
            </w:r>
          </w:p>
        </w:tc>
      </w:tr>
      <w:tr w:rsidR="00B25BDD" w:rsidRPr="000309F2" w14:paraId="6934987E" w14:textId="77777777" w:rsidTr="0026214D">
        <w:trPr>
          <w:trHeight w:val="432"/>
        </w:trPr>
        <w:tc>
          <w:tcPr>
            <w:tcW w:w="555" w:type="pct"/>
            <w:vAlign w:val="center"/>
            <w:hideMark/>
          </w:tcPr>
          <w:p w14:paraId="2F3E2A59"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19</w:t>
            </w:r>
          </w:p>
        </w:tc>
        <w:tc>
          <w:tcPr>
            <w:tcW w:w="556" w:type="pct"/>
            <w:vAlign w:val="center"/>
            <w:hideMark/>
          </w:tcPr>
          <w:p w14:paraId="7EEB7098"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0.54</w:t>
            </w:r>
          </w:p>
        </w:tc>
        <w:tc>
          <w:tcPr>
            <w:tcW w:w="556" w:type="pct"/>
            <w:vAlign w:val="center"/>
            <w:hideMark/>
          </w:tcPr>
          <w:p w14:paraId="294B7660"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0.042</w:t>
            </w:r>
          </w:p>
        </w:tc>
        <w:tc>
          <w:tcPr>
            <w:tcW w:w="556" w:type="pct"/>
            <w:vAlign w:val="center"/>
            <w:hideMark/>
          </w:tcPr>
          <w:p w14:paraId="4F08FDC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0.02</w:t>
            </w:r>
          </w:p>
        </w:tc>
        <w:tc>
          <w:tcPr>
            <w:tcW w:w="556" w:type="pct"/>
            <w:vAlign w:val="center"/>
            <w:hideMark/>
          </w:tcPr>
          <w:p w14:paraId="26FD221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1.07</w:t>
            </w:r>
          </w:p>
        </w:tc>
        <w:tc>
          <w:tcPr>
            <w:tcW w:w="556" w:type="pct"/>
            <w:vAlign w:val="center"/>
            <w:hideMark/>
          </w:tcPr>
          <w:p w14:paraId="5810F7C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1.31</w:t>
            </w:r>
          </w:p>
        </w:tc>
        <w:tc>
          <w:tcPr>
            <w:tcW w:w="556" w:type="pct"/>
            <w:vAlign w:val="center"/>
            <w:hideMark/>
          </w:tcPr>
          <w:p w14:paraId="1DFDCAE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93.69</w:t>
            </w:r>
          </w:p>
        </w:tc>
        <w:tc>
          <w:tcPr>
            <w:tcW w:w="556" w:type="pct"/>
            <w:noWrap/>
            <w:vAlign w:val="center"/>
            <w:hideMark/>
          </w:tcPr>
          <w:p w14:paraId="2C5E02A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0.67</w:t>
            </w:r>
          </w:p>
        </w:tc>
        <w:tc>
          <w:tcPr>
            <w:tcW w:w="553" w:type="pct"/>
            <w:noWrap/>
            <w:vAlign w:val="center"/>
            <w:hideMark/>
          </w:tcPr>
          <w:p w14:paraId="2D99328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0.02</w:t>
            </w:r>
          </w:p>
        </w:tc>
      </w:tr>
      <w:tr w:rsidR="00B25BDD" w:rsidRPr="000309F2" w14:paraId="33692D8F" w14:textId="77777777" w:rsidTr="0026214D">
        <w:trPr>
          <w:trHeight w:val="432"/>
        </w:trPr>
        <w:tc>
          <w:tcPr>
            <w:tcW w:w="555" w:type="pct"/>
            <w:vAlign w:val="center"/>
            <w:hideMark/>
          </w:tcPr>
          <w:p w14:paraId="21CB1B1A"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20</w:t>
            </w:r>
          </w:p>
        </w:tc>
        <w:tc>
          <w:tcPr>
            <w:tcW w:w="556" w:type="pct"/>
            <w:vAlign w:val="center"/>
            <w:hideMark/>
          </w:tcPr>
          <w:p w14:paraId="07DB7B8E"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0.58</w:t>
            </w:r>
          </w:p>
        </w:tc>
        <w:tc>
          <w:tcPr>
            <w:tcW w:w="556" w:type="pct"/>
            <w:vAlign w:val="center"/>
            <w:hideMark/>
          </w:tcPr>
          <w:p w14:paraId="0A1FB887"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0.033</w:t>
            </w:r>
          </w:p>
        </w:tc>
        <w:tc>
          <w:tcPr>
            <w:tcW w:w="556" w:type="pct"/>
            <w:vAlign w:val="center"/>
            <w:hideMark/>
          </w:tcPr>
          <w:p w14:paraId="7DF6C085"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0.05</w:t>
            </w:r>
          </w:p>
        </w:tc>
        <w:tc>
          <w:tcPr>
            <w:tcW w:w="556" w:type="pct"/>
            <w:vAlign w:val="center"/>
            <w:hideMark/>
          </w:tcPr>
          <w:p w14:paraId="7E44B855"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1.11</w:t>
            </w:r>
          </w:p>
        </w:tc>
        <w:tc>
          <w:tcPr>
            <w:tcW w:w="556" w:type="pct"/>
            <w:vAlign w:val="center"/>
            <w:hideMark/>
          </w:tcPr>
          <w:p w14:paraId="2D60853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1.35</w:t>
            </w:r>
          </w:p>
        </w:tc>
        <w:tc>
          <w:tcPr>
            <w:tcW w:w="556" w:type="pct"/>
            <w:vAlign w:val="center"/>
            <w:hideMark/>
          </w:tcPr>
          <w:p w14:paraId="6AE2B3C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93.83</w:t>
            </w:r>
          </w:p>
        </w:tc>
        <w:tc>
          <w:tcPr>
            <w:tcW w:w="556" w:type="pct"/>
            <w:noWrap/>
            <w:vAlign w:val="center"/>
            <w:hideMark/>
          </w:tcPr>
          <w:p w14:paraId="16184A6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0.07</w:t>
            </w:r>
          </w:p>
        </w:tc>
        <w:tc>
          <w:tcPr>
            <w:tcW w:w="553" w:type="pct"/>
            <w:noWrap/>
            <w:vAlign w:val="center"/>
            <w:hideMark/>
          </w:tcPr>
          <w:p w14:paraId="3CEB8C11"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0.00</w:t>
            </w:r>
          </w:p>
        </w:tc>
      </w:tr>
      <w:tr w:rsidR="00B25BDD" w:rsidRPr="000309F2" w14:paraId="0B5DA9B2" w14:textId="77777777" w:rsidTr="0026214D">
        <w:trPr>
          <w:trHeight w:val="432"/>
        </w:trPr>
        <w:tc>
          <w:tcPr>
            <w:tcW w:w="555" w:type="pct"/>
            <w:tcBorders>
              <w:bottom w:val="single" w:sz="8" w:space="0" w:color="auto"/>
            </w:tcBorders>
            <w:vAlign w:val="center"/>
            <w:hideMark/>
          </w:tcPr>
          <w:p w14:paraId="6505A86E"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21</w:t>
            </w:r>
          </w:p>
        </w:tc>
        <w:tc>
          <w:tcPr>
            <w:tcW w:w="556" w:type="pct"/>
            <w:tcBorders>
              <w:bottom w:val="single" w:sz="8" w:space="0" w:color="auto"/>
            </w:tcBorders>
            <w:vAlign w:val="center"/>
            <w:hideMark/>
          </w:tcPr>
          <w:p w14:paraId="251B69DE"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0.58</w:t>
            </w:r>
          </w:p>
        </w:tc>
        <w:tc>
          <w:tcPr>
            <w:tcW w:w="556" w:type="pct"/>
            <w:tcBorders>
              <w:bottom w:val="single" w:sz="8" w:space="0" w:color="auto"/>
            </w:tcBorders>
            <w:vAlign w:val="center"/>
            <w:hideMark/>
          </w:tcPr>
          <w:p w14:paraId="27B91E5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0.031</w:t>
            </w:r>
          </w:p>
        </w:tc>
        <w:tc>
          <w:tcPr>
            <w:tcW w:w="556" w:type="pct"/>
            <w:tcBorders>
              <w:bottom w:val="single" w:sz="8" w:space="0" w:color="auto"/>
            </w:tcBorders>
            <w:vAlign w:val="center"/>
            <w:hideMark/>
          </w:tcPr>
          <w:p w14:paraId="03CD243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0.05</w:t>
            </w:r>
          </w:p>
        </w:tc>
        <w:tc>
          <w:tcPr>
            <w:tcW w:w="556" w:type="pct"/>
            <w:tcBorders>
              <w:bottom w:val="single" w:sz="8" w:space="0" w:color="auto"/>
            </w:tcBorders>
            <w:vAlign w:val="center"/>
            <w:hideMark/>
          </w:tcPr>
          <w:p w14:paraId="6FF3A93F"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1.11</w:t>
            </w:r>
          </w:p>
        </w:tc>
        <w:tc>
          <w:tcPr>
            <w:tcW w:w="556" w:type="pct"/>
            <w:tcBorders>
              <w:bottom w:val="single" w:sz="8" w:space="0" w:color="auto"/>
            </w:tcBorders>
            <w:vAlign w:val="center"/>
            <w:hideMark/>
          </w:tcPr>
          <w:p w14:paraId="71B0D077"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1.35</w:t>
            </w:r>
          </w:p>
        </w:tc>
        <w:tc>
          <w:tcPr>
            <w:tcW w:w="556" w:type="pct"/>
            <w:tcBorders>
              <w:bottom w:val="single" w:sz="8" w:space="0" w:color="auto"/>
            </w:tcBorders>
            <w:vAlign w:val="center"/>
            <w:hideMark/>
          </w:tcPr>
          <w:p w14:paraId="273A6BB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93.83</w:t>
            </w:r>
          </w:p>
        </w:tc>
        <w:tc>
          <w:tcPr>
            <w:tcW w:w="556" w:type="pct"/>
            <w:tcBorders>
              <w:bottom w:val="single" w:sz="8" w:space="0" w:color="auto"/>
            </w:tcBorders>
            <w:noWrap/>
            <w:vAlign w:val="center"/>
            <w:hideMark/>
          </w:tcPr>
          <w:p w14:paraId="07439A3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-0.04</w:t>
            </w:r>
          </w:p>
        </w:tc>
        <w:tc>
          <w:tcPr>
            <w:tcW w:w="553" w:type="pct"/>
            <w:tcBorders>
              <w:bottom w:val="single" w:sz="8" w:space="0" w:color="auto"/>
            </w:tcBorders>
            <w:noWrap/>
            <w:vAlign w:val="center"/>
            <w:hideMark/>
          </w:tcPr>
          <w:p w14:paraId="477FC2B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0.00</w:t>
            </w:r>
          </w:p>
        </w:tc>
      </w:tr>
      <w:tr w:rsidR="00B25BDD" w:rsidRPr="000309F2" w14:paraId="798A2C46" w14:textId="77777777" w:rsidTr="00A50204">
        <w:trPr>
          <w:trHeight w:val="432"/>
          <w:tblHeader/>
        </w:trPr>
        <w:tc>
          <w:tcPr>
            <w:tcW w:w="5000" w:type="pct"/>
            <w:gridSpan w:val="9"/>
            <w:tcBorders>
              <w:top w:val="single" w:sz="8" w:space="0" w:color="auto"/>
              <w:bottom w:val="single" w:sz="8" w:space="0" w:color="auto"/>
            </w:tcBorders>
            <w:noWrap/>
            <w:vAlign w:val="center"/>
          </w:tcPr>
          <w:p w14:paraId="2343C285" w14:textId="7ACF8B33"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bookmarkStart w:id="1" w:name="_Hlk184050625"/>
            <w:r w:rsidRPr="000309F2">
              <w:rPr>
                <w:rFonts w:ascii="Times New Roman" w:eastAsia="Times New Roman" w:hAnsi="Times New Roman" w:cs="Times New Roman"/>
                <w:color w:val="000000" w:themeColor="text1"/>
                <w:kern w:val="0"/>
                <w:lang w:val="en-US" w:eastAsia="en-GB"/>
                <w14:ligatures w14:val="none"/>
              </w:rPr>
              <w:t>A-tDCS</w:t>
            </w:r>
          </w:p>
        </w:tc>
      </w:tr>
      <w:bookmarkEnd w:id="1"/>
      <w:tr w:rsidR="00B25BDD" w:rsidRPr="000309F2" w14:paraId="505EBAFD" w14:textId="77777777" w:rsidTr="0026214D">
        <w:trPr>
          <w:trHeight w:val="432"/>
          <w:tblHeader/>
        </w:trPr>
        <w:tc>
          <w:tcPr>
            <w:tcW w:w="555" w:type="pct"/>
            <w:tcBorders>
              <w:top w:val="single" w:sz="8" w:space="0" w:color="auto"/>
            </w:tcBorders>
            <w:noWrap/>
            <w:vAlign w:val="center"/>
            <w:hideMark/>
          </w:tcPr>
          <w:p w14:paraId="44D16FF7"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Study</w:t>
            </w:r>
          </w:p>
        </w:tc>
        <w:tc>
          <w:tcPr>
            <w:tcW w:w="556" w:type="pct"/>
            <w:tcBorders>
              <w:top w:val="single" w:sz="8" w:space="0" w:color="auto"/>
            </w:tcBorders>
            <w:vAlign w:val="center"/>
            <w:hideMark/>
          </w:tcPr>
          <w:p w14:paraId="31C13E5C"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Estimate</w:t>
            </w:r>
          </w:p>
        </w:tc>
        <w:tc>
          <w:tcPr>
            <w:tcW w:w="556" w:type="pct"/>
            <w:tcBorders>
              <w:top w:val="single" w:sz="8" w:space="0" w:color="auto"/>
            </w:tcBorders>
            <w:vAlign w:val="center"/>
            <w:hideMark/>
          </w:tcPr>
          <w:p w14:paraId="5D820AE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Pval</w:t>
            </w:r>
          </w:p>
        </w:tc>
        <w:tc>
          <w:tcPr>
            <w:tcW w:w="556" w:type="pct"/>
            <w:tcBorders>
              <w:top w:val="single" w:sz="8" w:space="0" w:color="auto"/>
              <w:bottom w:val="single" w:sz="6" w:space="0" w:color="auto"/>
            </w:tcBorders>
            <w:vAlign w:val="center"/>
            <w:hideMark/>
          </w:tcPr>
          <w:p w14:paraId="60E9956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CI.lb</w:t>
            </w:r>
          </w:p>
        </w:tc>
        <w:tc>
          <w:tcPr>
            <w:tcW w:w="556" w:type="pct"/>
            <w:tcBorders>
              <w:top w:val="single" w:sz="8" w:space="0" w:color="auto"/>
              <w:bottom w:val="single" w:sz="6" w:space="0" w:color="auto"/>
            </w:tcBorders>
            <w:vAlign w:val="center"/>
            <w:hideMark/>
          </w:tcPr>
          <w:p w14:paraId="7C14E3C2"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CI.ub</w:t>
            </w:r>
          </w:p>
        </w:tc>
        <w:tc>
          <w:tcPr>
            <w:tcW w:w="556" w:type="pct"/>
            <w:tcBorders>
              <w:top w:val="single" w:sz="8" w:space="0" w:color="auto"/>
              <w:bottom w:val="single" w:sz="6" w:space="0" w:color="auto"/>
            </w:tcBorders>
            <w:vAlign w:val="center"/>
            <w:hideMark/>
          </w:tcPr>
          <w:p w14:paraId="48727FC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Tau2</w:t>
            </w:r>
          </w:p>
        </w:tc>
        <w:tc>
          <w:tcPr>
            <w:tcW w:w="556" w:type="pct"/>
            <w:tcBorders>
              <w:top w:val="single" w:sz="8" w:space="0" w:color="auto"/>
              <w:bottom w:val="single" w:sz="6" w:space="0" w:color="auto"/>
            </w:tcBorders>
            <w:vAlign w:val="center"/>
            <w:hideMark/>
          </w:tcPr>
          <w:p w14:paraId="6B9D3B07"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I2</w:t>
            </w:r>
          </w:p>
        </w:tc>
        <w:tc>
          <w:tcPr>
            <w:tcW w:w="556" w:type="pct"/>
            <w:tcBorders>
              <w:top w:val="single" w:sz="8" w:space="0" w:color="auto"/>
              <w:bottom w:val="single" w:sz="6" w:space="0" w:color="auto"/>
            </w:tcBorders>
            <w:vAlign w:val="center"/>
            <w:hideMark/>
          </w:tcPr>
          <w:p w14:paraId="09EE62CC"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Rstudent</w:t>
            </w:r>
          </w:p>
        </w:tc>
        <w:tc>
          <w:tcPr>
            <w:tcW w:w="553" w:type="pct"/>
            <w:tcBorders>
              <w:top w:val="single" w:sz="8" w:space="0" w:color="auto"/>
              <w:bottom w:val="single" w:sz="6" w:space="0" w:color="auto"/>
            </w:tcBorders>
            <w:vAlign w:val="center"/>
            <w:hideMark/>
          </w:tcPr>
          <w:p w14:paraId="1950EB47"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Cook.d</w:t>
            </w:r>
          </w:p>
        </w:tc>
      </w:tr>
      <w:tr w:rsidR="00B25BDD" w:rsidRPr="000309F2" w14:paraId="5A60DD6A" w14:textId="77777777" w:rsidTr="00972437">
        <w:trPr>
          <w:trHeight w:val="432"/>
        </w:trPr>
        <w:tc>
          <w:tcPr>
            <w:tcW w:w="555" w:type="pct"/>
            <w:tcBorders>
              <w:top w:val="single" w:sz="6" w:space="0" w:color="auto"/>
            </w:tcBorders>
            <w:noWrap/>
            <w:vAlign w:val="center"/>
            <w:hideMark/>
          </w:tcPr>
          <w:p w14:paraId="5D385E97"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w:t>
            </w:r>
          </w:p>
        </w:tc>
        <w:tc>
          <w:tcPr>
            <w:tcW w:w="556" w:type="pct"/>
            <w:tcBorders>
              <w:top w:val="single" w:sz="6" w:space="0" w:color="auto"/>
            </w:tcBorders>
            <w:vAlign w:val="center"/>
            <w:hideMark/>
          </w:tcPr>
          <w:p w14:paraId="5691A929" w14:textId="4679EF31"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0.60</w:t>
            </w:r>
          </w:p>
        </w:tc>
        <w:tc>
          <w:tcPr>
            <w:tcW w:w="556" w:type="pct"/>
            <w:tcBorders>
              <w:top w:val="single" w:sz="6" w:space="0" w:color="auto"/>
            </w:tcBorders>
            <w:vAlign w:val="center"/>
            <w:hideMark/>
          </w:tcPr>
          <w:p w14:paraId="2D136FB9" w14:textId="3E75FF5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0.042</w:t>
            </w:r>
          </w:p>
        </w:tc>
        <w:tc>
          <w:tcPr>
            <w:tcW w:w="556" w:type="pct"/>
            <w:tcBorders>
              <w:top w:val="single" w:sz="6" w:space="0" w:color="auto"/>
            </w:tcBorders>
            <w:vAlign w:val="center"/>
            <w:hideMark/>
          </w:tcPr>
          <w:p w14:paraId="5DB1E046" w14:textId="260EFBE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w:t>
            </w:r>
          </w:p>
        </w:tc>
        <w:tc>
          <w:tcPr>
            <w:tcW w:w="556" w:type="pct"/>
            <w:tcBorders>
              <w:top w:val="single" w:sz="6" w:space="0" w:color="auto"/>
            </w:tcBorders>
            <w:vAlign w:val="center"/>
            <w:hideMark/>
          </w:tcPr>
          <w:p w14:paraId="0BF5D5FE" w14:textId="565F2F8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1.16</w:t>
            </w:r>
          </w:p>
        </w:tc>
        <w:tc>
          <w:tcPr>
            <w:tcW w:w="556" w:type="pct"/>
            <w:tcBorders>
              <w:top w:val="single" w:sz="6" w:space="0" w:color="auto"/>
            </w:tcBorders>
            <w:vAlign w:val="center"/>
            <w:hideMark/>
          </w:tcPr>
          <w:p w14:paraId="711F2EB6" w14:textId="49549E9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3.38</w:t>
            </w:r>
          </w:p>
        </w:tc>
        <w:tc>
          <w:tcPr>
            <w:tcW w:w="556" w:type="pct"/>
            <w:tcBorders>
              <w:top w:val="single" w:sz="6" w:space="0" w:color="auto"/>
            </w:tcBorders>
            <w:vAlign w:val="center"/>
            <w:hideMark/>
          </w:tcPr>
          <w:p w14:paraId="544FFA38" w14:textId="13C7B57B"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98.34</w:t>
            </w:r>
          </w:p>
        </w:tc>
        <w:tc>
          <w:tcPr>
            <w:tcW w:w="556" w:type="pct"/>
            <w:tcBorders>
              <w:top w:val="single" w:sz="6" w:space="0" w:color="auto"/>
            </w:tcBorders>
            <w:vAlign w:val="center"/>
            <w:hideMark/>
          </w:tcPr>
          <w:p w14:paraId="1B3F2B29" w14:textId="7A1C2F49"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-0.48</w:t>
            </w:r>
          </w:p>
        </w:tc>
        <w:tc>
          <w:tcPr>
            <w:tcW w:w="553" w:type="pct"/>
            <w:tcBorders>
              <w:top w:val="single" w:sz="6" w:space="0" w:color="auto"/>
            </w:tcBorders>
            <w:vAlign w:val="center"/>
            <w:hideMark/>
          </w:tcPr>
          <w:p w14:paraId="61677E30" w14:textId="1170ECB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0.02</w:t>
            </w:r>
          </w:p>
        </w:tc>
      </w:tr>
      <w:tr w:rsidR="00B25BDD" w:rsidRPr="000309F2" w14:paraId="26A5D8F4" w14:textId="77777777" w:rsidTr="00972437">
        <w:trPr>
          <w:trHeight w:val="432"/>
        </w:trPr>
        <w:tc>
          <w:tcPr>
            <w:tcW w:w="555" w:type="pct"/>
            <w:noWrap/>
            <w:vAlign w:val="center"/>
            <w:hideMark/>
          </w:tcPr>
          <w:p w14:paraId="511B0D83"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2</w:t>
            </w:r>
          </w:p>
        </w:tc>
        <w:tc>
          <w:tcPr>
            <w:tcW w:w="556" w:type="pct"/>
            <w:vAlign w:val="center"/>
            <w:hideMark/>
          </w:tcPr>
          <w:p w14:paraId="15E24AE9" w14:textId="0C094CB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0.61</w:t>
            </w:r>
          </w:p>
        </w:tc>
        <w:tc>
          <w:tcPr>
            <w:tcW w:w="556" w:type="pct"/>
            <w:vAlign w:val="center"/>
            <w:hideMark/>
          </w:tcPr>
          <w:p w14:paraId="25608AD6" w14:textId="1D8DE6A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0.044</w:t>
            </w:r>
          </w:p>
        </w:tc>
        <w:tc>
          <w:tcPr>
            <w:tcW w:w="556" w:type="pct"/>
            <w:vAlign w:val="center"/>
            <w:hideMark/>
          </w:tcPr>
          <w:p w14:paraId="03BB0472" w14:textId="2C9C0502"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0.09</w:t>
            </w:r>
          </w:p>
        </w:tc>
        <w:tc>
          <w:tcPr>
            <w:tcW w:w="556" w:type="pct"/>
            <w:vAlign w:val="center"/>
            <w:hideMark/>
          </w:tcPr>
          <w:p w14:paraId="38A62E94" w14:textId="50181161"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1.12</w:t>
            </w:r>
          </w:p>
        </w:tc>
        <w:tc>
          <w:tcPr>
            <w:tcW w:w="556" w:type="pct"/>
            <w:vAlign w:val="center"/>
            <w:hideMark/>
          </w:tcPr>
          <w:p w14:paraId="5A55C133" w14:textId="196BFB9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2.86</w:t>
            </w:r>
          </w:p>
        </w:tc>
        <w:tc>
          <w:tcPr>
            <w:tcW w:w="556" w:type="pct"/>
            <w:vAlign w:val="center"/>
            <w:hideMark/>
          </w:tcPr>
          <w:p w14:paraId="26E1AEC6" w14:textId="2E941F75"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98.07</w:t>
            </w:r>
          </w:p>
        </w:tc>
        <w:tc>
          <w:tcPr>
            <w:tcW w:w="556" w:type="pct"/>
            <w:vAlign w:val="center"/>
            <w:hideMark/>
          </w:tcPr>
          <w:p w14:paraId="3AFAB553" w14:textId="3FB088F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-1.3</w:t>
            </w:r>
          </w:p>
        </w:tc>
        <w:tc>
          <w:tcPr>
            <w:tcW w:w="553" w:type="pct"/>
            <w:vAlign w:val="center"/>
            <w:hideMark/>
          </w:tcPr>
          <w:p w14:paraId="3F0B115C" w14:textId="0385B5F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w:t>
            </w:r>
          </w:p>
        </w:tc>
      </w:tr>
      <w:tr w:rsidR="00B25BDD" w:rsidRPr="000309F2" w14:paraId="33C7E6F0" w14:textId="77777777" w:rsidTr="00972437">
        <w:trPr>
          <w:trHeight w:val="432"/>
        </w:trPr>
        <w:tc>
          <w:tcPr>
            <w:tcW w:w="555" w:type="pct"/>
            <w:noWrap/>
            <w:vAlign w:val="center"/>
            <w:hideMark/>
          </w:tcPr>
          <w:p w14:paraId="4380DD03"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3</w:t>
            </w:r>
          </w:p>
        </w:tc>
        <w:tc>
          <w:tcPr>
            <w:tcW w:w="556" w:type="pct"/>
            <w:vAlign w:val="center"/>
            <w:hideMark/>
          </w:tcPr>
          <w:p w14:paraId="41AB83CC" w14:textId="1A44E55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0.59</w:t>
            </w:r>
          </w:p>
        </w:tc>
        <w:tc>
          <w:tcPr>
            <w:tcW w:w="556" w:type="pct"/>
            <w:vAlign w:val="center"/>
            <w:hideMark/>
          </w:tcPr>
          <w:p w14:paraId="6BEBFC6D" w14:textId="3F257C5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0.044</w:t>
            </w:r>
          </w:p>
        </w:tc>
        <w:tc>
          <w:tcPr>
            <w:tcW w:w="556" w:type="pct"/>
            <w:vAlign w:val="center"/>
            <w:hideMark/>
          </w:tcPr>
          <w:p w14:paraId="573FE133" w14:textId="5A97676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0.02</w:t>
            </w:r>
          </w:p>
        </w:tc>
        <w:tc>
          <w:tcPr>
            <w:tcW w:w="556" w:type="pct"/>
            <w:vAlign w:val="center"/>
            <w:hideMark/>
          </w:tcPr>
          <w:p w14:paraId="48AF4841" w14:textId="6A2F01D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1.15</w:t>
            </w:r>
          </w:p>
        </w:tc>
        <w:tc>
          <w:tcPr>
            <w:tcW w:w="556" w:type="pct"/>
            <w:vAlign w:val="center"/>
            <w:hideMark/>
          </w:tcPr>
          <w:p w14:paraId="0773C094" w14:textId="0486022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3.44</w:t>
            </w:r>
          </w:p>
        </w:tc>
        <w:tc>
          <w:tcPr>
            <w:tcW w:w="556" w:type="pct"/>
            <w:vAlign w:val="center"/>
            <w:hideMark/>
          </w:tcPr>
          <w:p w14:paraId="7EAFB4DE" w14:textId="3CC29DF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98.37</w:t>
            </w:r>
          </w:p>
        </w:tc>
        <w:tc>
          <w:tcPr>
            <w:tcW w:w="556" w:type="pct"/>
            <w:vAlign w:val="center"/>
            <w:hideMark/>
          </w:tcPr>
          <w:p w14:paraId="35BAB750" w14:textId="58B69B0F"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-0.16</w:t>
            </w:r>
          </w:p>
        </w:tc>
        <w:tc>
          <w:tcPr>
            <w:tcW w:w="553" w:type="pct"/>
            <w:vAlign w:val="center"/>
            <w:hideMark/>
          </w:tcPr>
          <w:p w14:paraId="57174BE8" w14:textId="71217732"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r>
      <w:tr w:rsidR="00B25BDD" w:rsidRPr="000309F2" w14:paraId="532FF55B" w14:textId="77777777" w:rsidTr="00972437">
        <w:trPr>
          <w:trHeight w:val="432"/>
        </w:trPr>
        <w:tc>
          <w:tcPr>
            <w:tcW w:w="555" w:type="pct"/>
            <w:noWrap/>
            <w:vAlign w:val="center"/>
            <w:hideMark/>
          </w:tcPr>
          <w:p w14:paraId="16F34EFF"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4</w:t>
            </w:r>
          </w:p>
        </w:tc>
        <w:tc>
          <w:tcPr>
            <w:tcW w:w="556" w:type="pct"/>
            <w:vAlign w:val="center"/>
            <w:hideMark/>
          </w:tcPr>
          <w:p w14:paraId="0F2A3CE5" w14:textId="0FF90A9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0.58</w:t>
            </w:r>
          </w:p>
        </w:tc>
        <w:tc>
          <w:tcPr>
            <w:tcW w:w="556" w:type="pct"/>
            <w:vAlign w:val="center"/>
            <w:hideMark/>
          </w:tcPr>
          <w:p w14:paraId="626ECFC4" w14:textId="37FCEFC1"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0.046</w:t>
            </w:r>
          </w:p>
        </w:tc>
        <w:tc>
          <w:tcPr>
            <w:tcW w:w="556" w:type="pct"/>
            <w:vAlign w:val="center"/>
            <w:hideMark/>
          </w:tcPr>
          <w:p w14:paraId="50258358" w14:textId="0F47B5F1"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0.02</w:t>
            </w:r>
          </w:p>
        </w:tc>
        <w:tc>
          <w:tcPr>
            <w:tcW w:w="556" w:type="pct"/>
            <w:vAlign w:val="center"/>
            <w:hideMark/>
          </w:tcPr>
          <w:p w14:paraId="4A2CAB73" w14:textId="38C6054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1.15</w:t>
            </w:r>
          </w:p>
        </w:tc>
        <w:tc>
          <w:tcPr>
            <w:tcW w:w="556" w:type="pct"/>
            <w:vAlign w:val="center"/>
            <w:hideMark/>
          </w:tcPr>
          <w:p w14:paraId="2EBA2482" w14:textId="093D4AB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3.45</w:t>
            </w:r>
          </w:p>
        </w:tc>
        <w:tc>
          <w:tcPr>
            <w:tcW w:w="556" w:type="pct"/>
            <w:vAlign w:val="center"/>
            <w:hideMark/>
          </w:tcPr>
          <w:p w14:paraId="36175EE0" w14:textId="14BDD6DB"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98.38</w:t>
            </w:r>
          </w:p>
        </w:tc>
        <w:tc>
          <w:tcPr>
            <w:tcW w:w="556" w:type="pct"/>
            <w:vAlign w:val="center"/>
            <w:hideMark/>
          </w:tcPr>
          <w:p w14:paraId="399F9470" w14:textId="4E06C34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-0.06</w:t>
            </w:r>
          </w:p>
        </w:tc>
        <w:tc>
          <w:tcPr>
            <w:tcW w:w="553" w:type="pct"/>
            <w:vAlign w:val="center"/>
            <w:hideMark/>
          </w:tcPr>
          <w:p w14:paraId="3A0E5718" w14:textId="4D569D69"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r>
      <w:tr w:rsidR="00B25BDD" w:rsidRPr="000309F2" w14:paraId="7E75A459" w14:textId="77777777" w:rsidTr="00972437">
        <w:trPr>
          <w:trHeight w:val="432"/>
        </w:trPr>
        <w:tc>
          <w:tcPr>
            <w:tcW w:w="555" w:type="pct"/>
            <w:noWrap/>
            <w:vAlign w:val="center"/>
            <w:hideMark/>
          </w:tcPr>
          <w:p w14:paraId="71E48264"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5</w:t>
            </w:r>
          </w:p>
        </w:tc>
        <w:tc>
          <w:tcPr>
            <w:tcW w:w="556" w:type="pct"/>
            <w:vAlign w:val="center"/>
            <w:hideMark/>
          </w:tcPr>
          <w:p w14:paraId="666B2A77" w14:textId="6D9A5372"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0.58</w:t>
            </w:r>
          </w:p>
        </w:tc>
        <w:tc>
          <w:tcPr>
            <w:tcW w:w="556" w:type="pct"/>
            <w:vAlign w:val="center"/>
            <w:hideMark/>
          </w:tcPr>
          <w:p w14:paraId="3849060D" w14:textId="314A476F"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0.038</w:t>
            </w:r>
          </w:p>
        </w:tc>
        <w:tc>
          <w:tcPr>
            <w:tcW w:w="556" w:type="pct"/>
            <w:vAlign w:val="center"/>
            <w:hideMark/>
          </w:tcPr>
          <w:p w14:paraId="6479ECFF" w14:textId="0C0E247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0.02</w:t>
            </w:r>
          </w:p>
        </w:tc>
        <w:tc>
          <w:tcPr>
            <w:tcW w:w="556" w:type="pct"/>
            <w:vAlign w:val="center"/>
            <w:hideMark/>
          </w:tcPr>
          <w:p w14:paraId="3485EF65" w14:textId="62BBDA39"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1.14</w:t>
            </w:r>
          </w:p>
        </w:tc>
        <w:tc>
          <w:tcPr>
            <w:tcW w:w="556" w:type="pct"/>
            <w:vAlign w:val="center"/>
            <w:hideMark/>
          </w:tcPr>
          <w:p w14:paraId="113DB9BB" w14:textId="5746779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3.45</w:t>
            </w:r>
          </w:p>
        </w:tc>
        <w:tc>
          <w:tcPr>
            <w:tcW w:w="556" w:type="pct"/>
            <w:vAlign w:val="center"/>
            <w:hideMark/>
          </w:tcPr>
          <w:p w14:paraId="080AEBB7" w14:textId="1859A30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98.38</w:t>
            </w:r>
          </w:p>
        </w:tc>
        <w:tc>
          <w:tcPr>
            <w:tcW w:w="556" w:type="pct"/>
            <w:vAlign w:val="center"/>
            <w:hideMark/>
          </w:tcPr>
          <w:p w14:paraId="26018879" w14:textId="40FFBC0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-0.02</w:t>
            </w:r>
          </w:p>
        </w:tc>
        <w:tc>
          <w:tcPr>
            <w:tcW w:w="553" w:type="pct"/>
            <w:vAlign w:val="center"/>
            <w:hideMark/>
          </w:tcPr>
          <w:p w14:paraId="23DD5E41" w14:textId="040F7385"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r>
      <w:tr w:rsidR="00B25BDD" w:rsidRPr="000309F2" w14:paraId="4CB0F793" w14:textId="77777777" w:rsidTr="00972437">
        <w:trPr>
          <w:trHeight w:val="432"/>
        </w:trPr>
        <w:tc>
          <w:tcPr>
            <w:tcW w:w="555" w:type="pct"/>
            <w:noWrap/>
            <w:vAlign w:val="center"/>
            <w:hideMark/>
          </w:tcPr>
          <w:p w14:paraId="022EE824"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lastRenderedPageBreak/>
              <w:t>6</w:t>
            </w:r>
          </w:p>
        </w:tc>
        <w:tc>
          <w:tcPr>
            <w:tcW w:w="556" w:type="pct"/>
            <w:vAlign w:val="center"/>
            <w:hideMark/>
          </w:tcPr>
          <w:p w14:paraId="5C8C5FA7" w14:textId="525DFC4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0.57</w:t>
            </w:r>
          </w:p>
        </w:tc>
        <w:tc>
          <w:tcPr>
            <w:tcW w:w="556" w:type="pct"/>
            <w:vAlign w:val="center"/>
            <w:hideMark/>
          </w:tcPr>
          <w:p w14:paraId="103E7AD1" w14:textId="53EE95F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0.045</w:t>
            </w:r>
          </w:p>
        </w:tc>
        <w:tc>
          <w:tcPr>
            <w:tcW w:w="556" w:type="pct"/>
            <w:vAlign w:val="center"/>
            <w:hideMark/>
          </w:tcPr>
          <w:p w14:paraId="47FA52AE" w14:textId="7C4BB23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c>
          <w:tcPr>
            <w:tcW w:w="556" w:type="pct"/>
            <w:vAlign w:val="center"/>
            <w:hideMark/>
          </w:tcPr>
          <w:p w14:paraId="6942C43C" w14:textId="5FA7728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1.14</w:t>
            </w:r>
          </w:p>
        </w:tc>
        <w:tc>
          <w:tcPr>
            <w:tcW w:w="556" w:type="pct"/>
            <w:vAlign w:val="center"/>
            <w:hideMark/>
          </w:tcPr>
          <w:p w14:paraId="416F28A2" w14:textId="3BAF88D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3.43</w:t>
            </w:r>
          </w:p>
        </w:tc>
        <w:tc>
          <w:tcPr>
            <w:tcW w:w="556" w:type="pct"/>
            <w:vAlign w:val="center"/>
            <w:hideMark/>
          </w:tcPr>
          <w:p w14:paraId="6076ABD6" w14:textId="29137DF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98.39</w:t>
            </w:r>
          </w:p>
        </w:tc>
        <w:tc>
          <w:tcPr>
            <w:tcW w:w="556" w:type="pct"/>
            <w:vAlign w:val="center"/>
            <w:hideMark/>
          </w:tcPr>
          <w:p w14:paraId="43AB1A8B" w14:textId="05CF128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0.09</w:t>
            </w:r>
          </w:p>
        </w:tc>
        <w:tc>
          <w:tcPr>
            <w:tcW w:w="553" w:type="pct"/>
            <w:vAlign w:val="center"/>
            <w:hideMark/>
          </w:tcPr>
          <w:p w14:paraId="16260C42" w14:textId="330264C6"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r>
      <w:tr w:rsidR="00B25BDD" w:rsidRPr="000309F2" w14:paraId="2D3660C1" w14:textId="77777777" w:rsidTr="00972437">
        <w:trPr>
          <w:trHeight w:val="432"/>
        </w:trPr>
        <w:tc>
          <w:tcPr>
            <w:tcW w:w="555" w:type="pct"/>
            <w:noWrap/>
            <w:vAlign w:val="center"/>
            <w:hideMark/>
          </w:tcPr>
          <w:p w14:paraId="3C1693B3"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7</w:t>
            </w:r>
          </w:p>
        </w:tc>
        <w:tc>
          <w:tcPr>
            <w:tcW w:w="556" w:type="pct"/>
            <w:vAlign w:val="center"/>
            <w:hideMark/>
          </w:tcPr>
          <w:p w14:paraId="492D16F0" w14:textId="1343378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0.59</w:t>
            </w:r>
          </w:p>
        </w:tc>
        <w:tc>
          <w:tcPr>
            <w:tcW w:w="556" w:type="pct"/>
            <w:vAlign w:val="center"/>
            <w:hideMark/>
          </w:tcPr>
          <w:p w14:paraId="61D5D804" w14:textId="1F74E73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0.048</w:t>
            </w:r>
          </w:p>
        </w:tc>
        <w:tc>
          <w:tcPr>
            <w:tcW w:w="556" w:type="pct"/>
            <w:vAlign w:val="center"/>
            <w:hideMark/>
          </w:tcPr>
          <w:p w14:paraId="63CD01B2" w14:textId="2A0390C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w:t>
            </w:r>
          </w:p>
        </w:tc>
        <w:tc>
          <w:tcPr>
            <w:tcW w:w="556" w:type="pct"/>
            <w:vAlign w:val="center"/>
            <w:hideMark/>
          </w:tcPr>
          <w:p w14:paraId="4AC6E740" w14:textId="6A3CE001"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1.15</w:t>
            </w:r>
          </w:p>
        </w:tc>
        <w:tc>
          <w:tcPr>
            <w:tcW w:w="556" w:type="pct"/>
            <w:vAlign w:val="center"/>
            <w:hideMark/>
          </w:tcPr>
          <w:p w14:paraId="4BA25712" w14:textId="72274E1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w:t>
            </w:r>
          </w:p>
        </w:tc>
        <w:tc>
          <w:tcPr>
            <w:tcW w:w="556" w:type="pct"/>
            <w:vAlign w:val="center"/>
            <w:hideMark/>
          </w:tcPr>
          <w:p w14:paraId="2DF318B2" w14:textId="465AC7D9"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98.37</w:t>
            </w:r>
          </w:p>
        </w:tc>
        <w:tc>
          <w:tcPr>
            <w:tcW w:w="556" w:type="pct"/>
            <w:vAlign w:val="center"/>
            <w:hideMark/>
          </w:tcPr>
          <w:p w14:paraId="62071F42" w14:textId="20A19CF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-0.39</w:t>
            </w:r>
          </w:p>
        </w:tc>
        <w:tc>
          <w:tcPr>
            <w:tcW w:w="553" w:type="pct"/>
            <w:vAlign w:val="center"/>
            <w:hideMark/>
          </w:tcPr>
          <w:p w14:paraId="46470277" w14:textId="32E7709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r>
      <w:tr w:rsidR="00B25BDD" w:rsidRPr="000309F2" w14:paraId="4A31A1B1" w14:textId="77777777" w:rsidTr="00972437">
        <w:trPr>
          <w:trHeight w:val="432"/>
        </w:trPr>
        <w:tc>
          <w:tcPr>
            <w:tcW w:w="555" w:type="pct"/>
            <w:noWrap/>
            <w:vAlign w:val="center"/>
            <w:hideMark/>
          </w:tcPr>
          <w:p w14:paraId="1A2A9792"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8</w:t>
            </w:r>
          </w:p>
        </w:tc>
        <w:tc>
          <w:tcPr>
            <w:tcW w:w="556" w:type="pct"/>
            <w:vAlign w:val="center"/>
            <w:hideMark/>
          </w:tcPr>
          <w:p w14:paraId="6F056C24" w14:textId="24D48212"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0.58</w:t>
            </w:r>
          </w:p>
        </w:tc>
        <w:tc>
          <w:tcPr>
            <w:tcW w:w="556" w:type="pct"/>
            <w:vAlign w:val="center"/>
            <w:hideMark/>
          </w:tcPr>
          <w:p w14:paraId="3E129272" w14:textId="0C1EBB3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0.043</w:t>
            </w:r>
          </w:p>
        </w:tc>
        <w:tc>
          <w:tcPr>
            <w:tcW w:w="556" w:type="pct"/>
            <w:vAlign w:val="center"/>
            <w:hideMark/>
          </w:tcPr>
          <w:p w14:paraId="6988F282" w14:textId="5A272379"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c>
          <w:tcPr>
            <w:tcW w:w="556" w:type="pct"/>
            <w:vAlign w:val="center"/>
            <w:hideMark/>
          </w:tcPr>
          <w:p w14:paraId="45CC4FED" w14:textId="5A1A83F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1.14</w:t>
            </w:r>
          </w:p>
        </w:tc>
        <w:tc>
          <w:tcPr>
            <w:tcW w:w="556" w:type="pct"/>
            <w:vAlign w:val="center"/>
            <w:hideMark/>
          </w:tcPr>
          <w:p w14:paraId="4A2303C0" w14:textId="740E82E6"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3.44</w:t>
            </w:r>
          </w:p>
        </w:tc>
        <w:tc>
          <w:tcPr>
            <w:tcW w:w="556" w:type="pct"/>
            <w:vAlign w:val="center"/>
            <w:hideMark/>
          </w:tcPr>
          <w:p w14:paraId="3C53AF9F" w14:textId="5B7B851F"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98.38</w:t>
            </w:r>
          </w:p>
        </w:tc>
        <w:tc>
          <w:tcPr>
            <w:tcW w:w="556" w:type="pct"/>
            <w:vAlign w:val="center"/>
            <w:hideMark/>
          </w:tcPr>
          <w:p w14:paraId="71853C8D" w14:textId="3A84450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0.06</w:t>
            </w:r>
          </w:p>
        </w:tc>
        <w:tc>
          <w:tcPr>
            <w:tcW w:w="553" w:type="pct"/>
            <w:vAlign w:val="center"/>
            <w:hideMark/>
          </w:tcPr>
          <w:p w14:paraId="1F70EC9A" w14:textId="10513B5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r>
      <w:tr w:rsidR="00B25BDD" w:rsidRPr="000309F2" w14:paraId="2EE9D98A" w14:textId="77777777" w:rsidTr="00972437">
        <w:trPr>
          <w:trHeight w:val="432"/>
        </w:trPr>
        <w:tc>
          <w:tcPr>
            <w:tcW w:w="555" w:type="pct"/>
            <w:noWrap/>
            <w:vAlign w:val="center"/>
            <w:hideMark/>
          </w:tcPr>
          <w:p w14:paraId="6D14E3A8"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w:t>
            </w:r>
          </w:p>
        </w:tc>
        <w:tc>
          <w:tcPr>
            <w:tcW w:w="556" w:type="pct"/>
            <w:vAlign w:val="center"/>
            <w:hideMark/>
          </w:tcPr>
          <w:p w14:paraId="556E947F" w14:textId="0B4649F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0.57</w:t>
            </w:r>
          </w:p>
        </w:tc>
        <w:tc>
          <w:tcPr>
            <w:tcW w:w="556" w:type="pct"/>
            <w:vAlign w:val="center"/>
            <w:hideMark/>
          </w:tcPr>
          <w:p w14:paraId="0E43BEB5" w14:textId="44D6D7A1"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0.040</w:t>
            </w:r>
          </w:p>
        </w:tc>
        <w:tc>
          <w:tcPr>
            <w:tcW w:w="556" w:type="pct"/>
            <w:vAlign w:val="center"/>
            <w:hideMark/>
          </w:tcPr>
          <w:p w14:paraId="57F7CED0" w14:textId="5F53E8F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c>
          <w:tcPr>
            <w:tcW w:w="556" w:type="pct"/>
            <w:vAlign w:val="center"/>
            <w:hideMark/>
          </w:tcPr>
          <w:p w14:paraId="58C5F015" w14:textId="723B28C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1.13</w:t>
            </w:r>
          </w:p>
        </w:tc>
        <w:tc>
          <w:tcPr>
            <w:tcW w:w="556" w:type="pct"/>
            <w:vAlign w:val="center"/>
            <w:hideMark/>
          </w:tcPr>
          <w:p w14:paraId="3C982C65" w14:textId="4972471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3.41</w:t>
            </w:r>
          </w:p>
        </w:tc>
        <w:tc>
          <w:tcPr>
            <w:tcW w:w="556" w:type="pct"/>
            <w:vAlign w:val="center"/>
            <w:hideMark/>
          </w:tcPr>
          <w:p w14:paraId="34EC0592" w14:textId="05999C1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98.35</w:t>
            </w:r>
          </w:p>
        </w:tc>
        <w:tc>
          <w:tcPr>
            <w:tcW w:w="556" w:type="pct"/>
            <w:vAlign w:val="center"/>
            <w:hideMark/>
          </w:tcPr>
          <w:p w14:paraId="5D9E7493" w14:textId="012B8AAF"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0.22</w:t>
            </w:r>
          </w:p>
        </w:tc>
        <w:tc>
          <w:tcPr>
            <w:tcW w:w="553" w:type="pct"/>
            <w:vAlign w:val="center"/>
            <w:hideMark/>
          </w:tcPr>
          <w:p w14:paraId="22EB10A2" w14:textId="1A651BE1"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r>
      <w:tr w:rsidR="00B25BDD" w:rsidRPr="000309F2" w14:paraId="49325747" w14:textId="77777777" w:rsidTr="00972437">
        <w:trPr>
          <w:trHeight w:val="432"/>
        </w:trPr>
        <w:tc>
          <w:tcPr>
            <w:tcW w:w="555" w:type="pct"/>
            <w:noWrap/>
            <w:vAlign w:val="center"/>
            <w:hideMark/>
          </w:tcPr>
          <w:p w14:paraId="5C4B4FEF"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10</w:t>
            </w:r>
          </w:p>
        </w:tc>
        <w:tc>
          <w:tcPr>
            <w:tcW w:w="556" w:type="pct"/>
            <w:vAlign w:val="center"/>
            <w:hideMark/>
          </w:tcPr>
          <w:p w14:paraId="504664A2" w14:textId="7A8361DF"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0.58</w:t>
            </w:r>
          </w:p>
        </w:tc>
        <w:tc>
          <w:tcPr>
            <w:tcW w:w="556" w:type="pct"/>
            <w:vAlign w:val="center"/>
            <w:hideMark/>
          </w:tcPr>
          <w:p w14:paraId="378F6867" w14:textId="32A0F13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0.037</w:t>
            </w:r>
          </w:p>
        </w:tc>
        <w:tc>
          <w:tcPr>
            <w:tcW w:w="556" w:type="pct"/>
            <w:vAlign w:val="center"/>
            <w:hideMark/>
          </w:tcPr>
          <w:p w14:paraId="13A5112F" w14:textId="60FB225F"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0.02</w:t>
            </w:r>
          </w:p>
        </w:tc>
        <w:tc>
          <w:tcPr>
            <w:tcW w:w="556" w:type="pct"/>
            <w:vAlign w:val="center"/>
            <w:hideMark/>
          </w:tcPr>
          <w:p w14:paraId="3E9102C7" w14:textId="6451E04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1.15</w:t>
            </w:r>
          </w:p>
        </w:tc>
        <w:tc>
          <w:tcPr>
            <w:tcW w:w="556" w:type="pct"/>
            <w:vAlign w:val="center"/>
            <w:hideMark/>
          </w:tcPr>
          <w:p w14:paraId="5C2469CD" w14:textId="27B1B51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3.45</w:t>
            </w:r>
          </w:p>
        </w:tc>
        <w:tc>
          <w:tcPr>
            <w:tcW w:w="556" w:type="pct"/>
            <w:vAlign w:val="center"/>
            <w:hideMark/>
          </w:tcPr>
          <w:p w14:paraId="7BFBD1AF" w14:textId="2D85054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98.35</w:t>
            </w:r>
          </w:p>
        </w:tc>
        <w:tc>
          <w:tcPr>
            <w:tcW w:w="556" w:type="pct"/>
            <w:vAlign w:val="center"/>
            <w:hideMark/>
          </w:tcPr>
          <w:p w14:paraId="06A81C37" w14:textId="42365CA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-0.08</w:t>
            </w:r>
          </w:p>
        </w:tc>
        <w:tc>
          <w:tcPr>
            <w:tcW w:w="553" w:type="pct"/>
            <w:vAlign w:val="center"/>
            <w:hideMark/>
          </w:tcPr>
          <w:p w14:paraId="7A4F2459" w14:textId="6447491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r>
      <w:tr w:rsidR="00B25BDD" w:rsidRPr="000309F2" w14:paraId="251020D5" w14:textId="77777777" w:rsidTr="00972437">
        <w:trPr>
          <w:trHeight w:val="432"/>
        </w:trPr>
        <w:tc>
          <w:tcPr>
            <w:tcW w:w="555" w:type="pct"/>
            <w:noWrap/>
            <w:vAlign w:val="center"/>
            <w:hideMark/>
          </w:tcPr>
          <w:p w14:paraId="2B4B1CD4"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11</w:t>
            </w:r>
          </w:p>
        </w:tc>
        <w:tc>
          <w:tcPr>
            <w:tcW w:w="556" w:type="pct"/>
            <w:noWrap/>
            <w:vAlign w:val="center"/>
            <w:hideMark/>
          </w:tcPr>
          <w:p w14:paraId="7B9DC947" w14:textId="69F4C1A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0.59</w:t>
            </w:r>
          </w:p>
        </w:tc>
        <w:tc>
          <w:tcPr>
            <w:tcW w:w="556" w:type="pct"/>
            <w:noWrap/>
            <w:vAlign w:val="center"/>
            <w:hideMark/>
          </w:tcPr>
          <w:p w14:paraId="6F3FA7F2" w14:textId="7AE1F4E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0.039</w:t>
            </w:r>
          </w:p>
        </w:tc>
        <w:tc>
          <w:tcPr>
            <w:tcW w:w="556" w:type="pct"/>
            <w:noWrap/>
            <w:vAlign w:val="center"/>
            <w:hideMark/>
          </w:tcPr>
          <w:p w14:paraId="781AD231" w14:textId="71950A5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w:t>
            </w:r>
          </w:p>
        </w:tc>
        <w:tc>
          <w:tcPr>
            <w:tcW w:w="556" w:type="pct"/>
            <w:noWrap/>
            <w:vAlign w:val="center"/>
            <w:hideMark/>
          </w:tcPr>
          <w:p w14:paraId="37FE9591" w14:textId="552E24B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1.15</w:t>
            </w:r>
          </w:p>
        </w:tc>
        <w:tc>
          <w:tcPr>
            <w:tcW w:w="556" w:type="pct"/>
            <w:noWrap/>
            <w:vAlign w:val="center"/>
            <w:hideMark/>
          </w:tcPr>
          <w:p w14:paraId="3CBCA794" w14:textId="204001C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3.43</w:t>
            </w:r>
          </w:p>
        </w:tc>
        <w:tc>
          <w:tcPr>
            <w:tcW w:w="556" w:type="pct"/>
            <w:vAlign w:val="center"/>
            <w:hideMark/>
          </w:tcPr>
          <w:p w14:paraId="2C75B2AE" w14:textId="200FBAE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98.33</w:t>
            </w:r>
          </w:p>
        </w:tc>
        <w:tc>
          <w:tcPr>
            <w:tcW w:w="556" w:type="pct"/>
            <w:vAlign w:val="center"/>
            <w:hideMark/>
          </w:tcPr>
          <w:p w14:paraId="3A5495DA" w14:textId="49CB208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-0.27</w:t>
            </w:r>
          </w:p>
        </w:tc>
        <w:tc>
          <w:tcPr>
            <w:tcW w:w="553" w:type="pct"/>
            <w:vAlign w:val="center"/>
            <w:hideMark/>
          </w:tcPr>
          <w:p w14:paraId="5A05A176" w14:textId="2138DD3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r>
      <w:tr w:rsidR="00B25BDD" w:rsidRPr="000309F2" w14:paraId="7785672B" w14:textId="77777777" w:rsidTr="00972437">
        <w:trPr>
          <w:trHeight w:val="432"/>
        </w:trPr>
        <w:tc>
          <w:tcPr>
            <w:tcW w:w="555" w:type="pct"/>
            <w:noWrap/>
            <w:vAlign w:val="center"/>
            <w:hideMark/>
          </w:tcPr>
          <w:p w14:paraId="76C8539B"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12</w:t>
            </w:r>
          </w:p>
        </w:tc>
        <w:tc>
          <w:tcPr>
            <w:tcW w:w="556" w:type="pct"/>
            <w:noWrap/>
            <w:vAlign w:val="center"/>
            <w:hideMark/>
          </w:tcPr>
          <w:p w14:paraId="7E3C6567" w14:textId="572764D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0.6</w:t>
            </w:r>
          </w:p>
        </w:tc>
        <w:tc>
          <w:tcPr>
            <w:tcW w:w="556" w:type="pct"/>
            <w:noWrap/>
            <w:vAlign w:val="center"/>
            <w:hideMark/>
          </w:tcPr>
          <w:p w14:paraId="6E0B299C" w14:textId="5011866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0.038</w:t>
            </w:r>
          </w:p>
        </w:tc>
        <w:tc>
          <w:tcPr>
            <w:tcW w:w="556" w:type="pct"/>
            <w:noWrap/>
            <w:vAlign w:val="center"/>
            <w:hideMark/>
          </w:tcPr>
          <w:p w14:paraId="3D4835FD" w14:textId="54C6E8D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w:t>
            </w:r>
          </w:p>
        </w:tc>
        <w:tc>
          <w:tcPr>
            <w:tcW w:w="556" w:type="pct"/>
            <w:noWrap/>
            <w:vAlign w:val="center"/>
            <w:hideMark/>
          </w:tcPr>
          <w:p w14:paraId="164C0F8B" w14:textId="04ADF5B2"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1.16</w:t>
            </w:r>
          </w:p>
        </w:tc>
        <w:tc>
          <w:tcPr>
            <w:tcW w:w="556" w:type="pct"/>
            <w:noWrap/>
            <w:vAlign w:val="center"/>
            <w:hideMark/>
          </w:tcPr>
          <w:p w14:paraId="7EFCF8CC" w14:textId="31BE269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3.39</w:t>
            </w:r>
          </w:p>
        </w:tc>
        <w:tc>
          <w:tcPr>
            <w:tcW w:w="556" w:type="pct"/>
            <w:noWrap/>
            <w:vAlign w:val="center"/>
            <w:hideMark/>
          </w:tcPr>
          <w:p w14:paraId="49E197E1" w14:textId="22B2561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98.32</w:t>
            </w:r>
          </w:p>
        </w:tc>
        <w:tc>
          <w:tcPr>
            <w:tcW w:w="556" w:type="pct"/>
            <w:vAlign w:val="center"/>
            <w:hideMark/>
          </w:tcPr>
          <w:p w14:paraId="6E8C709F" w14:textId="3A8E6A36"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-0.45</w:t>
            </w:r>
          </w:p>
        </w:tc>
        <w:tc>
          <w:tcPr>
            <w:tcW w:w="553" w:type="pct"/>
            <w:vAlign w:val="center"/>
            <w:hideMark/>
          </w:tcPr>
          <w:p w14:paraId="1CC97475" w14:textId="7128E625"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0.02</w:t>
            </w:r>
          </w:p>
        </w:tc>
      </w:tr>
      <w:tr w:rsidR="00B25BDD" w:rsidRPr="000309F2" w14:paraId="1D185253" w14:textId="77777777" w:rsidTr="00972437">
        <w:trPr>
          <w:trHeight w:val="432"/>
        </w:trPr>
        <w:tc>
          <w:tcPr>
            <w:tcW w:w="555" w:type="pct"/>
            <w:noWrap/>
            <w:vAlign w:val="center"/>
            <w:hideMark/>
          </w:tcPr>
          <w:p w14:paraId="53D3E570"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13</w:t>
            </w:r>
          </w:p>
        </w:tc>
        <w:tc>
          <w:tcPr>
            <w:tcW w:w="556" w:type="pct"/>
            <w:noWrap/>
            <w:vAlign w:val="center"/>
            <w:hideMark/>
          </w:tcPr>
          <w:p w14:paraId="0315ED9B" w14:textId="744F1D79"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0.59</w:t>
            </w:r>
          </w:p>
        </w:tc>
        <w:tc>
          <w:tcPr>
            <w:tcW w:w="556" w:type="pct"/>
            <w:noWrap/>
            <w:vAlign w:val="center"/>
            <w:hideMark/>
          </w:tcPr>
          <w:p w14:paraId="7B4906B5" w14:textId="011B1E2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0.040</w:t>
            </w:r>
          </w:p>
        </w:tc>
        <w:tc>
          <w:tcPr>
            <w:tcW w:w="556" w:type="pct"/>
            <w:noWrap/>
            <w:vAlign w:val="center"/>
            <w:hideMark/>
          </w:tcPr>
          <w:p w14:paraId="3B933ED3" w14:textId="3804DD82"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w:t>
            </w:r>
          </w:p>
        </w:tc>
        <w:tc>
          <w:tcPr>
            <w:tcW w:w="556" w:type="pct"/>
            <w:noWrap/>
            <w:vAlign w:val="center"/>
            <w:hideMark/>
          </w:tcPr>
          <w:p w14:paraId="1ADDF2CE" w14:textId="3598242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1.15</w:t>
            </w:r>
          </w:p>
        </w:tc>
        <w:tc>
          <w:tcPr>
            <w:tcW w:w="556" w:type="pct"/>
            <w:noWrap/>
            <w:vAlign w:val="center"/>
            <w:hideMark/>
          </w:tcPr>
          <w:p w14:paraId="4FB88D9F" w14:textId="6B05464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3.42</w:t>
            </w:r>
          </w:p>
        </w:tc>
        <w:tc>
          <w:tcPr>
            <w:tcW w:w="556" w:type="pct"/>
            <w:noWrap/>
            <w:vAlign w:val="center"/>
            <w:hideMark/>
          </w:tcPr>
          <w:p w14:paraId="761DDCDB" w14:textId="09547E9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98.33</w:t>
            </w:r>
          </w:p>
        </w:tc>
        <w:tc>
          <w:tcPr>
            <w:tcW w:w="556" w:type="pct"/>
            <w:vAlign w:val="center"/>
            <w:hideMark/>
          </w:tcPr>
          <w:p w14:paraId="72AEC46D" w14:textId="417C2236"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-0.34</w:t>
            </w:r>
          </w:p>
        </w:tc>
        <w:tc>
          <w:tcPr>
            <w:tcW w:w="553" w:type="pct"/>
            <w:vAlign w:val="center"/>
            <w:hideMark/>
          </w:tcPr>
          <w:p w14:paraId="35B28801" w14:textId="53554462"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r>
      <w:tr w:rsidR="00B25BDD" w:rsidRPr="000309F2" w14:paraId="4ADDDE5F" w14:textId="77777777" w:rsidTr="00972437">
        <w:trPr>
          <w:trHeight w:val="432"/>
        </w:trPr>
        <w:tc>
          <w:tcPr>
            <w:tcW w:w="555" w:type="pct"/>
            <w:noWrap/>
            <w:vAlign w:val="center"/>
            <w:hideMark/>
          </w:tcPr>
          <w:p w14:paraId="491B0A53"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14</w:t>
            </w:r>
          </w:p>
        </w:tc>
        <w:tc>
          <w:tcPr>
            <w:tcW w:w="556" w:type="pct"/>
            <w:noWrap/>
            <w:vAlign w:val="center"/>
            <w:hideMark/>
          </w:tcPr>
          <w:p w14:paraId="2D67F9A1" w14:textId="7057284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0.59</w:t>
            </w:r>
          </w:p>
        </w:tc>
        <w:tc>
          <w:tcPr>
            <w:tcW w:w="556" w:type="pct"/>
            <w:noWrap/>
            <w:vAlign w:val="center"/>
            <w:hideMark/>
          </w:tcPr>
          <w:p w14:paraId="08E06969" w14:textId="426ED4E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0.044</w:t>
            </w:r>
          </w:p>
        </w:tc>
        <w:tc>
          <w:tcPr>
            <w:tcW w:w="556" w:type="pct"/>
            <w:noWrap/>
            <w:vAlign w:val="center"/>
            <w:hideMark/>
          </w:tcPr>
          <w:p w14:paraId="2438A568" w14:textId="21A4473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w:t>
            </w:r>
          </w:p>
        </w:tc>
        <w:tc>
          <w:tcPr>
            <w:tcW w:w="556" w:type="pct"/>
            <w:noWrap/>
            <w:vAlign w:val="center"/>
            <w:hideMark/>
          </w:tcPr>
          <w:p w14:paraId="2C2E4C77" w14:textId="647D7021"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1.16</w:t>
            </w:r>
          </w:p>
        </w:tc>
        <w:tc>
          <w:tcPr>
            <w:tcW w:w="556" w:type="pct"/>
            <w:noWrap/>
            <w:vAlign w:val="center"/>
            <w:hideMark/>
          </w:tcPr>
          <w:p w14:paraId="0738483A" w14:textId="15D6BBF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3.41</w:t>
            </w:r>
          </w:p>
        </w:tc>
        <w:tc>
          <w:tcPr>
            <w:tcW w:w="556" w:type="pct"/>
            <w:noWrap/>
            <w:vAlign w:val="center"/>
            <w:hideMark/>
          </w:tcPr>
          <w:p w14:paraId="15378821" w14:textId="18760F0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98.33</w:t>
            </w:r>
          </w:p>
        </w:tc>
        <w:tc>
          <w:tcPr>
            <w:tcW w:w="556" w:type="pct"/>
            <w:vAlign w:val="center"/>
            <w:hideMark/>
          </w:tcPr>
          <w:p w14:paraId="0E6E102A" w14:textId="7A30634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-0.38</w:t>
            </w:r>
          </w:p>
        </w:tc>
        <w:tc>
          <w:tcPr>
            <w:tcW w:w="553" w:type="pct"/>
            <w:vAlign w:val="center"/>
            <w:hideMark/>
          </w:tcPr>
          <w:p w14:paraId="2F6EDB3F" w14:textId="268F95C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r>
      <w:tr w:rsidR="00B25BDD" w:rsidRPr="000309F2" w14:paraId="622CB481" w14:textId="77777777" w:rsidTr="00972437">
        <w:trPr>
          <w:trHeight w:val="432"/>
        </w:trPr>
        <w:tc>
          <w:tcPr>
            <w:tcW w:w="555" w:type="pct"/>
            <w:noWrap/>
            <w:vAlign w:val="center"/>
            <w:hideMark/>
          </w:tcPr>
          <w:p w14:paraId="3CA8BE39"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15</w:t>
            </w:r>
          </w:p>
        </w:tc>
        <w:tc>
          <w:tcPr>
            <w:tcW w:w="556" w:type="pct"/>
            <w:noWrap/>
            <w:vAlign w:val="center"/>
            <w:hideMark/>
          </w:tcPr>
          <w:p w14:paraId="30967723" w14:textId="40DEE83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0.59</w:t>
            </w:r>
          </w:p>
        </w:tc>
        <w:tc>
          <w:tcPr>
            <w:tcW w:w="556" w:type="pct"/>
            <w:noWrap/>
            <w:vAlign w:val="center"/>
            <w:hideMark/>
          </w:tcPr>
          <w:p w14:paraId="176538CF" w14:textId="4FD8843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0.047</w:t>
            </w:r>
          </w:p>
        </w:tc>
        <w:tc>
          <w:tcPr>
            <w:tcW w:w="556" w:type="pct"/>
            <w:noWrap/>
            <w:vAlign w:val="center"/>
            <w:hideMark/>
          </w:tcPr>
          <w:p w14:paraId="21410E6E" w14:textId="2C8F850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w:t>
            </w:r>
          </w:p>
        </w:tc>
        <w:tc>
          <w:tcPr>
            <w:tcW w:w="556" w:type="pct"/>
            <w:noWrap/>
            <w:vAlign w:val="center"/>
            <w:hideMark/>
          </w:tcPr>
          <w:p w14:paraId="57D35266" w14:textId="2804EC2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1.15</w:t>
            </w:r>
          </w:p>
        </w:tc>
        <w:tc>
          <w:tcPr>
            <w:tcW w:w="556" w:type="pct"/>
            <w:noWrap/>
            <w:vAlign w:val="center"/>
            <w:hideMark/>
          </w:tcPr>
          <w:p w14:paraId="610CF4FC" w14:textId="0C2B0C22"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3.43</w:t>
            </w:r>
          </w:p>
        </w:tc>
        <w:tc>
          <w:tcPr>
            <w:tcW w:w="556" w:type="pct"/>
            <w:noWrap/>
            <w:vAlign w:val="center"/>
            <w:hideMark/>
          </w:tcPr>
          <w:p w14:paraId="491F50E5" w14:textId="5F3F983F"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98.34</w:t>
            </w:r>
          </w:p>
        </w:tc>
        <w:tc>
          <w:tcPr>
            <w:tcW w:w="556" w:type="pct"/>
            <w:vAlign w:val="center"/>
            <w:hideMark/>
          </w:tcPr>
          <w:p w14:paraId="516F49DE" w14:textId="606DAD25"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-0.27</w:t>
            </w:r>
          </w:p>
        </w:tc>
        <w:tc>
          <w:tcPr>
            <w:tcW w:w="553" w:type="pct"/>
            <w:vAlign w:val="center"/>
            <w:hideMark/>
          </w:tcPr>
          <w:p w14:paraId="357199F9" w14:textId="197993F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r>
      <w:tr w:rsidR="00B25BDD" w:rsidRPr="000309F2" w14:paraId="76D0D445" w14:textId="77777777" w:rsidTr="00972437">
        <w:trPr>
          <w:trHeight w:val="432"/>
        </w:trPr>
        <w:tc>
          <w:tcPr>
            <w:tcW w:w="555" w:type="pct"/>
            <w:noWrap/>
            <w:vAlign w:val="center"/>
            <w:hideMark/>
          </w:tcPr>
          <w:p w14:paraId="6815AAE7"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16</w:t>
            </w:r>
          </w:p>
        </w:tc>
        <w:tc>
          <w:tcPr>
            <w:tcW w:w="556" w:type="pct"/>
            <w:noWrap/>
            <w:vAlign w:val="center"/>
            <w:hideMark/>
          </w:tcPr>
          <w:p w14:paraId="224A4B4B" w14:textId="55148E95"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0.58</w:t>
            </w:r>
          </w:p>
        </w:tc>
        <w:tc>
          <w:tcPr>
            <w:tcW w:w="556" w:type="pct"/>
            <w:noWrap/>
            <w:vAlign w:val="center"/>
            <w:hideMark/>
          </w:tcPr>
          <w:p w14:paraId="17373AE4" w14:textId="413981B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0.038</w:t>
            </w:r>
          </w:p>
        </w:tc>
        <w:tc>
          <w:tcPr>
            <w:tcW w:w="556" w:type="pct"/>
            <w:noWrap/>
            <w:vAlign w:val="center"/>
            <w:hideMark/>
          </w:tcPr>
          <w:p w14:paraId="3CDAEA9C" w14:textId="2F97F57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0.02</w:t>
            </w:r>
          </w:p>
        </w:tc>
        <w:tc>
          <w:tcPr>
            <w:tcW w:w="556" w:type="pct"/>
            <w:noWrap/>
            <w:vAlign w:val="center"/>
            <w:hideMark/>
          </w:tcPr>
          <w:p w14:paraId="35673BD6" w14:textId="024D7F5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1.15</w:t>
            </w:r>
          </w:p>
        </w:tc>
        <w:tc>
          <w:tcPr>
            <w:tcW w:w="556" w:type="pct"/>
            <w:noWrap/>
            <w:vAlign w:val="center"/>
            <w:hideMark/>
          </w:tcPr>
          <w:p w14:paraId="546F606D" w14:textId="663B818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3.45</w:t>
            </w:r>
          </w:p>
        </w:tc>
        <w:tc>
          <w:tcPr>
            <w:tcW w:w="556" w:type="pct"/>
            <w:noWrap/>
            <w:vAlign w:val="center"/>
            <w:hideMark/>
          </w:tcPr>
          <w:p w14:paraId="4FD30DB6" w14:textId="67BA987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98.35</w:t>
            </w:r>
          </w:p>
        </w:tc>
        <w:tc>
          <w:tcPr>
            <w:tcW w:w="556" w:type="pct"/>
            <w:vAlign w:val="center"/>
            <w:hideMark/>
          </w:tcPr>
          <w:p w14:paraId="6EC1F055" w14:textId="6D74C382"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-0.05</w:t>
            </w:r>
          </w:p>
        </w:tc>
        <w:tc>
          <w:tcPr>
            <w:tcW w:w="553" w:type="pct"/>
            <w:vAlign w:val="center"/>
            <w:hideMark/>
          </w:tcPr>
          <w:p w14:paraId="212DD854" w14:textId="3C076431"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r>
      <w:tr w:rsidR="00B25BDD" w:rsidRPr="000309F2" w14:paraId="6B6E6AE4" w14:textId="77777777" w:rsidTr="00972437">
        <w:trPr>
          <w:trHeight w:val="432"/>
        </w:trPr>
        <w:tc>
          <w:tcPr>
            <w:tcW w:w="555" w:type="pct"/>
            <w:noWrap/>
            <w:vAlign w:val="center"/>
            <w:hideMark/>
          </w:tcPr>
          <w:p w14:paraId="446C5F64"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17</w:t>
            </w:r>
          </w:p>
        </w:tc>
        <w:tc>
          <w:tcPr>
            <w:tcW w:w="556" w:type="pct"/>
            <w:noWrap/>
            <w:vAlign w:val="center"/>
            <w:hideMark/>
          </w:tcPr>
          <w:p w14:paraId="0C9450C7" w14:textId="1F4708B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0.57</w:t>
            </w:r>
          </w:p>
        </w:tc>
        <w:tc>
          <w:tcPr>
            <w:tcW w:w="556" w:type="pct"/>
            <w:noWrap/>
            <w:vAlign w:val="center"/>
            <w:hideMark/>
          </w:tcPr>
          <w:p w14:paraId="30EBA6C7" w14:textId="7877507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0.035</w:t>
            </w:r>
          </w:p>
        </w:tc>
        <w:tc>
          <w:tcPr>
            <w:tcW w:w="556" w:type="pct"/>
            <w:noWrap/>
            <w:vAlign w:val="center"/>
            <w:hideMark/>
          </w:tcPr>
          <w:p w14:paraId="5B69FAE1" w14:textId="1DFF08E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c>
          <w:tcPr>
            <w:tcW w:w="556" w:type="pct"/>
            <w:noWrap/>
            <w:vAlign w:val="center"/>
            <w:hideMark/>
          </w:tcPr>
          <w:p w14:paraId="0BCA7ABC" w14:textId="504C5FCB"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1.13</w:t>
            </w:r>
          </w:p>
        </w:tc>
        <w:tc>
          <w:tcPr>
            <w:tcW w:w="556" w:type="pct"/>
            <w:noWrap/>
            <w:vAlign w:val="center"/>
            <w:hideMark/>
          </w:tcPr>
          <w:p w14:paraId="71D32E79" w14:textId="7AF72D2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w:t>
            </w:r>
          </w:p>
        </w:tc>
        <w:tc>
          <w:tcPr>
            <w:tcW w:w="556" w:type="pct"/>
            <w:noWrap/>
            <w:vAlign w:val="center"/>
            <w:hideMark/>
          </w:tcPr>
          <w:p w14:paraId="4DAAD04B" w14:textId="7FACD5D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98.39</w:t>
            </w:r>
          </w:p>
        </w:tc>
        <w:tc>
          <w:tcPr>
            <w:tcW w:w="556" w:type="pct"/>
            <w:vAlign w:val="center"/>
            <w:hideMark/>
          </w:tcPr>
          <w:p w14:paraId="2D059C4C" w14:textId="6646A05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0.2</w:t>
            </w:r>
          </w:p>
        </w:tc>
        <w:tc>
          <w:tcPr>
            <w:tcW w:w="553" w:type="pct"/>
            <w:vAlign w:val="center"/>
            <w:hideMark/>
          </w:tcPr>
          <w:p w14:paraId="4B49DB49" w14:textId="20B6950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r>
      <w:tr w:rsidR="00B25BDD" w:rsidRPr="000309F2" w14:paraId="49712151" w14:textId="77777777" w:rsidTr="00972437">
        <w:trPr>
          <w:trHeight w:val="432"/>
        </w:trPr>
        <w:tc>
          <w:tcPr>
            <w:tcW w:w="555" w:type="pct"/>
            <w:noWrap/>
            <w:vAlign w:val="center"/>
            <w:hideMark/>
          </w:tcPr>
          <w:p w14:paraId="060791D6"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18</w:t>
            </w:r>
          </w:p>
        </w:tc>
        <w:tc>
          <w:tcPr>
            <w:tcW w:w="556" w:type="pct"/>
            <w:noWrap/>
            <w:vAlign w:val="center"/>
            <w:hideMark/>
          </w:tcPr>
          <w:p w14:paraId="6B726C85" w14:textId="07FAA159"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0.59</w:t>
            </w:r>
          </w:p>
        </w:tc>
        <w:tc>
          <w:tcPr>
            <w:tcW w:w="556" w:type="pct"/>
            <w:noWrap/>
            <w:vAlign w:val="center"/>
            <w:hideMark/>
          </w:tcPr>
          <w:p w14:paraId="1FBA29D9" w14:textId="399A152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0.037</w:t>
            </w:r>
          </w:p>
        </w:tc>
        <w:tc>
          <w:tcPr>
            <w:tcW w:w="556" w:type="pct"/>
            <w:noWrap/>
            <w:vAlign w:val="center"/>
            <w:hideMark/>
          </w:tcPr>
          <w:p w14:paraId="43E4234D" w14:textId="356C719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w:t>
            </w:r>
          </w:p>
        </w:tc>
        <w:tc>
          <w:tcPr>
            <w:tcW w:w="556" w:type="pct"/>
            <w:noWrap/>
            <w:vAlign w:val="center"/>
            <w:hideMark/>
          </w:tcPr>
          <w:p w14:paraId="222B2707" w14:textId="798D9A95"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1.15</w:t>
            </w:r>
          </w:p>
        </w:tc>
        <w:tc>
          <w:tcPr>
            <w:tcW w:w="556" w:type="pct"/>
            <w:noWrap/>
            <w:vAlign w:val="center"/>
            <w:hideMark/>
          </w:tcPr>
          <w:p w14:paraId="6C84FA27" w14:textId="71351B3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3.41</w:t>
            </w:r>
          </w:p>
        </w:tc>
        <w:tc>
          <w:tcPr>
            <w:tcW w:w="556" w:type="pct"/>
            <w:noWrap/>
            <w:vAlign w:val="center"/>
            <w:hideMark/>
          </w:tcPr>
          <w:p w14:paraId="447D965D" w14:textId="2CAD4D66"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98.38</w:t>
            </w:r>
          </w:p>
        </w:tc>
        <w:tc>
          <w:tcPr>
            <w:tcW w:w="556" w:type="pct"/>
            <w:vAlign w:val="center"/>
            <w:hideMark/>
          </w:tcPr>
          <w:p w14:paraId="20FE52B7" w14:textId="49C917E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-0.36</w:t>
            </w:r>
          </w:p>
        </w:tc>
        <w:tc>
          <w:tcPr>
            <w:tcW w:w="553" w:type="pct"/>
            <w:vAlign w:val="center"/>
            <w:hideMark/>
          </w:tcPr>
          <w:p w14:paraId="57B803A8" w14:textId="28D87E8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r>
      <w:tr w:rsidR="00B25BDD" w:rsidRPr="000309F2" w14:paraId="023196C5" w14:textId="77777777" w:rsidTr="00972437">
        <w:trPr>
          <w:trHeight w:val="432"/>
        </w:trPr>
        <w:tc>
          <w:tcPr>
            <w:tcW w:w="555" w:type="pct"/>
            <w:noWrap/>
            <w:vAlign w:val="center"/>
            <w:hideMark/>
          </w:tcPr>
          <w:p w14:paraId="1417FFBD"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19</w:t>
            </w:r>
          </w:p>
        </w:tc>
        <w:tc>
          <w:tcPr>
            <w:tcW w:w="556" w:type="pct"/>
            <w:noWrap/>
            <w:vAlign w:val="center"/>
            <w:hideMark/>
          </w:tcPr>
          <w:p w14:paraId="77BAAAEE" w14:textId="3B74893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0.6</w:t>
            </w:r>
          </w:p>
        </w:tc>
        <w:tc>
          <w:tcPr>
            <w:tcW w:w="556" w:type="pct"/>
            <w:noWrap/>
            <w:vAlign w:val="center"/>
            <w:hideMark/>
          </w:tcPr>
          <w:p w14:paraId="4F3C7248" w14:textId="70600ED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0.032</w:t>
            </w:r>
          </w:p>
        </w:tc>
        <w:tc>
          <w:tcPr>
            <w:tcW w:w="556" w:type="pct"/>
            <w:noWrap/>
            <w:vAlign w:val="center"/>
            <w:hideMark/>
          </w:tcPr>
          <w:p w14:paraId="5CF91DE1" w14:textId="151C0A1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w:t>
            </w:r>
          </w:p>
        </w:tc>
        <w:tc>
          <w:tcPr>
            <w:tcW w:w="556" w:type="pct"/>
            <w:noWrap/>
            <w:vAlign w:val="center"/>
            <w:hideMark/>
          </w:tcPr>
          <w:p w14:paraId="5BFC25E4" w14:textId="02A5D811"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1.16</w:t>
            </w:r>
          </w:p>
        </w:tc>
        <w:tc>
          <w:tcPr>
            <w:tcW w:w="556" w:type="pct"/>
            <w:noWrap/>
            <w:vAlign w:val="center"/>
            <w:hideMark/>
          </w:tcPr>
          <w:p w14:paraId="73467DE8" w14:textId="18F6A20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3.36</w:t>
            </w:r>
          </w:p>
        </w:tc>
        <w:tc>
          <w:tcPr>
            <w:tcW w:w="556" w:type="pct"/>
            <w:noWrap/>
            <w:vAlign w:val="center"/>
            <w:hideMark/>
          </w:tcPr>
          <w:p w14:paraId="72592490" w14:textId="0EEF85BB"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98.32</w:t>
            </w:r>
          </w:p>
        </w:tc>
        <w:tc>
          <w:tcPr>
            <w:tcW w:w="556" w:type="pct"/>
            <w:vAlign w:val="center"/>
            <w:hideMark/>
          </w:tcPr>
          <w:p w14:paraId="60DCAF1B" w14:textId="6FD9B94F"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-0.54</w:t>
            </w:r>
          </w:p>
        </w:tc>
        <w:tc>
          <w:tcPr>
            <w:tcW w:w="553" w:type="pct"/>
            <w:vAlign w:val="center"/>
            <w:hideMark/>
          </w:tcPr>
          <w:p w14:paraId="0D369653" w14:textId="6651E68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0.02</w:t>
            </w:r>
          </w:p>
        </w:tc>
      </w:tr>
      <w:tr w:rsidR="00B25BDD" w:rsidRPr="000309F2" w14:paraId="33E2DED5" w14:textId="77777777" w:rsidTr="00972437">
        <w:trPr>
          <w:trHeight w:val="432"/>
        </w:trPr>
        <w:tc>
          <w:tcPr>
            <w:tcW w:w="555" w:type="pct"/>
            <w:noWrap/>
            <w:vAlign w:val="center"/>
            <w:hideMark/>
          </w:tcPr>
          <w:p w14:paraId="4371A1EA"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20</w:t>
            </w:r>
          </w:p>
        </w:tc>
        <w:tc>
          <w:tcPr>
            <w:tcW w:w="556" w:type="pct"/>
            <w:noWrap/>
            <w:vAlign w:val="center"/>
            <w:hideMark/>
          </w:tcPr>
          <w:p w14:paraId="795D5723" w14:textId="564EDBE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0.6</w:t>
            </w:r>
          </w:p>
        </w:tc>
        <w:tc>
          <w:tcPr>
            <w:tcW w:w="556" w:type="pct"/>
            <w:noWrap/>
            <w:vAlign w:val="center"/>
            <w:hideMark/>
          </w:tcPr>
          <w:p w14:paraId="0CE4D55A" w14:textId="4D0C2B0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0.046</w:t>
            </w:r>
          </w:p>
        </w:tc>
        <w:tc>
          <w:tcPr>
            <w:tcW w:w="556" w:type="pct"/>
            <w:noWrap/>
            <w:vAlign w:val="center"/>
            <w:hideMark/>
          </w:tcPr>
          <w:p w14:paraId="41D98615" w14:textId="60D206AB"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w:t>
            </w:r>
          </w:p>
        </w:tc>
        <w:tc>
          <w:tcPr>
            <w:tcW w:w="556" w:type="pct"/>
            <w:noWrap/>
            <w:vAlign w:val="center"/>
            <w:hideMark/>
          </w:tcPr>
          <w:p w14:paraId="50F9A9CC" w14:textId="3BCF760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1.16</w:t>
            </w:r>
          </w:p>
        </w:tc>
        <w:tc>
          <w:tcPr>
            <w:tcW w:w="556" w:type="pct"/>
            <w:noWrap/>
            <w:vAlign w:val="center"/>
            <w:hideMark/>
          </w:tcPr>
          <w:p w14:paraId="14F3CC9B" w14:textId="4F3C48B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3.39</w:t>
            </w:r>
          </w:p>
        </w:tc>
        <w:tc>
          <w:tcPr>
            <w:tcW w:w="556" w:type="pct"/>
            <w:noWrap/>
            <w:vAlign w:val="center"/>
            <w:hideMark/>
          </w:tcPr>
          <w:p w14:paraId="67FD1373" w14:textId="51D1B2C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98.34</w:t>
            </w:r>
          </w:p>
        </w:tc>
        <w:tc>
          <w:tcPr>
            <w:tcW w:w="556" w:type="pct"/>
            <w:vAlign w:val="center"/>
            <w:hideMark/>
          </w:tcPr>
          <w:p w14:paraId="72E00501" w14:textId="385E1BC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-0.46</w:t>
            </w:r>
          </w:p>
        </w:tc>
        <w:tc>
          <w:tcPr>
            <w:tcW w:w="553" w:type="pct"/>
            <w:vAlign w:val="center"/>
            <w:hideMark/>
          </w:tcPr>
          <w:p w14:paraId="172CFC97" w14:textId="4F3F4271"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0.02</w:t>
            </w:r>
          </w:p>
        </w:tc>
      </w:tr>
      <w:tr w:rsidR="00B25BDD" w:rsidRPr="000309F2" w14:paraId="7258B750" w14:textId="77777777" w:rsidTr="00972437">
        <w:trPr>
          <w:trHeight w:val="432"/>
        </w:trPr>
        <w:tc>
          <w:tcPr>
            <w:tcW w:w="555" w:type="pct"/>
            <w:noWrap/>
            <w:vAlign w:val="center"/>
            <w:hideMark/>
          </w:tcPr>
          <w:p w14:paraId="218B7124"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21</w:t>
            </w:r>
          </w:p>
        </w:tc>
        <w:tc>
          <w:tcPr>
            <w:tcW w:w="556" w:type="pct"/>
            <w:noWrap/>
            <w:vAlign w:val="center"/>
            <w:hideMark/>
          </w:tcPr>
          <w:p w14:paraId="7D802ACC" w14:textId="66D6672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0.6</w:t>
            </w:r>
          </w:p>
        </w:tc>
        <w:tc>
          <w:tcPr>
            <w:tcW w:w="556" w:type="pct"/>
            <w:noWrap/>
            <w:vAlign w:val="center"/>
            <w:hideMark/>
          </w:tcPr>
          <w:p w14:paraId="38F6C135" w14:textId="108FDBA5"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0.044</w:t>
            </w:r>
          </w:p>
        </w:tc>
        <w:tc>
          <w:tcPr>
            <w:tcW w:w="556" w:type="pct"/>
            <w:noWrap/>
            <w:vAlign w:val="center"/>
            <w:hideMark/>
          </w:tcPr>
          <w:p w14:paraId="6D5ED3B6" w14:textId="2D19499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0.05</w:t>
            </w:r>
          </w:p>
        </w:tc>
        <w:tc>
          <w:tcPr>
            <w:tcW w:w="556" w:type="pct"/>
            <w:noWrap/>
            <w:vAlign w:val="center"/>
            <w:hideMark/>
          </w:tcPr>
          <w:p w14:paraId="69ECD591" w14:textId="1BD0860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1.15</w:t>
            </w:r>
          </w:p>
        </w:tc>
        <w:tc>
          <w:tcPr>
            <w:tcW w:w="556" w:type="pct"/>
            <w:noWrap/>
            <w:vAlign w:val="center"/>
            <w:hideMark/>
          </w:tcPr>
          <w:p w14:paraId="3DC9FD9C" w14:textId="51031411"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3.29</w:t>
            </w:r>
          </w:p>
        </w:tc>
        <w:tc>
          <w:tcPr>
            <w:tcW w:w="556" w:type="pct"/>
            <w:noWrap/>
            <w:vAlign w:val="center"/>
            <w:hideMark/>
          </w:tcPr>
          <w:p w14:paraId="09130CA9" w14:textId="053A75A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98.32</w:t>
            </w:r>
          </w:p>
        </w:tc>
        <w:tc>
          <w:tcPr>
            <w:tcW w:w="556" w:type="pct"/>
            <w:vAlign w:val="center"/>
            <w:hideMark/>
          </w:tcPr>
          <w:p w14:paraId="3AD971B5" w14:textId="53931E6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-0.69</w:t>
            </w:r>
          </w:p>
        </w:tc>
        <w:tc>
          <w:tcPr>
            <w:tcW w:w="553" w:type="pct"/>
            <w:vAlign w:val="center"/>
            <w:hideMark/>
          </w:tcPr>
          <w:p w14:paraId="42EBFD14" w14:textId="0C012BE6"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0.02</w:t>
            </w:r>
          </w:p>
        </w:tc>
      </w:tr>
      <w:tr w:rsidR="00B25BDD" w:rsidRPr="000309F2" w14:paraId="1BE67E07" w14:textId="77777777" w:rsidTr="00972437">
        <w:trPr>
          <w:trHeight w:val="432"/>
        </w:trPr>
        <w:tc>
          <w:tcPr>
            <w:tcW w:w="555" w:type="pct"/>
            <w:noWrap/>
            <w:vAlign w:val="center"/>
            <w:hideMark/>
          </w:tcPr>
          <w:p w14:paraId="507D6A1A"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22</w:t>
            </w:r>
          </w:p>
        </w:tc>
        <w:tc>
          <w:tcPr>
            <w:tcW w:w="556" w:type="pct"/>
            <w:noWrap/>
            <w:vAlign w:val="center"/>
            <w:hideMark/>
          </w:tcPr>
          <w:p w14:paraId="765C52F7" w14:textId="451407A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0.57</w:t>
            </w:r>
          </w:p>
        </w:tc>
        <w:tc>
          <w:tcPr>
            <w:tcW w:w="556" w:type="pct"/>
            <w:noWrap/>
            <w:vAlign w:val="center"/>
            <w:hideMark/>
          </w:tcPr>
          <w:p w14:paraId="4EE7C0AB" w14:textId="219C3A0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0.039</w:t>
            </w:r>
          </w:p>
        </w:tc>
        <w:tc>
          <w:tcPr>
            <w:tcW w:w="556" w:type="pct"/>
            <w:noWrap/>
            <w:vAlign w:val="center"/>
            <w:hideMark/>
          </w:tcPr>
          <w:p w14:paraId="2BD7528A" w14:textId="632D121B"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c>
          <w:tcPr>
            <w:tcW w:w="556" w:type="pct"/>
            <w:noWrap/>
            <w:vAlign w:val="center"/>
            <w:hideMark/>
          </w:tcPr>
          <w:p w14:paraId="7E86399E" w14:textId="08E7D775"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1.14</w:t>
            </w:r>
          </w:p>
        </w:tc>
        <w:tc>
          <w:tcPr>
            <w:tcW w:w="556" w:type="pct"/>
            <w:noWrap/>
            <w:vAlign w:val="center"/>
            <w:hideMark/>
          </w:tcPr>
          <w:p w14:paraId="7E5D5928" w14:textId="315C004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3.44</w:t>
            </w:r>
          </w:p>
        </w:tc>
        <w:tc>
          <w:tcPr>
            <w:tcW w:w="556" w:type="pct"/>
            <w:noWrap/>
            <w:vAlign w:val="center"/>
            <w:hideMark/>
          </w:tcPr>
          <w:p w14:paraId="5E324FFC" w14:textId="37700AE2"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98.38</w:t>
            </w:r>
          </w:p>
        </w:tc>
        <w:tc>
          <w:tcPr>
            <w:tcW w:w="556" w:type="pct"/>
            <w:vAlign w:val="center"/>
            <w:hideMark/>
          </w:tcPr>
          <w:p w14:paraId="4B336B82" w14:textId="55AAE70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0.08</w:t>
            </w:r>
          </w:p>
        </w:tc>
        <w:tc>
          <w:tcPr>
            <w:tcW w:w="553" w:type="pct"/>
            <w:vAlign w:val="center"/>
            <w:hideMark/>
          </w:tcPr>
          <w:p w14:paraId="0EB048D3" w14:textId="5B44DAA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r>
      <w:tr w:rsidR="00B25BDD" w:rsidRPr="000309F2" w14:paraId="650D80E9" w14:textId="77777777" w:rsidTr="00972437">
        <w:trPr>
          <w:trHeight w:val="432"/>
        </w:trPr>
        <w:tc>
          <w:tcPr>
            <w:tcW w:w="555" w:type="pct"/>
            <w:noWrap/>
            <w:vAlign w:val="center"/>
            <w:hideMark/>
          </w:tcPr>
          <w:p w14:paraId="747D8EEF"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23</w:t>
            </w:r>
          </w:p>
        </w:tc>
        <w:tc>
          <w:tcPr>
            <w:tcW w:w="556" w:type="pct"/>
            <w:noWrap/>
            <w:vAlign w:val="center"/>
            <w:hideMark/>
          </w:tcPr>
          <w:p w14:paraId="0FE1501A" w14:textId="5B510EF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0.58</w:t>
            </w:r>
          </w:p>
        </w:tc>
        <w:tc>
          <w:tcPr>
            <w:tcW w:w="556" w:type="pct"/>
            <w:noWrap/>
            <w:vAlign w:val="center"/>
            <w:hideMark/>
          </w:tcPr>
          <w:p w14:paraId="51CAB0DD" w14:textId="5511053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0.051</w:t>
            </w:r>
          </w:p>
        </w:tc>
        <w:tc>
          <w:tcPr>
            <w:tcW w:w="556" w:type="pct"/>
            <w:noWrap/>
            <w:vAlign w:val="center"/>
            <w:hideMark/>
          </w:tcPr>
          <w:p w14:paraId="67EFE9B2" w14:textId="03B5613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0.02</w:t>
            </w:r>
          </w:p>
        </w:tc>
        <w:tc>
          <w:tcPr>
            <w:tcW w:w="556" w:type="pct"/>
            <w:noWrap/>
            <w:vAlign w:val="center"/>
            <w:hideMark/>
          </w:tcPr>
          <w:p w14:paraId="79E54294" w14:textId="461D38C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1.14</w:t>
            </w:r>
          </w:p>
        </w:tc>
        <w:tc>
          <w:tcPr>
            <w:tcW w:w="556" w:type="pct"/>
            <w:noWrap/>
            <w:vAlign w:val="center"/>
            <w:hideMark/>
          </w:tcPr>
          <w:p w14:paraId="6B381DB3" w14:textId="1E73C6D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3.45</w:t>
            </w:r>
          </w:p>
        </w:tc>
        <w:tc>
          <w:tcPr>
            <w:tcW w:w="556" w:type="pct"/>
            <w:noWrap/>
            <w:vAlign w:val="center"/>
            <w:hideMark/>
          </w:tcPr>
          <w:p w14:paraId="62D858A2" w14:textId="19F60141"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98.39</w:t>
            </w:r>
          </w:p>
        </w:tc>
        <w:tc>
          <w:tcPr>
            <w:tcW w:w="556" w:type="pct"/>
            <w:vAlign w:val="center"/>
            <w:hideMark/>
          </w:tcPr>
          <w:p w14:paraId="20CD1B64" w14:textId="65CAB76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-0.06</w:t>
            </w:r>
          </w:p>
        </w:tc>
        <w:tc>
          <w:tcPr>
            <w:tcW w:w="553" w:type="pct"/>
            <w:vAlign w:val="center"/>
            <w:hideMark/>
          </w:tcPr>
          <w:p w14:paraId="77A08B50" w14:textId="63FD4069"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r>
      <w:tr w:rsidR="00B25BDD" w:rsidRPr="000309F2" w14:paraId="22D0E967" w14:textId="77777777" w:rsidTr="00972437">
        <w:trPr>
          <w:trHeight w:val="432"/>
        </w:trPr>
        <w:tc>
          <w:tcPr>
            <w:tcW w:w="555" w:type="pct"/>
            <w:noWrap/>
            <w:vAlign w:val="center"/>
            <w:hideMark/>
          </w:tcPr>
          <w:p w14:paraId="5217466E"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24</w:t>
            </w:r>
          </w:p>
        </w:tc>
        <w:tc>
          <w:tcPr>
            <w:tcW w:w="556" w:type="pct"/>
            <w:noWrap/>
            <w:vAlign w:val="center"/>
            <w:hideMark/>
          </w:tcPr>
          <w:p w14:paraId="61F5D75B" w14:textId="7E0874A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0.59</w:t>
            </w:r>
          </w:p>
        </w:tc>
        <w:tc>
          <w:tcPr>
            <w:tcW w:w="556" w:type="pct"/>
            <w:noWrap/>
            <w:vAlign w:val="center"/>
            <w:hideMark/>
          </w:tcPr>
          <w:p w14:paraId="2F539F64" w14:textId="3E1EEDA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0.035</w:t>
            </w:r>
          </w:p>
        </w:tc>
        <w:tc>
          <w:tcPr>
            <w:tcW w:w="556" w:type="pct"/>
            <w:noWrap/>
            <w:vAlign w:val="center"/>
            <w:hideMark/>
          </w:tcPr>
          <w:p w14:paraId="3616974B" w14:textId="104754F5"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w:t>
            </w:r>
          </w:p>
        </w:tc>
        <w:tc>
          <w:tcPr>
            <w:tcW w:w="556" w:type="pct"/>
            <w:noWrap/>
            <w:vAlign w:val="center"/>
            <w:hideMark/>
          </w:tcPr>
          <w:p w14:paraId="1BB6FB87" w14:textId="72269012"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1.15</w:t>
            </w:r>
          </w:p>
        </w:tc>
        <w:tc>
          <w:tcPr>
            <w:tcW w:w="556" w:type="pct"/>
            <w:noWrap/>
            <w:vAlign w:val="center"/>
            <w:hideMark/>
          </w:tcPr>
          <w:p w14:paraId="55DC375E" w14:textId="0992FAF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3.42</w:t>
            </w:r>
          </w:p>
        </w:tc>
        <w:tc>
          <w:tcPr>
            <w:tcW w:w="556" w:type="pct"/>
            <w:noWrap/>
            <w:vAlign w:val="center"/>
            <w:hideMark/>
          </w:tcPr>
          <w:p w14:paraId="7C44FC5E" w14:textId="13B56AB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98.37</w:t>
            </w:r>
          </w:p>
        </w:tc>
        <w:tc>
          <w:tcPr>
            <w:tcW w:w="556" w:type="pct"/>
            <w:vAlign w:val="center"/>
            <w:hideMark/>
          </w:tcPr>
          <w:p w14:paraId="7D929F93" w14:textId="6EEF6C0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-0.32</w:t>
            </w:r>
          </w:p>
        </w:tc>
        <w:tc>
          <w:tcPr>
            <w:tcW w:w="553" w:type="pct"/>
            <w:vAlign w:val="center"/>
            <w:hideMark/>
          </w:tcPr>
          <w:p w14:paraId="7D00CD4C" w14:textId="6DDDE9C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r>
      <w:tr w:rsidR="00B25BDD" w:rsidRPr="000309F2" w14:paraId="15965907" w14:textId="77777777" w:rsidTr="00972437">
        <w:trPr>
          <w:trHeight w:val="432"/>
        </w:trPr>
        <w:tc>
          <w:tcPr>
            <w:tcW w:w="555" w:type="pct"/>
            <w:noWrap/>
            <w:vAlign w:val="center"/>
            <w:hideMark/>
          </w:tcPr>
          <w:p w14:paraId="4396D395"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25</w:t>
            </w:r>
          </w:p>
        </w:tc>
        <w:tc>
          <w:tcPr>
            <w:tcW w:w="556" w:type="pct"/>
            <w:noWrap/>
            <w:vAlign w:val="center"/>
            <w:hideMark/>
          </w:tcPr>
          <w:p w14:paraId="0C3FD9B1" w14:textId="46720D71"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0.49</w:t>
            </w:r>
          </w:p>
        </w:tc>
        <w:tc>
          <w:tcPr>
            <w:tcW w:w="556" w:type="pct"/>
            <w:noWrap/>
            <w:vAlign w:val="center"/>
            <w:hideMark/>
          </w:tcPr>
          <w:p w14:paraId="088F179F" w14:textId="08F2F8E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0.052</w:t>
            </w:r>
          </w:p>
        </w:tc>
        <w:tc>
          <w:tcPr>
            <w:tcW w:w="556" w:type="pct"/>
            <w:noWrap/>
            <w:vAlign w:val="center"/>
            <w:hideMark/>
          </w:tcPr>
          <w:p w14:paraId="7489EAB4" w14:textId="4DF9B819"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c>
          <w:tcPr>
            <w:tcW w:w="556" w:type="pct"/>
            <w:noWrap/>
            <w:vAlign w:val="center"/>
            <w:hideMark/>
          </w:tcPr>
          <w:p w14:paraId="69FDE137" w14:textId="42A2D71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0.99</w:t>
            </w:r>
          </w:p>
        </w:tc>
        <w:tc>
          <w:tcPr>
            <w:tcW w:w="556" w:type="pct"/>
            <w:noWrap/>
            <w:vAlign w:val="center"/>
            <w:hideMark/>
          </w:tcPr>
          <w:p w14:paraId="4BB5F57D" w14:textId="6F865DD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2.65</w:t>
            </w:r>
          </w:p>
        </w:tc>
        <w:tc>
          <w:tcPr>
            <w:tcW w:w="556" w:type="pct"/>
            <w:noWrap/>
            <w:vAlign w:val="center"/>
            <w:hideMark/>
          </w:tcPr>
          <w:p w14:paraId="1E979594" w14:textId="566E4BE9"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97.93</w:t>
            </w:r>
          </w:p>
        </w:tc>
        <w:tc>
          <w:tcPr>
            <w:tcW w:w="556" w:type="pct"/>
            <w:vAlign w:val="center"/>
            <w:hideMark/>
          </w:tcPr>
          <w:p w14:paraId="38520816" w14:textId="0E5D9DD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1.36</w:t>
            </w:r>
          </w:p>
        </w:tc>
        <w:tc>
          <w:tcPr>
            <w:tcW w:w="553" w:type="pct"/>
            <w:vAlign w:val="center"/>
            <w:hideMark/>
          </w:tcPr>
          <w:p w14:paraId="3E0D0C1C" w14:textId="64BC5D1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0.07</w:t>
            </w:r>
          </w:p>
        </w:tc>
      </w:tr>
      <w:tr w:rsidR="00B25BDD" w:rsidRPr="000309F2" w14:paraId="42B943D7" w14:textId="77777777" w:rsidTr="00972437">
        <w:trPr>
          <w:trHeight w:val="432"/>
        </w:trPr>
        <w:tc>
          <w:tcPr>
            <w:tcW w:w="555" w:type="pct"/>
            <w:noWrap/>
            <w:vAlign w:val="center"/>
            <w:hideMark/>
          </w:tcPr>
          <w:p w14:paraId="43E226A0"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26</w:t>
            </w:r>
          </w:p>
        </w:tc>
        <w:tc>
          <w:tcPr>
            <w:tcW w:w="556" w:type="pct"/>
            <w:noWrap/>
            <w:vAlign w:val="center"/>
            <w:hideMark/>
          </w:tcPr>
          <w:p w14:paraId="55F0B418" w14:textId="143817A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0.6</w:t>
            </w:r>
          </w:p>
        </w:tc>
        <w:tc>
          <w:tcPr>
            <w:tcW w:w="556" w:type="pct"/>
            <w:noWrap/>
            <w:vAlign w:val="center"/>
            <w:hideMark/>
          </w:tcPr>
          <w:p w14:paraId="0E39F31C" w14:textId="768FFB6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0.045</w:t>
            </w:r>
          </w:p>
        </w:tc>
        <w:tc>
          <w:tcPr>
            <w:tcW w:w="556" w:type="pct"/>
            <w:noWrap/>
            <w:vAlign w:val="center"/>
            <w:hideMark/>
          </w:tcPr>
          <w:p w14:paraId="60302C59" w14:textId="35D688B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w:t>
            </w:r>
          </w:p>
        </w:tc>
        <w:tc>
          <w:tcPr>
            <w:tcW w:w="556" w:type="pct"/>
            <w:noWrap/>
            <w:vAlign w:val="center"/>
            <w:hideMark/>
          </w:tcPr>
          <w:p w14:paraId="33222E7F" w14:textId="384A2395"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1.16</w:t>
            </w:r>
          </w:p>
        </w:tc>
        <w:tc>
          <w:tcPr>
            <w:tcW w:w="556" w:type="pct"/>
            <w:noWrap/>
            <w:vAlign w:val="center"/>
            <w:hideMark/>
          </w:tcPr>
          <w:p w14:paraId="415E81A6" w14:textId="54A5B9E5"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3.36</w:t>
            </w:r>
          </w:p>
        </w:tc>
        <w:tc>
          <w:tcPr>
            <w:tcW w:w="556" w:type="pct"/>
            <w:noWrap/>
            <w:vAlign w:val="center"/>
            <w:hideMark/>
          </w:tcPr>
          <w:p w14:paraId="61A08A08" w14:textId="539BF53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98.34</w:t>
            </w:r>
          </w:p>
        </w:tc>
        <w:tc>
          <w:tcPr>
            <w:tcW w:w="556" w:type="pct"/>
            <w:vAlign w:val="center"/>
            <w:hideMark/>
          </w:tcPr>
          <w:p w14:paraId="66DC2EBE" w14:textId="4972FF3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-0.53</w:t>
            </w:r>
          </w:p>
        </w:tc>
        <w:tc>
          <w:tcPr>
            <w:tcW w:w="553" w:type="pct"/>
            <w:vAlign w:val="center"/>
            <w:hideMark/>
          </w:tcPr>
          <w:p w14:paraId="27FA270F" w14:textId="3E9D8015"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0.02</w:t>
            </w:r>
          </w:p>
        </w:tc>
      </w:tr>
      <w:tr w:rsidR="00B25BDD" w:rsidRPr="000309F2" w14:paraId="1D2E7527" w14:textId="77777777" w:rsidTr="00972437">
        <w:trPr>
          <w:trHeight w:val="432"/>
        </w:trPr>
        <w:tc>
          <w:tcPr>
            <w:tcW w:w="555" w:type="pct"/>
            <w:noWrap/>
            <w:vAlign w:val="center"/>
            <w:hideMark/>
          </w:tcPr>
          <w:p w14:paraId="586C5D54"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27</w:t>
            </w:r>
          </w:p>
        </w:tc>
        <w:tc>
          <w:tcPr>
            <w:tcW w:w="556" w:type="pct"/>
            <w:noWrap/>
            <w:vAlign w:val="center"/>
            <w:hideMark/>
          </w:tcPr>
          <w:p w14:paraId="504551A1" w14:textId="6C82E5C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0.54</w:t>
            </w:r>
          </w:p>
        </w:tc>
        <w:tc>
          <w:tcPr>
            <w:tcW w:w="556" w:type="pct"/>
            <w:noWrap/>
            <w:vAlign w:val="center"/>
            <w:hideMark/>
          </w:tcPr>
          <w:p w14:paraId="0E597FD5" w14:textId="63E123A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0.051</w:t>
            </w:r>
          </w:p>
        </w:tc>
        <w:tc>
          <w:tcPr>
            <w:tcW w:w="556" w:type="pct"/>
            <w:noWrap/>
            <w:vAlign w:val="center"/>
            <w:hideMark/>
          </w:tcPr>
          <w:p w14:paraId="1A89C8E7" w14:textId="3A3B2C3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c>
          <w:tcPr>
            <w:tcW w:w="556" w:type="pct"/>
            <w:noWrap/>
            <w:vAlign w:val="center"/>
            <w:hideMark/>
          </w:tcPr>
          <w:p w14:paraId="32ECF413" w14:textId="39B6485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1.08</w:t>
            </w:r>
          </w:p>
        </w:tc>
        <w:tc>
          <w:tcPr>
            <w:tcW w:w="556" w:type="pct"/>
            <w:noWrap/>
            <w:vAlign w:val="center"/>
            <w:hideMark/>
          </w:tcPr>
          <w:p w14:paraId="475C528C" w14:textId="008683C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3.19</w:t>
            </w:r>
          </w:p>
        </w:tc>
        <w:tc>
          <w:tcPr>
            <w:tcW w:w="556" w:type="pct"/>
            <w:noWrap/>
            <w:vAlign w:val="center"/>
            <w:hideMark/>
          </w:tcPr>
          <w:p w14:paraId="3BD78FF0" w14:textId="2565267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98.28</w:t>
            </w:r>
          </w:p>
        </w:tc>
        <w:tc>
          <w:tcPr>
            <w:tcW w:w="556" w:type="pct"/>
            <w:vAlign w:val="center"/>
            <w:hideMark/>
          </w:tcPr>
          <w:p w14:paraId="57B9C42D" w14:textId="107230C9"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0.71</w:t>
            </w:r>
          </w:p>
        </w:tc>
        <w:tc>
          <w:tcPr>
            <w:tcW w:w="553" w:type="pct"/>
            <w:vAlign w:val="center"/>
            <w:hideMark/>
          </w:tcPr>
          <w:p w14:paraId="0CA7D1F6" w14:textId="3FA47F45"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r>
      <w:tr w:rsidR="00B25BDD" w:rsidRPr="000309F2" w14:paraId="53249BB8" w14:textId="77777777" w:rsidTr="00972437">
        <w:trPr>
          <w:trHeight w:val="432"/>
        </w:trPr>
        <w:tc>
          <w:tcPr>
            <w:tcW w:w="555" w:type="pct"/>
            <w:noWrap/>
            <w:vAlign w:val="center"/>
            <w:hideMark/>
          </w:tcPr>
          <w:p w14:paraId="1A512825"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28</w:t>
            </w:r>
          </w:p>
        </w:tc>
        <w:tc>
          <w:tcPr>
            <w:tcW w:w="556" w:type="pct"/>
            <w:noWrap/>
            <w:vAlign w:val="center"/>
            <w:hideMark/>
          </w:tcPr>
          <w:p w14:paraId="367DD827" w14:textId="2E0EC009"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0.58</w:t>
            </w:r>
          </w:p>
        </w:tc>
        <w:tc>
          <w:tcPr>
            <w:tcW w:w="556" w:type="pct"/>
            <w:noWrap/>
            <w:vAlign w:val="center"/>
            <w:hideMark/>
          </w:tcPr>
          <w:p w14:paraId="14DA194D" w14:textId="490BE92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0.050</w:t>
            </w:r>
          </w:p>
        </w:tc>
        <w:tc>
          <w:tcPr>
            <w:tcW w:w="556" w:type="pct"/>
            <w:noWrap/>
            <w:vAlign w:val="center"/>
            <w:hideMark/>
          </w:tcPr>
          <w:p w14:paraId="0E095D3E" w14:textId="06085AD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c>
          <w:tcPr>
            <w:tcW w:w="556" w:type="pct"/>
            <w:noWrap/>
            <w:vAlign w:val="center"/>
            <w:hideMark/>
          </w:tcPr>
          <w:p w14:paraId="184AC4D4" w14:textId="0B7A8E6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1.14</w:t>
            </w:r>
          </w:p>
        </w:tc>
        <w:tc>
          <w:tcPr>
            <w:tcW w:w="556" w:type="pct"/>
            <w:noWrap/>
            <w:vAlign w:val="center"/>
            <w:hideMark/>
          </w:tcPr>
          <w:p w14:paraId="076DC06D" w14:textId="7ECEF70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3.44</w:t>
            </w:r>
          </w:p>
        </w:tc>
        <w:tc>
          <w:tcPr>
            <w:tcW w:w="556" w:type="pct"/>
            <w:noWrap/>
            <w:vAlign w:val="center"/>
            <w:hideMark/>
          </w:tcPr>
          <w:p w14:paraId="187BCD0C" w14:textId="2A76A11B"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98.39</w:t>
            </w:r>
          </w:p>
        </w:tc>
        <w:tc>
          <w:tcPr>
            <w:tcW w:w="556" w:type="pct"/>
            <w:vAlign w:val="center"/>
            <w:hideMark/>
          </w:tcPr>
          <w:p w14:paraId="607608B8" w14:textId="5BF1D3CF"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w:t>
            </w:r>
          </w:p>
        </w:tc>
        <w:tc>
          <w:tcPr>
            <w:tcW w:w="553" w:type="pct"/>
            <w:vAlign w:val="center"/>
            <w:hideMark/>
          </w:tcPr>
          <w:p w14:paraId="2B396000" w14:textId="0B7C216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r>
      <w:tr w:rsidR="00B25BDD" w:rsidRPr="000309F2" w14:paraId="4D23B46C" w14:textId="77777777" w:rsidTr="00972437">
        <w:trPr>
          <w:trHeight w:val="432"/>
        </w:trPr>
        <w:tc>
          <w:tcPr>
            <w:tcW w:w="555" w:type="pct"/>
            <w:noWrap/>
            <w:vAlign w:val="center"/>
            <w:hideMark/>
          </w:tcPr>
          <w:p w14:paraId="3E76B2C4"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29</w:t>
            </w:r>
          </w:p>
        </w:tc>
        <w:tc>
          <w:tcPr>
            <w:tcW w:w="556" w:type="pct"/>
            <w:noWrap/>
            <w:vAlign w:val="center"/>
            <w:hideMark/>
          </w:tcPr>
          <w:p w14:paraId="6AB4E9A2" w14:textId="535D81A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0.55</w:t>
            </w:r>
          </w:p>
        </w:tc>
        <w:tc>
          <w:tcPr>
            <w:tcW w:w="556" w:type="pct"/>
            <w:noWrap/>
            <w:vAlign w:val="center"/>
            <w:hideMark/>
          </w:tcPr>
          <w:p w14:paraId="3973E34A" w14:textId="29D9A622"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0.048</w:t>
            </w:r>
          </w:p>
        </w:tc>
        <w:tc>
          <w:tcPr>
            <w:tcW w:w="556" w:type="pct"/>
            <w:noWrap/>
            <w:vAlign w:val="center"/>
            <w:hideMark/>
          </w:tcPr>
          <w:p w14:paraId="2DE355E4" w14:textId="103869B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c>
          <w:tcPr>
            <w:tcW w:w="556" w:type="pct"/>
            <w:noWrap/>
            <w:vAlign w:val="center"/>
            <w:hideMark/>
          </w:tcPr>
          <w:p w14:paraId="0562D4AA" w14:textId="4AA698A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w:t>
            </w:r>
          </w:p>
        </w:tc>
        <w:tc>
          <w:tcPr>
            <w:tcW w:w="556" w:type="pct"/>
            <w:noWrap/>
            <w:vAlign w:val="center"/>
            <w:hideMark/>
          </w:tcPr>
          <w:p w14:paraId="3B852027" w14:textId="788E226B"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3.28</w:t>
            </w:r>
          </w:p>
        </w:tc>
        <w:tc>
          <w:tcPr>
            <w:tcW w:w="556" w:type="pct"/>
            <w:noWrap/>
            <w:vAlign w:val="center"/>
            <w:hideMark/>
          </w:tcPr>
          <w:p w14:paraId="7D2F39F4" w14:textId="39DDF37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98.32</w:t>
            </w:r>
          </w:p>
        </w:tc>
        <w:tc>
          <w:tcPr>
            <w:tcW w:w="556" w:type="pct"/>
            <w:vAlign w:val="center"/>
            <w:hideMark/>
          </w:tcPr>
          <w:p w14:paraId="17CF31EA" w14:textId="23ACC015"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0.56</w:t>
            </w:r>
          </w:p>
        </w:tc>
        <w:tc>
          <w:tcPr>
            <w:tcW w:w="553" w:type="pct"/>
            <w:vAlign w:val="center"/>
            <w:hideMark/>
          </w:tcPr>
          <w:p w14:paraId="02BAA39F" w14:textId="0D62C5F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r>
      <w:tr w:rsidR="00B25BDD" w:rsidRPr="000309F2" w14:paraId="6B5DAE0F" w14:textId="77777777" w:rsidTr="00972437">
        <w:trPr>
          <w:trHeight w:val="432"/>
        </w:trPr>
        <w:tc>
          <w:tcPr>
            <w:tcW w:w="555" w:type="pct"/>
            <w:noWrap/>
            <w:vAlign w:val="center"/>
            <w:hideMark/>
          </w:tcPr>
          <w:p w14:paraId="6DCD6CC6"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30</w:t>
            </w:r>
          </w:p>
        </w:tc>
        <w:tc>
          <w:tcPr>
            <w:tcW w:w="556" w:type="pct"/>
            <w:noWrap/>
            <w:vAlign w:val="center"/>
            <w:hideMark/>
          </w:tcPr>
          <w:p w14:paraId="7CD2DB17" w14:textId="785C052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0.56</w:t>
            </w:r>
          </w:p>
        </w:tc>
        <w:tc>
          <w:tcPr>
            <w:tcW w:w="556" w:type="pct"/>
            <w:noWrap/>
            <w:vAlign w:val="center"/>
            <w:hideMark/>
          </w:tcPr>
          <w:p w14:paraId="402C089A" w14:textId="001BC7C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0.027</w:t>
            </w:r>
          </w:p>
        </w:tc>
        <w:tc>
          <w:tcPr>
            <w:tcW w:w="556" w:type="pct"/>
            <w:noWrap/>
            <w:vAlign w:val="center"/>
            <w:hideMark/>
          </w:tcPr>
          <w:p w14:paraId="7452D089" w14:textId="72628EF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c>
          <w:tcPr>
            <w:tcW w:w="556" w:type="pct"/>
            <w:noWrap/>
            <w:vAlign w:val="center"/>
            <w:hideMark/>
          </w:tcPr>
          <w:p w14:paraId="28171ABF" w14:textId="6FC2980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1.11</w:t>
            </w:r>
          </w:p>
        </w:tc>
        <w:tc>
          <w:tcPr>
            <w:tcW w:w="556" w:type="pct"/>
            <w:noWrap/>
            <w:vAlign w:val="center"/>
            <w:hideMark/>
          </w:tcPr>
          <w:p w14:paraId="1969D859" w14:textId="2EB708F2"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3.33</w:t>
            </w:r>
          </w:p>
        </w:tc>
        <w:tc>
          <w:tcPr>
            <w:tcW w:w="556" w:type="pct"/>
            <w:noWrap/>
            <w:vAlign w:val="center"/>
            <w:hideMark/>
          </w:tcPr>
          <w:p w14:paraId="0C9D8256" w14:textId="0A296E9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98.35</w:t>
            </w:r>
          </w:p>
        </w:tc>
        <w:tc>
          <w:tcPr>
            <w:tcW w:w="556" w:type="pct"/>
            <w:vAlign w:val="center"/>
            <w:hideMark/>
          </w:tcPr>
          <w:p w14:paraId="119DD2F8" w14:textId="1A0EC895"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0.44</w:t>
            </w:r>
          </w:p>
        </w:tc>
        <w:tc>
          <w:tcPr>
            <w:tcW w:w="553" w:type="pct"/>
            <w:vAlign w:val="center"/>
            <w:hideMark/>
          </w:tcPr>
          <w:p w14:paraId="6EB330A2" w14:textId="38094F2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r>
      <w:tr w:rsidR="00B25BDD" w:rsidRPr="000309F2" w14:paraId="5F79034B" w14:textId="77777777" w:rsidTr="00972437">
        <w:trPr>
          <w:trHeight w:val="432"/>
        </w:trPr>
        <w:tc>
          <w:tcPr>
            <w:tcW w:w="555" w:type="pct"/>
            <w:noWrap/>
            <w:vAlign w:val="center"/>
            <w:hideMark/>
          </w:tcPr>
          <w:p w14:paraId="03EB755B"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31</w:t>
            </w:r>
          </w:p>
        </w:tc>
        <w:tc>
          <w:tcPr>
            <w:tcW w:w="556" w:type="pct"/>
            <w:noWrap/>
            <w:vAlign w:val="center"/>
            <w:hideMark/>
          </w:tcPr>
          <w:p w14:paraId="7B01D9EE" w14:textId="0223C5A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0.57</w:t>
            </w:r>
          </w:p>
        </w:tc>
        <w:tc>
          <w:tcPr>
            <w:tcW w:w="556" w:type="pct"/>
            <w:noWrap/>
            <w:vAlign w:val="center"/>
            <w:hideMark/>
          </w:tcPr>
          <w:p w14:paraId="1112704E" w14:textId="086139E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0.010</w:t>
            </w:r>
          </w:p>
        </w:tc>
        <w:tc>
          <w:tcPr>
            <w:tcW w:w="556" w:type="pct"/>
            <w:noWrap/>
            <w:vAlign w:val="center"/>
            <w:hideMark/>
          </w:tcPr>
          <w:p w14:paraId="0B6B2918" w14:textId="3FD1D0C9"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c>
          <w:tcPr>
            <w:tcW w:w="556" w:type="pct"/>
            <w:noWrap/>
            <w:vAlign w:val="center"/>
            <w:hideMark/>
          </w:tcPr>
          <w:p w14:paraId="29143F82" w14:textId="0AA46B9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1.13</w:t>
            </w:r>
          </w:p>
        </w:tc>
        <w:tc>
          <w:tcPr>
            <w:tcW w:w="556" w:type="pct"/>
            <w:noWrap/>
            <w:vAlign w:val="center"/>
            <w:hideMark/>
          </w:tcPr>
          <w:p w14:paraId="08D52423" w14:textId="6BC50E7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w:t>
            </w:r>
          </w:p>
        </w:tc>
        <w:tc>
          <w:tcPr>
            <w:tcW w:w="556" w:type="pct"/>
            <w:noWrap/>
            <w:vAlign w:val="center"/>
            <w:hideMark/>
          </w:tcPr>
          <w:p w14:paraId="73D8183F" w14:textId="31FD798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98.38</w:t>
            </w:r>
          </w:p>
        </w:tc>
        <w:tc>
          <w:tcPr>
            <w:tcW w:w="556" w:type="pct"/>
            <w:vAlign w:val="center"/>
            <w:hideMark/>
          </w:tcPr>
          <w:p w14:paraId="4427184E" w14:textId="4238D2D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0.25</w:t>
            </w:r>
          </w:p>
        </w:tc>
        <w:tc>
          <w:tcPr>
            <w:tcW w:w="553" w:type="pct"/>
            <w:vAlign w:val="center"/>
            <w:hideMark/>
          </w:tcPr>
          <w:p w14:paraId="2ADC4613" w14:textId="20462B2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r>
      <w:tr w:rsidR="00B25BDD" w:rsidRPr="000309F2" w14:paraId="14626F5B" w14:textId="77777777" w:rsidTr="00972437">
        <w:trPr>
          <w:trHeight w:val="432"/>
        </w:trPr>
        <w:tc>
          <w:tcPr>
            <w:tcW w:w="555" w:type="pct"/>
            <w:noWrap/>
            <w:vAlign w:val="center"/>
            <w:hideMark/>
          </w:tcPr>
          <w:p w14:paraId="40803D85"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32</w:t>
            </w:r>
          </w:p>
        </w:tc>
        <w:tc>
          <w:tcPr>
            <w:tcW w:w="556" w:type="pct"/>
            <w:noWrap/>
            <w:vAlign w:val="center"/>
            <w:hideMark/>
          </w:tcPr>
          <w:p w14:paraId="12C4F907" w14:textId="4379A512"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0.61</w:t>
            </w:r>
          </w:p>
        </w:tc>
        <w:tc>
          <w:tcPr>
            <w:tcW w:w="556" w:type="pct"/>
            <w:noWrap/>
            <w:vAlign w:val="center"/>
            <w:hideMark/>
          </w:tcPr>
          <w:p w14:paraId="29922FA0" w14:textId="039DAB5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0.037</w:t>
            </w:r>
          </w:p>
        </w:tc>
        <w:tc>
          <w:tcPr>
            <w:tcW w:w="556" w:type="pct"/>
            <w:noWrap/>
            <w:vAlign w:val="center"/>
            <w:hideMark/>
          </w:tcPr>
          <w:p w14:paraId="6839DBCC" w14:textId="4BD6AF0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0.07</w:t>
            </w:r>
          </w:p>
        </w:tc>
        <w:tc>
          <w:tcPr>
            <w:tcW w:w="556" w:type="pct"/>
            <w:noWrap/>
            <w:vAlign w:val="center"/>
            <w:hideMark/>
          </w:tcPr>
          <w:p w14:paraId="0EB216AD" w14:textId="03ED00B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1.14</w:t>
            </w:r>
          </w:p>
        </w:tc>
        <w:tc>
          <w:tcPr>
            <w:tcW w:w="556" w:type="pct"/>
            <w:noWrap/>
            <w:vAlign w:val="center"/>
            <w:hideMark/>
          </w:tcPr>
          <w:p w14:paraId="611C9E19" w14:textId="72512B7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3.11</w:t>
            </w:r>
          </w:p>
        </w:tc>
        <w:tc>
          <w:tcPr>
            <w:tcW w:w="556" w:type="pct"/>
            <w:noWrap/>
            <w:vAlign w:val="center"/>
            <w:hideMark/>
          </w:tcPr>
          <w:p w14:paraId="21EA0837" w14:textId="362198A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98.24</w:t>
            </w:r>
          </w:p>
        </w:tc>
        <w:tc>
          <w:tcPr>
            <w:tcW w:w="556" w:type="pct"/>
            <w:vAlign w:val="center"/>
            <w:hideMark/>
          </w:tcPr>
          <w:p w14:paraId="2A49E55F" w14:textId="331D34B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-0.98</w:t>
            </w:r>
          </w:p>
        </w:tc>
        <w:tc>
          <w:tcPr>
            <w:tcW w:w="553" w:type="pct"/>
            <w:vAlign w:val="center"/>
            <w:hideMark/>
          </w:tcPr>
          <w:p w14:paraId="6FF13A9C" w14:textId="4458CEE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w:t>
            </w:r>
          </w:p>
        </w:tc>
      </w:tr>
      <w:tr w:rsidR="00B25BDD" w:rsidRPr="000309F2" w14:paraId="554568A9" w14:textId="77777777" w:rsidTr="00972437">
        <w:trPr>
          <w:trHeight w:val="432"/>
        </w:trPr>
        <w:tc>
          <w:tcPr>
            <w:tcW w:w="555" w:type="pct"/>
            <w:noWrap/>
            <w:vAlign w:val="center"/>
            <w:hideMark/>
          </w:tcPr>
          <w:p w14:paraId="1F56B321"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33</w:t>
            </w:r>
          </w:p>
        </w:tc>
        <w:tc>
          <w:tcPr>
            <w:tcW w:w="556" w:type="pct"/>
            <w:noWrap/>
            <w:vAlign w:val="center"/>
            <w:hideMark/>
          </w:tcPr>
          <w:p w14:paraId="5C22ADE3" w14:textId="233B9FA5"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0.59</w:t>
            </w:r>
          </w:p>
        </w:tc>
        <w:tc>
          <w:tcPr>
            <w:tcW w:w="556" w:type="pct"/>
            <w:noWrap/>
            <w:vAlign w:val="center"/>
            <w:hideMark/>
          </w:tcPr>
          <w:p w14:paraId="3975C072" w14:textId="029F7F5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0.046</w:t>
            </w:r>
          </w:p>
        </w:tc>
        <w:tc>
          <w:tcPr>
            <w:tcW w:w="556" w:type="pct"/>
            <w:noWrap/>
            <w:vAlign w:val="center"/>
            <w:hideMark/>
          </w:tcPr>
          <w:p w14:paraId="7564AD3A" w14:textId="54CDC8D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0.14</w:t>
            </w:r>
          </w:p>
        </w:tc>
        <w:tc>
          <w:tcPr>
            <w:tcW w:w="556" w:type="pct"/>
            <w:noWrap/>
            <w:vAlign w:val="center"/>
            <w:hideMark/>
          </w:tcPr>
          <w:p w14:paraId="325685C7" w14:textId="414AE97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1.04</w:t>
            </w:r>
          </w:p>
        </w:tc>
        <w:tc>
          <w:tcPr>
            <w:tcW w:w="556" w:type="pct"/>
            <w:noWrap/>
            <w:vAlign w:val="center"/>
            <w:hideMark/>
          </w:tcPr>
          <w:p w14:paraId="3C56F8F0" w14:textId="4E6D115F"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2.14</w:t>
            </w:r>
          </w:p>
        </w:tc>
        <w:tc>
          <w:tcPr>
            <w:tcW w:w="556" w:type="pct"/>
            <w:noWrap/>
            <w:vAlign w:val="center"/>
            <w:hideMark/>
          </w:tcPr>
          <w:p w14:paraId="6F98DA43" w14:textId="400E94C2"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97.45</w:t>
            </w:r>
          </w:p>
        </w:tc>
        <w:tc>
          <w:tcPr>
            <w:tcW w:w="556" w:type="pct"/>
            <w:vAlign w:val="center"/>
            <w:hideMark/>
          </w:tcPr>
          <w:p w14:paraId="55FA3CB1" w14:textId="4837ECB5"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-2.01</w:t>
            </w:r>
          </w:p>
        </w:tc>
        <w:tc>
          <w:tcPr>
            <w:tcW w:w="553" w:type="pct"/>
            <w:vAlign w:val="center"/>
            <w:hideMark/>
          </w:tcPr>
          <w:p w14:paraId="7BF731FB" w14:textId="629F9869"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r>
      <w:tr w:rsidR="00B25BDD" w:rsidRPr="000309F2" w14:paraId="7BE47B62" w14:textId="77777777" w:rsidTr="00972437">
        <w:trPr>
          <w:trHeight w:val="432"/>
        </w:trPr>
        <w:tc>
          <w:tcPr>
            <w:tcW w:w="555" w:type="pct"/>
            <w:noWrap/>
            <w:vAlign w:val="center"/>
            <w:hideMark/>
          </w:tcPr>
          <w:p w14:paraId="62CD0C9C"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34</w:t>
            </w:r>
          </w:p>
        </w:tc>
        <w:tc>
          <w:tcPr>
            <w:tcW w:w="556" w:type="pct"/>
            <w:noWrap/>
            <w:vAlign w:val="center"/>
            <w:hideMark/>
          </w:tcPr>
          <w:p w14:paraId="6F69A81E" w14:textId="57A2CD2F"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0.6</w:t>
            </w:r>
          </w:p>
        </w:tc>
        <w:tc>
          <w:tcPr>
            <w:tcW w:w="556" w:type="pct"/>
            <w:noWrap/>
            <w:vAlign w:val="center"/>
            <w:hideMark/>
          </w:tcPr>
          <w:p w14:paraId="436372DF" w14:textId="753C54D1"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0.044</w:t>
            </w:r>
          </w:p>
        </w:tc>
        <w:tc>
          <w:tcPr>
            <w:tcW w:w="556" w:type="pct"/>
            <w:noWrap/>
            <w:vAlign w:val="center"/>
            <w:hideMark/>
          </w:tcPr>
          <w:p w14:paraId="593AA51C" w14:textId="69BAA29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w:t>
            </w:r>
          </w:p>
        </w:tc>
        <w:tc>
          <w:tcPr>
            <w:tcW w:w="556" w:type="pct"/>
            <w:noWrap/>
            <w:vAlign w:val="center"/>
            <w:hideMark/>
          </w:tcPr>
          <w:p w14:paraId="39DD03AE" w14:textId="6B7FC65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1.16</w:t>
            </w:r>
          </w:p>
        </w:tc>
        <w:tc>
          <w:tcPr>
            <w:tcW w:w="556" w:type="pct"/>
            <w:noWrap/>
            <w:vAlign w:val="center"/>
            <w:hideMark/>
          </w:tcPr>
          <w:p w14:paraId="6EE30240" w14:textId="2BC1943B"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3.39</w:t>
            </w:r>
          </w:p>
        </w:tc>
        <w:tc>
          <w:tcPr>
            <w:tcW w:w="556" w:type="pct"/>
            <w:noWrap/>
            <w:vAlign w:val="center"/>
            <w:hideMark/>
          </w:tcPr>
          <w:p w14:paraId="15DA3B80" w14:textId="58F34D75"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98.34</w:t>
            </w:r>
          </w:p>
        </w:tc>
        <w:tc>
          <w:tcPr>
            <w:tcW w:w="556" w:type="pct"/>
            <w:vAlign w:val="center"/>
            <w:hideMark/>
          </w:tcPr>
          <w:p w14:paraId="702966DA" w14:textId="7775FFE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-0.43</w:t>
            </w:r>
          </w:p>
        </w:tc>
        <w:tc>
          <w:tcPr>
            <w:tcW w:w="553" w:type="pct"/>
            <w:vAlign w:val="center"/>
            <w:hideMark/>
          </w:tcPr>
          <w:p w14:paraId="7F5BB2BA" w14:textId="604CAAC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0.02</w:t>
            </w:r>
          </w:p>
        </w:tc>
      </w:tr>
      <w:tr w:rsidR="00B25BDD" w:rsidRPr="000309F2" w14:paraId="496CB024" w14:textId="77777777" w:rsidTr="00972437">
        <w:trPr>
          <w:trHeight w:val="432"/>
        </w:trPr>
        <w:tc>
          <w:tcPr>
            <w:tcW w:w="555" w:type="pct"/>
            <w:noWrap/>
            <w:vAlign w:val="center"/>
            <w:hideMark/>
          </w:tcPr>
          <w:p w14:paraId="075E5B83"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35</w:t>
            </w:r>
          </w:p>
        </w:tc>
        <w:tc>
          <w:tcPr>
            <w:tcW w:w="556" w:type="pct"/>
            <w:noWrap/>
            <w:vAlign w:val="center"/>
            <w:hideMark/>
          </w:tcPr>
          <w:p w14:paraId="49E95C46" w14:textId="5BE5E3B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0.57</w:t>
            </w:r>
          </w:p>
        </w:tc>
        <w:tc>
          <w:tcPr>
            <w:tcW w:w="556" w:type="pct"/>
            <w:noWrap/>
            <w:vAlign w:val="center"/>
            <w:hideMark/>
          </w:tcPr>
          <w:p w14:paraId="1885BF4D" w14:textId="518E382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0.037</w:t>
            </w:r>
          </w:p>
        </w:tc>
        <w:tc>
          <w:tcPr>
            <w:tcW w:w="556" w:type="pct"/>
            <w:noWrap/>
            <w:vAlign w:val="center"/>
            <w:hideMark/>
          </w:tcPr>
          <w:p w14:paraId="5E08A697" w14:textId="314D513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c>
          <w:tcPr>
            <w:tcW w:w="556" w:type="pct"/>
            <w:noWrap/>
            <w:vAlign w:val="center"/>
            <w:hideMark/>
          </w:tcPr>
          <w:p w14:paraId="0CEBE2D9" w14:textId="6AC4C445"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1.13</w:t>
            </w:r>
          </w:p>
        </w:tc>
        <w:tc>
          <w:tcPr>
            <w:tcW w:w="556" w:type="pct"/>
            <w:noWrap/>
            <w:vAlign w:val="center"/>
            <w:hideMark/>
          </w:tcPr>
          <w:p w14:paraId="506A5933" w14:textId="63B517F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3.43</w:t>
            </w:r>
          </w:p>
        </w:tc>
        <w:tc>
          <w:tcPr>
            <w:tcW w:w="556" w:type="pct"/>
            <w:noWrap/>
            <w:vAlign w:val="center"/>
            <w:hideMark/>
          </w:tcPr>
          <w:p w14:paraId="1AECE67A" w14:textId="61AE9B0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98.36</w:t>
            </w:r>
          </w:p>
        </w:tc>
        <w:tc>
          <w:tcPr>
            <w:tcW w:w="556" w:type="pct"/>
            <w:vAlign w:val="center"/>
            <w:hideMark/>
          </w:tcPr>
          <w:p w14:paraId="0D528DD8" w14:textId="26B42C7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0.15</w:t>
            </w:r>
          </w:p>
        </w:tc>
        <w:tc>
          <w:tcPr>
            <w:tcW w:w="553" w:type="pct"/>
            <w:vAlign w:val="center"/>
            <w:hideMark/>
          </w:tcPr>
          <w:p w14:paraId="331861CC" w14:textId="63BDF91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r>
      <w:tr w:rsidR="00B25BDD" w:rsidRPr="000309F2" w14:paraId="571F7FF7" w14:textId="77777777" w:rsidTr="00972437">
        <w:trPr>
          <w:trHeight w:val="432"/>
        </w:trPr>
        <w:tc>
          <w:tcPr>
            <w:tcW w:w="555" w:type="pct"/>
            <w:noWrap/>
            <w:vAlign w:val="center"/>
            <w:hideMark/>
          </w:tcPr>
          <w:p w14:paraId="69AE3788"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36</w:t>
            </w:r>
          </w:p>
        </w:tc>
        <w:tc>
          <w:tcPr>
            <w:tcW w:w="556" w:type="pct"/>
            <w:noWrap/>
            <w:vAlign w:val="center"/>
            <w:hideMark/>
          </w:tcPr>
          <w:p w14:paraId="5B95502B" w14:textId="34C6AFD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0.58</w:t>
            </w:r>
          </w:p>
        </w:tc>
        <w:tc>
          <w:tcPr>
            <w:tcW w:w="556" w:type="pct"/>
            <w:noWrap/>
            <w:vAlign w:val="center"/>
            <w:hideMark/>
          </w:tcPr>
          <w:p w14:paraId="0A3173D1" w14:textId="19C9CB25"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0.043</w:t>
            </w:r>
          </w:p>
        </w:tc>
        <w:tc>
          <w:tcPr>
            <w:tcW w:w="556" w:type="pct"/>
            <w:noWrap/>
            <w:vAlign w:val="center"/>
            <w:hideMark/>
          </w:tcPr>
          <w:p w14:paraId="2634C583" w14:textId="3DD331A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0.02</w:t>
            </w:r>
          </w:p>
        </w:tc>
        <w:tc>
          <w:tcPr>
            <w:tcW w:w="556" w:type="pct"/>
            <w:noWrap/>
            <w:vAlign w:val="center"/>
            <w:hideMark/>
          </w:tcPr>
          <w:p w14:paraId="5189E8FD" w14:textId="0CCD766F"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1.14</w:t>
            </w:r>
          </w:p>
        </w:tc>
        <w:tc>
          <w:tcPr>
            <w:tcW w:w="556" w:type="pct"/>
            <w:noWrap/>
            <w:vAlign w:val="center"/>
            <w:hideMark/>
          </w:tcPr>
          <w:p w14:paraId="32BC06CE" w14:textId="5C24109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3.44</w:t>
            </w:r>
          </w:p>
        </w:tc>
        <w:tc>
          <w:tcPr>
            <w:tcW w:w="556" w:type="pct"/>
            <w:noWrap/>
            <w:vAlign w:val="center"/>
            <w:hideMark/>
          </w:tcPr>
          <w:p w14:paraId="725DDEF4" w14:textId="3774EEF1"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98.39</w:t>
            </w:r>
          </w:p>
        </w:tc>
        <w:tc>
          <w:tcPr>
            <w:tcW w:w="556" w:type="pct"/>
            <w:vAlign w:val="center"/>
            <w:hideMark/>
          </w:tcPr>
          <w:p w14:paraId="163F39D8" w14:textId="57BBA7DB"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w:t>
            </w:r>
          </w:p>
        </w:tc>
        <w:tc>
          <w:tcPr>
            <w:tcW w:w="553" w:type="pct"/>
            <w:vAlign w:val="center"/>
            <w:hideMark/>
          </w:tcPr>
          <w:p w14:paraId="129AC90C" w14:textId="24CF1369"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r>
      <w:tr w:rsidR="00B25BDD" w:rsidRPr="000309F2" w14:paraId="68AE4F35" w14:textId="77777777" w:rsidTr="00972437">
        <w:trPr>
          <w:trHeight w:val="432"/>
        </w:trPr>
        <w:tc>
          <w:tcPr>
            <w:tcW w:w="555" w:type="pct"/>
            <w:noWrap/>
            <w:vAlign w:val="center"/>
            <w:hideMark/>
          </w:tcPr>
          <w:p w14:paraId="6E7CFFD1"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37</w:t>
            </w:r>
          </w:p>
        </w:tc>
        <w:tc>
          <w:tcPr>
            <w:tcW w:w="556" w:type="pct"/>
            <w:noWrap/>
            <w:vAlign w:val="center"/>
            <w:hideMark/>
          </w:tcPr>
          <w:p w14:paraId="4C6EF401" w14:textId="45D380B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0.6</w:t>
            </w:r>
          </w:p>
        </w:tc>
        <w:tc>
          <w:tcPr>
            <w:tcW w:w="556" w:type="pct"/>
            <w:noWrap/>
            <w:vAlign w:val="center"/>
            <w:hideMark/>
          </w:tcPr>
          <w:p w14:paraId="5793A699" w14:textId="54769C0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0.036</w:t>
            </w:r>
          </w:p>
        </w:tc>
        <w:tc>
          <w:tcPr>
            <w:tcW w:w="556" w:type="pct"/>
            <w:noWrap/>
            <w:vAlign w:val="center"/>
            <w:hideMark/>
          </w:tcPr>
          <w:p w14:paraId="566B2C6C" w14:textId="14B08A5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w:t>
            </w:r>
          </w:p>
        </w:tc>
        <w:tc>
          <w:tcPr>
            <w:tcW w:w="556" w:type="pct"/>
            <w:noWrap/>
            <w:vAlign w:val="center"/>
            <w:hideMark/>
          </w:tcPr>
          <w:p w14:paraId="68941A33" w14:textId="77D54F1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1.16</w:t>
            </w:r>
          </w:p>
        </w:tc>
        <w:tc>
          <w:tcPr>
            <w:tcW w:w="556" w:type="pct"/>
            <w:noWrap/>
            <w:vAlign w:val="center"/>
            <w:hideMark/>
          </w:tcPr>
          <w:p w14:paraId="14BE171B" w14:textId="2F7679A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3.39</w:t>
            </w:r>
          </w:p>
        </w:tc>
        <w:tc>
          <w:tcPr>
            <w:tcW w:w="556" w:type="pct"/>
            <w:noWrap/>
            <w:vAlign w:val="center"/>
            <w:hideMark/>
          </w:tcPr>
          <w:p w14:paraId="5B8934F5" w14:textId="6E1F615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98.36</w:t>
            </w:r>
          </w:p>
        </w:tc>
        <w:tc>
          <w:tcPr>
            <w:tcW w:w="556" w:type="pct"/>
            <w:vAlign w:val="center"/>
            <w:hideMark/>
          </w:tcPr>
          <w:p w14:paraId="39C18627" w14:textId="4B510F36"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-0.44</w:t>
            </w:r>
          </w:p>
        </w:tc>
        <w:tc>
          <w:tcPr>
            <w:tcW w:w="553" w:type="pct"/>
            <w:vAlign w:val="center"/>
            <w:hideMark/>
          </w:tcPr>
          <w:p w14:paraId="50445644" w14:textId="238F8C6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0.02</w:t>
            </w:r>
          </w:p>
        </w:tc>
      </w:tr>
      <w:tr w:rsidR="00B25BDD" w:rsidRPr="000309F2" w14:paraId="1BEC0A9D" w14:textId="77777777" w:rsidTr="00972437">
        <w:trPr>
          <w:trHeight w:val="432"/>
        </w:trPr>
        <w:tc>
          <w:tcPr>
            <w:tcW w:w="555" w:type="pct"/>
            <w:noWrap/>
            <w:vAlign w:val="center"/>
            <w:hideMark/>
          </w:tcPr>
          <w:p w14:paraId="0221A2A9"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lastRenderedPageBreak/>
              <w:t>38</w:t>
            </w:r>
          </w:p>
        </w:tc>
        <w:tc>
          <w:tcPr>
            <w:tcW w:w="556" w:type="pct"/>
            <w:noWrap/>
            <w:vAlign w:val="center"/>
            <w:hideMark/>
          </w:tcPr>
          <w:p w14:paraId="5F69F147" w14:textId="7E7CD0D6"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0.58</w:t>
            </w:r>
          </w:p>
        </w:tc>
        <w:tc>
          <w:tcPr>
            <w:tcW w:w="556" w:type="pct"/>
            <w:noWrap/>
            <w:vAlign w:val="center"/>
            <w:hideMark/>
          </w:tcPr>
          <w:p w14:paraId="7E5A205C" w14:textId="1EDB897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0.017</w:t>
            </w:r>
          </w:p>
        </w:tc>
        <w:tc>
          <w:tcPr>
            <w:tcW w:w="556" w:type="pct"/>
            <w:noWrap/>
            <w:vAlign w:val="center"/>
            <w:hideMark/>
          </w:tcPr>
          <w:p w14:paraId="62986C05" w14:textId="38E87F09"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0.02</w:t>
            </w:r>
          </w:p>
        </w:tc>
        <w:tc>
          <w:tcPr>
            <w:tcW w:w="556" w:type="pct"/>
            <w:noWrap/>
            <w:vAlign w:val="center"/>
            <w:hideMark/>
          </w:tcPr>
          <w:p w14:paraId="0C74ECBD" w14:textId="1E28F83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1.15</w:t>
            </w:r>
          </w:p>
        </w:tc>
        <w:tc>
          <w:tcPr>
            <w:tcW w:w="556" w:type="pct"/>
            <w:noWrap/>
            <w:vAlign w:val="center"/>
            <w:hideMark/>
          </w:tcPr>
          <w:p w14:paraId="7CAAB7DE" w14:textId="619C0821"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3.45</w:t>
            </w:r>
          </w:p>
        </w:tc>
        <w:tc>
          <w:tcPr>
            <w:tcW w:w="556" w:type="pct"/>
            <w:noWrap/>
            <w:vAlign w:val="center"/>
            <w:hideMark/>
          </w:tcPr>
          <w:p w14:paraId="3C5CBC1B" w14:textId="641B2792"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98.38</w:t>
            </w:r>
          </w:p>
        </w:tc>
        <w:tc>
          <w:tcPr>
            <w:tcW w:w="556" w:type="pct"/>
            <w:vAlign w:val="center"/>
            <w:hideMark/>
          </w:tcPr>
          <w:p w14:paraId="4CA92668" w14:textId="3C202CAE"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-0.1</w:t>
            </w:r>
          </w:p>
        </w:tc>
        <w:tc>
          <w:tcPr>
            <w:tcW w:w="553" w:type="pct"/>
            <w:vAlign w:val="center"/>
            <w:hideMark/>
          </w:tcPr>
          <w:p w14:paraId="10335261" w14:textId="11BFE8C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r>
      <w:tr w:rsidR="00B25BDD" w:rsidRPr="000309F2" w14:paraId="1EE7D538" w14:textId="77777777" w:rsidTr="00972437">
        <w:trPr>
          <w:trHeight w:val="432"/>
        </w:trPr>
        <w:tc>
          <w:tcPr>
            <w:tcW w:w="555" w:type="pct"/>
            <w:noWrap/>
            <w:vAlign w:val="center"/>
            <w:hideMark/>
          </w:tcPr>
          <w:p w14:paraId="495FE56D"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39</w:t>
            </w:r>
          </w:p>
        </w:tc>
        <w:tc>
          <w:tcPr>
            <w:tcW w:w="556" w:type="pct"/>
            <w:noWrap/>
            <w:vAlign w:val="center"/>
            <w:hideMark/>
          </w:tcPr>
          <w:p w14:paraId="7EF16FDE" w14:textId="50F8EED6"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0.6</w:t>
            </w:r>
          </w:p>
        </w:tc>
        <w:tc>
          <w:tcPr>
            <w:tcW w:w="556" w:type="pct"/>
            <w:noWrap/>
            <w:vAlign w:val="center"/>
            <w:hideMark/>
          </w:tcPr>
          <w:p w14:paraId="0F5D9FB9" w14:textId="6F5DCBF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0.046</w:t>
            </w:r>
          </w:p>
        </w:tc>
        <w:tc>
          <w:tcPr>
            <w:tcW w:w="556" w:type="pct"/>
            <w:noWrap/>
            <w:vAlign w:val="center"/>
            <w:hideMark/>
          </w:tcPr>
          <w:p w14:paraId="15C52A4A" w14:textId="0BCC9712"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w:t>
            </w:r>
          </w:p>
        </w:tc>
        <w:tc>
          <w:tcPr>
            <w:tcW w:w="556" w:type="pct"/>
            <w:noWrap/>
            <w:vAlign w:val="center"/>
            <w:hideMark/>
          </w:tcPr>
          <w:p w14:paraId="47F4278F" w14:textId="33DB061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1.16</w:t>
            </w:r>
          </w:p>
        </w:tc>
        <w:tc>
          <w:tcPr>
            <w:tcW w:w="556" w:type="pct"/>
            <w:noWrap/>
            <w:vAlign w:val="center"/>
            <w:hideMark/>
          </w:tcPr>
          <w:p w14:paraId="7C9E6825" w14:textId="6013F16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3.38</w:t>
            </w:r>
          </w:p>
        </w:tc>
        <w:tc>
          <w:tcPr>
            <w:tcW w:w="556" w:type="pct"/>
            <w:noWrap/>
            <w:vAlign w:val="center"/>
            <w:hideMark/>
          </w:tcPr>
          <w:p w14:paraId="640E536B" w14:textId="2FA8DCB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98.34</w:t>
            </w:r>
          </w:p>
        </w:tc>
        <w:tc>
          <w:tcPr>
            <w:tcW w:w="556" w:type="pct"/>
            <w:vAlign w:val="center"/>
            <w:hideMark/>
          </w:tcPr>
          <w:p w14:paraId="14A31301" w14:textId="0A169E4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-0.47</w:t>
            </w:r>
          </w:p>
        </w:tc>
        <w:tc>
          <w:tcPr>
            <w:tcW w:w="553" w:type="pct"/>
            <w:vAlign w:val="center"/>
            <w:hideMark/>
          </w:tcPr>
          <w:p w14:paraId="4F1CCCC1" w14:textId="237D6F8D"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0.02</w:t>
            </w:r>
          </w:p>
        </w:tc>
      </w:tr>
      <w:tr w:rsidR="00B25BDD" w:rsidRPr="000309F2" w14:paraId="320078DF" w14:textId="77777777" w:rsidTr="00972437">
        <w:trPr>
          <w:trHeight w:val="432"/>
        </w:trPr>
        <w:tc>
          <w:tcPr>
            <w:tcW w:w="555" w:type="pct"/>
            <w:noWrap/>
            <w:vAlign w:val="center"/>
            <w:hideMark/>
          </w:tcPr>
          <w:p w14:paraId="3EEB754C"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40</w:t>
            </w:r>
            <w:r w:rsidRPr="000309F2">
              <w:rPr>
                <w:rFonts w:ascii="Times New Roman" w:eastAsia="Times New Roman" w:hAnsi="Times New Roman" w:cs="Times New Roman"/>
                <w:color w:val="000000" w:themeColor="text1"/>
                <w:kern w:val="0"/>
                <w:sz w:val="20"/>
                <w:szCs w:val="20"/>
                <w:vertAlign w:val="superscript"/>
                <w:lang w:val="en-US" w:eastAsia="en-GB"/>
                <w14:ligatures w14:val="none"/>
              </w:rPr>
              <w:t>*</w:t>
            </w:r>
          </w:p>
        </w:tc>
        <w:tc>
          <w:tcPr>
            <w:tcW w:w="556" w:type="pct"/>
            <w:noWrap/>
            <w:vAlign w:val="center"/>
            <w:hideMark/>
          </w:tcPr>
          <w:p w14:paraId="69FFC809" w14:textId="11C48B36"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0.33</w:t>
            </w:r>
          </w:p>
        </w:tc>
        <w:tc>
          <w:tcPr>
            <w:tcW w:w="556" w:type="pct"/>
            <w:noWrap/>
            <w:vAlign w:val="center"/>
            <w:hideMark/>
          </w:tcPr>
          <w:p w14:paraId="14AA02E6" w14:textId="0F39C69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0.049</w:t>
            </w:r>
          </w:p>
        </w:tc>
        <w:tc>
          <w:tcPr>
            <w:tcW w:w="556" w:type="pct"/>
            <w:noWrap/>
            <w:vAlign w:val="center"/>
            <w:hideMark/>
          </w:tcPr>
          <w:p w14:paraId="593DEE2C" w14:textId="60A80601"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0.06</w:t>
            </w:r>
          </w:p>
        </w:tc>
        <w:tc>
          <w:tcPr>
            <w:tcW w:w="556" w:type="pct"/>
            <w:noWrap/>
            <w:vAlign w:val="center"/>
            <w:hideMark/>
          </w:tcPr>
          <w:p w14:paraId="37E6E5CD" w14:textId="49FCB1F9"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0.6</w:t>
            </w:r>
          </w:p>
        </w:tc>
        <w:tc>
          <w:tcPr>
            <w:tcW w:w="556" w:type="pct"/>
            <w:noWrap/>
            <w:vAlign w:val="center"/>
            <w:hideMark/>
          </w:tcPr>
          <w:p w14:paraId="300ABED1" w14:textId="4BC0E4A9"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0.76</w:t>
            </w:r>
          </w:p>
        </w:tc>
        <w:tc>
          <w:tcPr>
            <w:tcW w:w="556" w:type="pct"/>
            <w:noWrap/>
            <w:vAlign w:val="center"/>
            <w:hideMark/>
          </w:tcPr>
          <w:p w14:paraId="27472D7F" w14:textId="2118B01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93.21</w:t>
            </w:r>
          </w:p>
        </w:tc>
        <w:tc>
          <w:tcPr>
            <w:tcW w:w="556" w:type="pct"/>
            <w:vAlign w:val="center"/>
            <w:hideMark/>
          </w:tcPr>
          <w:p w14:paraId="70A9253E" w14:textId="6873E24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10.16</w:t>
            </w:r>
          </w:p>
        </w:tc>
        <w:tc>
          <w:tcPr>
            <w:tcW w:w="553" w:type="pct"/>
            <w:vAlign w:val="center"/>
            <w:hideMark/>
          </w:tcPr>
          <w:p w14:paraId="2406C000" w14:textId="4A6095C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0.75</w:t>
            </w:r>
          </w:p>
        </w:tc>
      </w:tr>
      <w:tr w:rsidR="00B25BDD" w:rsidRPr="000309F2" w14:paraId="61B6C139" w14:textId="77777777" w:rsidTr="00972437">
        <w:trPr>
          <w:trHeight w:val="432"/>
        </w:trPr>
        <w:tc>
          <w:tcPr>
            <w:tcW w:w="555" w:type="pct"/>
            <w:noWrap/>
            <w:vAlign w:val="center"/>
            <w:hideMark/>
          </w:tcPr>
          <w:p w14:paraId="5729D7AE"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41</w:t>
            </w:r>
          </w:p>
        </w:tc>
        <w:tc>
          <w:tcPr>
            <w:tcW w:w="556" w:type="pct"/>
            <w:noWrap/>
            <w:vAlign w:val="center"/>
            <w:hideMark/>
          </w:tcPr>
          <w:p w14:paraId="7B4411CA" w14:textId="4A880E3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0.57</w:t>
            </w:r>
          </w:p>
        </w:tc>
        <w:tc>
          <w:tcPr>
            <w:tcW w:w="556" w:type="pct"/>
            <w:noWrap/>
            <w:vAlign w:val="center"/>
            <w:hideMark/>
          </w:tcPr>
          <w:p w14:paraId="7D6B5B94" w14:textId="0A6D4E81"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0.052</w:t>
            </w:r>
          </w:p>
        </w:tc>
        <w:tc>
          <w:tcPr>
            <w:tcW w:w="556" w:type="pct"/>
            <w:noWrap/>
            <w:vAlign w:val="center"/>
            <w:hideMark/>
          </w:tcPr>
          <w:p w14:paraId="1AA53DDF" w14:textId="2328B5B7"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c>
          <w:tcPr>
            <w:tcW w:w="556" w:type="pct"/>
            <w:noWrap/>
            <w:vAlign w:val="center"/>
            <w:hideMark/>
          </w:tcPr>
          <w:p w14:paraId="5043464A" w14:textId="23D5C792"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1.14</w:t>
            </w:r>
          </w:p>
        </w:tc>
        <w:tc>
          <w:tcPr>
            <w:tcW w:w="556" w:type="pct"/>
            <w:noWrap/>
            <w:vAlign w:val="center"/>
            <w:hideMark/>
          </w:tcPr>
          <w:p w14:paraId="3FEC5A27" w14:textId="61945C18"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3.43</w:t>
            </w:r>
          </w:p>
        </w:tc>
        <w:tc>
          <w:tcPr>
            <w:tcW w:w="556" w:type="pct"/>
            <w:noWrap/>
            <w:vAlign w:val="center"/>
            <w:hideMark/>
          </w:tcPr>
          <w:p w14:paraId="694B58C4" w14:textId="2B9AD82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98.38</w:t>
            </w:r>
          </w:p>
        </w:tc>
        <w:tc>
          <w:tcPr>
            <w:tcW w:w="556" w:type="pct"/>
            <w:vAlign w:val="center"/>
            <w:hideMark/>
          </w:tcPr>
          <w:p w14:paraId="0A9945CD" w14:textId="338FBBFF"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0.1</w:t>
            </w:r>
          </w:p>
        </w:tc>
        <w:tc>
          <w:tcPr>
            <w:tcW w:w="553" w:type="pct"/>
            <w:vAlign w:val="center"/>
            <w:hideMark/>
          </w:tcPr>
          <w:p w14:paraId="351780D8" w14:textId="162834F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r>
      <w:tr w:rsidR="00B25BDD" w:rsidRPr="000309F2" w14:paraId="0253FFB7" w14:textId="77777777" w:rsidTr="00972437">
        <w:trPr>
          <w:trHeight w:val="432"/>
        </w:trPr>
        <w:tc>
          <w:tcPr>
            <w:tcW w:w="555" w:type="pct"/>
            <w:noWrap/>
            <w:vAlign w:val="center"/>
            <w:hideMark/>
          </w:tcPr>
          <w:p w14:paraId="3B1F90FB"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42</w:t>
            </w:r>
          </w:p>
        </w:tc>
        <w:tc>
          <w:tcPr>
            <w:tcW w:w="556" w:type="pct"/>
            <w:noWrap/>
            <w:vAlign w:val="center"/>
            <w:hideMark/>
          </w:tcPr>
          <w:p w14:paraId="4509CEE4" w14:textId="683E0B3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0.56</w:t>
            </w:r>
          </w:p>
        </w:tc>
        <w:tc>
          <w:tcPr>
            <w:tcW w:w="556" w:type="pct"/>
            <w:noWrap/>
            <w:vAlign w:val="center"/>
            <w:hideMark/>
          </w:tcPr>
          <w:p w14:paraId="2452D546" w14:textId="4AED85EF"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0.051</w:t>
            </w:r>
          </w:p>
        </w:tc>
        <w:tc>
          <w:tcPr>
            <w:tcW w:w="556" w:type="pct"/>
            <w:noWrap/>
            <w:vAlign w:val="center"/>
            <w:hideMark/>
          </w:tcPr>
          <w:p w14:paraId="18CCAD1B" w14:textId="0B40FC0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c>
          <w:tcPr>
            <w:tcW w:w="556" w:type="pct"/>
            <w:noWrap/>
            <w:vAlign w:val="center"/>
            <w:hideMark/>
          </w:tcPr>
          <w:p w14:paraId="7F19B401" w14:textId="5E64AC46"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1.12</w:t>
            </w:r>
          </w:p>
        </w:tc>
        <w:tc>
          <w:tcPr>
            <w:tcW w:w="556" w:type="pct"/>
            <w:noWrap/>
            <w:vAlign w:val="center"/>
            <w:hideMark/>
          </w:tcPr>
          <w:p w14:paraId="181B8A58" w14:textId="08FFE17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3.37</w:t>
            </w:r>
          </w:p>
        </w:tc>
        <w:tc>
          <w:tcPr>
            <w:tcW w:w="556" w:type="pct"/>
            <w:noWrap/>
            <w:vAlign w:val="center"/>
            <w:hideMark/>
          </w:tcPr>
          <w:p w14:paraId="73970EBC" w14:textId="73B131A9"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98.36</w:t>
            </w:r>
          </w:p>
        </w:tc>
        <w:tc>
          <w:tcPr>
            <w:tcW w:w="556" w:type="pct"/>
            <w:vAlign w:val="center"/>
            <w:hideMark/>
          </w:tcPr>
          <w:p w14:paraId="051D280E" w14:textId="2B6865D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0.36</w:t>
            </w:r>
          </w:p>
        </w:tc>
        <w:tc>
          <w:tcPr>
            <w:tcW w:w="553" w:type="pct"/>
            <w:vAlign w:val="center"/>
            <w:hideMark/>
          </w:tcPr>
          <w:p w14:paraId="4A9647F9" w14:textId="17F03FCF"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r>
      <w:tr w:rsidR="00B25BDD" w:rsidRPr="000309F2" w14:paraId="09E839B7" w14:textId="77777777" w:rsidTr="00972437">
        <w:trPr>
          <w:trHeight w:val="432"/>
        </w:trPr>
        <w:tc>
          <w:tcPr>
            <w:tcW w:w="555" w:type="pct"/>
            <w:noWrap/>
            <w:vAlign w:val="center"/>
            <w:hideMark/>
          </w:tcPr>
          <w:p w14:paraId="6B85C44D"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43</w:t>
            </w:r>
          </w:p>
        </w:tc>
        <w:tc>
          <w:tcPr>
            <w:tcW w:w="556" w:type="pct"/>
            <w:noWrap/>
            <w:vAlign w:val="center"/>
            <w:hideMark/>
          </w:tcPr>
          <w:p w14:paraId="05C8C05B" w14:textId="059B8489"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0.54</w:t>
            </w:r>
          </w:p>
        </w:tc>
        <w:tc>
          <w:tcPr>
            <w:tcW w:w="556" w:type="pct"/>
            <w:noWrap/>
            <w:vAlign w:val="center"/>
            <w:hideMark/>
          </w:tcPr>
          <w:p w14:paraId="0188095A" w14:textId="1EE9C401"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0.042</w:t>
            </w:r>
          </w:p>
        </w:tc>
        <w:tc>
          <w:tcPr>
            <w:tcW w:w="556" w:type="pct"/>
            <w:noWrap/>
            <w:vAlign w:val="center"/>
            <w:hideMark/>
          </w:tcPr>
          <w:p w14:paraId="5ADB6E34" w14:textId="3062AEA2"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c>
          <w:tcPr>
            <w:tcW w:w="556" w:type="pct"/>
            <w:noWrap/>
            <w:vAlign w:val="center"/>
            <w:hideMark/>
          </w:tcPr>
          <w:p w14:paraId="2F1F96B0" w14:textId="216377DC"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1.08</w:t>
            </w:r>
          </w:p>
        </w:tc>
        <w:tc>
          <w:tcPr>
            <w:tcW w:w="556" w:type="pct"/>
            <w:noWrap/>
            <w:vAlign w:val="center"/>
            <w:hideMark/>
          </w:tcPr>
          <w:p w14:paraId="69E49C0D" w14:textId="5A6FD036"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3.2</w:t>
            </w:r>
          </w:p>
        </w:tc>
        <w:tc>
          <w:tcPr>
            <w:tcW w:w="556" w:type="pct"/>
            <w:noWrap/>
            <w:vAlign w:val="center"/>
            <w:hideMark/>
          </w:tcPr>
          <w:p w14:paraId="02438ED2" w14:textId="505243B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98.27</w:t>
            </w:r>
          </w:p>
        </w:tc>
        <w:tc>
          <w:tcPr>
            <w:tcW w:w="556" w:type="pct"/>
            <w:vAlign w:val="center"/>
            <w:hideMark/>
          </w:tcPr>
          <w:p w14:paraId="74CAB792" w14:textId="49FB88E9"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0.71</w:t>
            </w:r>
          </w:p>
        </w:tc>
        <w:tc>
          <w:tcPr>
            <w:tcW w:w="553" w:type="pct"/>
            <w:vAlign w:val="center"/>
            <w:hideMark/>
          </w:tcPr>
          <w:p w14:paraId="1FF15F78" w14:textId="22D349A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0.01</w:t>
            </w:r>
          </w:p>
        </w:tc>
      </w:tr>
      <w:tr w:rsidR="00B25BDD" w:rsidRPr="000309F2" w14:paraId="2AC4DF07" w14:textId="77777777" w:rsidTr="00972437">
        <w:trPr>
          <w:trHeight w:val="432"/>
        </w:trPr>
        <w:tc>
          <w:tcPr>
            <w:tcW w:w="555" w:type="pct"/>
            <w:tcBorders>
              <w:bottom w:val="single" w:sz="8" w:space="0" w:color="auto"/>
            </w:tcBorders>
            <w:noWrap/>
            <w:vAlign w:val="center"/>
            <w:hideMark/>
          </w:tcPr>
          <w:p w14:paraId="2CFAE105" w14:textId="77777777" w:rsidR="00972437" w:rsidRPr="000309F2" w:rsidRDefault="00972437" w:rsidP="00972437">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44</w:t>
            </w:r>
          </w:p>
        </w:tc>
        <w:tc>
          <w:tcPr>
            <w:tcW w:w="556" w:type="pct"/>
            <w:tcBorders>
              <w:bottom w:val="single" w:sz="8" w:space="0" w:color="auto"/>
            </w:tcBorders>
            <w:noWrap/>
            <w:vAlign w:val="center"/>
            <w:hideMark/>
          </w:tcPr>
          <w:p w14:paraId="2F9757DB" w14:textId="1B59347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0.55</w:t>
            </w:r>
          </w:p>
        </w:tc>
        <w:tc>
          <w:tcPr>
            <w:tcW w:w="556" w:type="pct"/>
            <w:tcBorders>
              <w:bottom w:val="single" w:sz="8" w:space="0" w:color="auto"/>
            </w:tcBorders>
            <w:noWrap/>
            <w:vAlign w:val="center"/>
            <w:hideMark/>
          </w:tcPr>
          <w:p w14:paraId="5C123AA2" w14:textId="6DF0C6EA"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0.044</w:t>
            </w:r>
          </w:p>
        </w:tc>
        <w:tc>
          <w:tcPr>
            <w:tcW w:w="556" w:type="pct"/>
            <w:tcBorders>
              <w:bottom w:val="single" w:sz="8" w:space="0" w:color="auto"/>
            </w:tcBorders>
            <w:noWrap/>
            <w:vAlign w:val="center"/>
            <w:hideMark/>
          </w:tcPr>
          <w:p w14:paraId="42603D08" w14:textId="31CC1FEF"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c>
          <w:tcPr>
            <w:tcW w:w="556" w:type="pct"/>
            <w:tcBorders>
              <w:bottom w:val="single" w:sz="8" w:space="0" w:color="auto"/>
            </w:tcBorders>
            <w:noWrap/>
            <w:vAlign w:val="center"/>
            <w:hideMark/>
          </w:tcPr>
          <w:p w14:paraId="01123021" w14:textId="206B792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1.1</w:t>
            </w:r>
          </w:p>
        </w:tc>
        <w:tc>
          <w:tcPr>
            <w:tcW w:w="556" w:type="pct"/>
            <w:tcBorders>
              <w:bottom w:val="single" w:sz="8" w:space="0" w:color="auto"/>
            </w:tcBorders>
            <w:noWrap/>
            <w:vAlign w:val="center"/>
            <w:hideMark/>
          </w:tcPr>
          <w:p w14:paraId="31CD1BC2" w14:textId="2C45DB96"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3.28</w:t>
            </w:r>
          </w:p>
        </w:tc>
        <w:tc>
          <w:tcPr>
            <w:tcW w:w="556" w:type="pct"/>
            <w:tcBorders>
              <w:bottom w:val="single" w:sz="8" w:space="0" w:color="auto"/>
            </w:tcBorders>
            <w:noWrap/>
            <w:vAlign w:val="center"/>
            <w:hideMark/>
          </w:tcPr>
          <w:p w14:paraId="24AEBD0B" w14:textId="70847ED3"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98.32</w:t>
            </w:r>
          </w:p>
        </w:tc>
        <w:tc>
          <w:tcPr>
            <w:tcW w:w="556" w:type="pct"/>
            <w:tcBorders>
              <w:bottom w:val="single" w:sz="8" w:space="0" w:color="auto"/>
            </w:tcBorders>
            <w:vAlign w:val="center"/>
            <w:hideMark/>
          </w:tcPr>
          <w:p w14:paraId="5E970CA0" w14:textId="52667A84"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0.55</w:t>
            </w:r>
          </w:p>
        </w:tc>
        <w:tc>
          <w:tcPr>
            <w:tcW w:w="553" w:type="pct"/>
            <w:tcBorders>
              <w:bottom w:val="single" w:sz="8" w:space="0" w:color="auto"/>
            </w:tcBorders>
            <w:vAlign w:val="center"/>
            <w:hideMark/>
          </w:tcPr>
          <w:p w14:paraId="63CC2C1A" w14:textId="5053D410" w:rsidR="00972437" w:rsidRPr="000309F2" w:rsidRDefault="00972437" w:rsidP="00972437">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hAnsi="Times New Roman" w:cs="Times New Roman"/>
                <w:color w:val="000000" w:themeColor="text1"/>
                <w:sz w:val="20"/>
                <w:szCs w:val="20"/>
                <w:lang w:val="en-US"/>
              </w:rPr>
              <w:t>0</w:t>
            </w:r>
          </w:p>
        </w:tc>
      </w:tr>
      <w:tr w:rsidR="00B25BDD" w:rsidRPr="000309F2" w14:paraId="4A3ACC09" w14:textId="77777777" w:rsidTr="00A50204">
        <w:trPr>
          <w:trHeight w:val="432"/>
        </w:trPr>
        <w:tc>
          <w:tcPr>
            <w:tcW w:w="5000" w:type="pct"/>
            <w:gridSpan w:val="9"/>
            <w:tcBorders>
              <w:top w:val="single" w:sz="8" w:space="0" w:color="auto"/>
              <w:bottom w:val="single" w:sz="8" w:space="0" w:color="auto"/>
            </w:tcBorders>
            <w:noWrap/>
            <w:vAlign w:val="center"/>
          </w:tcPr>
          <w:p w14:paraId="5DACD380" w14:textId="5BA524EC"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lang w:val="en-US" w:eastAsia="en-GB"/>
                <w14:ligatures w14:val="none"/>
              </w:rPr>
              <w:t>C-tDCS</w:t>
            </w:r>
          </w:p>
        </w:tc>
      </w:tr>
      <w:tr w:rsidR="00B25BDD" w:rsidRPr="000309F2" w14:paraId="7DF842B5" w14:textId="77777777" w:rsidTr="0026214D">
        <w:trPr>
          <w:trHeight w:val="432"/>
        </w:trPr>
        <w:tc>
          <w:tcPr>
            <w:tcW w:w="555" w:type="pct"/>
            <w:tcBorders>
              <w:top w:val="single" w:sz="8" w:space="0" w:color="auto"/>
              <w:bottom w:val="single" w:sz="6" w:space="0" w:color="auto"/>
            </w:tcBorders>
            <w:noWrap/>
            <w:vAlign w:val="center"/>
            <w:hideMark/>
          </w:tcPr>
          <w:p w14:paraId="4CB25CBF"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Study</w:t>
            </w:r>
          </w:p>
        </w:tc>
        <w:tc>
          <w:tcPr>
            <w:tcW w:w="556" w:type="pct"/>
            <w:tcBorders>
              <w:top w:val="single" w:sz="8" w:space="0" w:color="auto"/>
              <w:bottom w:val="single" w:sz="6" w:space="0" w:color="auto"/>
            </w:tcBorders>
            <w:vAlign w:val="center"/>
            <w:hideMark/>
          </w:tcPr>
          <w:p w14:paraId="719CDF4E"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Estimate</w:t>
            </w:r>
          </w:p>
        </w:tc>
        <w:tc>
          <w:tcPr>
            <w:tcW w:w="556" w:type="pct"/>
            <w:tcBorders>
              <w:top w:val="single" w:sz="8" w:space="0" w:color="auto"/>
              <w:bottom w:val="single" w:sz="6" w:space="0" w:color="auto"/>
            </w:tcBorders>
            <w:vAlign w:val="center"/>
            <w:hideMark/>
          </w:tcPr>
          <w:p w14:paraId="2A2F9DF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Pval</w:t>
            </w:r>
          </w:p>
        </w:tc>
        <w:tc>
          <w:tcPr>
            <w:tcW w:w="556" w:type="pct"/>
            <w:tcBorders>
              <w:top w:val="single" w:sz="8" w:space="0" w:color="auto"/>
              <w:bottom w:val="single" w:sz="6" w:space="0" w:color="auto"/>
            </w:tcBorders>
            <w:vAlign w:val="center"/>
            <w:hideMark/>
          </w:tcPr>
          <w:p w14:paraId="7FCBAC1F"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CI.lb</w:t>
            </w:r>
          </w:p>
        </w:tc>
        <w:tc>
          <w:tcPr>
            <w:tcW w:w="556" w:type="pct"/>
            <w:tcBorders>
              <w:top w:val="single" w:sz="8" w:space="0" w:color="auto"/>
              <w:bottom w:val="single" w:sz="6" w:space="0" w:color="auto"/>
            </w:tcBorders>
            <w:vAlign w:val="center"/>
            <w:hideMark/>
          </w:tcPr>
          <w:p w14:paraId="4397259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CI.ub</w:t>
            </w:r>
          </w:p>
        </w:tc>
        <w:tc>
          <w:tcPr>
            <w:tcW w:w="556" w:type="pct"/>
            <w:tcBorders>
              <w:top w:val="single" w:sz="8" w:space="0" w:color="auto"/>
              <w:bottom w:val="single" w:sz="6" w:space="0" w:color="auto"/>
            </w:tcBorders>
            <w:vAlign w:val="center"/>
            <w:hideMark/>
          </w:tcPr>
          <w:p w14:paraId="1889BCF1"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Tau2</w:t>
            </w:r>
          </w:p>
        </w:tc>
        <w:tc>
          <w:tcPr>
            <w:tcW w:w="556" w:type="pct"/>
            <w:tcBorders>
              <w:top w:val="single" w:sz="8" w:space="0" w:color="auto"/>
              <w:bottom w:val="single" w:sz="6" w:space="0" w:color="auto"/>
            </w:tcBorders>
            <w:vAlign w:val="center"/>
            <w:hideMark/>
          </w:tcPr>
          <w:p w14:paraId="77222E08"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I2</w:t>
            </w:r>
          </w:p>
        </w:tc>
        <w:tc>
          <w:tcPr>
            <w:tcW w:w="556" w:type="pct"/>
            <w:tcBorders>
              <w:top w:val="single" w:sz="8" w:space="0" w:color="auto"/>
              <w:bottom w:val="single" w:sz="6" w:space="0" w:color="auto"/>
            </w:tcBorders>
            <w:vAlign w:val="center"/>
            <w:hideMark/>
          </w:tcPr>
          <w:p w14:paraId="754CE9D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Rstudent</w:t>
            </w:r>
          </w:p>
        </w:tc>
        <w:tc>
          <w:tcPr>
            <w:tcW w:w="553" w:type="pct"/>
            <w:tcBorders>
              <w:top w:val="single" w:sz="8" w:space="0" w:color="auto"/>
              <w:bottom w:val="single" w:sz="6" w:space="0" w:color="auto"/>
            </w:tcBorders>
            <w:vAlign w:val="center"/>
            <w:hideMark/>
          </w:tcPr>
          <w:p w14:paraId="22B467A1"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Cook.d</w:t>
            </w:r>
          </w:p>
        </w:tc>
      </w:tr>
      <w:tr w:rsidR="00B25BDD" w:rsidRPr="000309F2" w14:paraId="4A3B0565" w14:textId="77777777" w:rsidTr="0026214D">
        <w:trPr>
          <w:trHeight w:val="432"/>
        </w:trPr>
        <w:tc>
          <w:tcPr>
            <w:tcW w:w="555" w:type="pct"/>
            <w:tcBorders>
              <w:top w:val="single" w:sz="6" w:space="0" w:color="auto"/>
            </w:tcBorders>
            <w:noWrap/>
            <w:vAlign w:val="center"/>
            <w:hideMark/>
          </w:tcPr>
          <w:p w14:paraId="382414F0"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w:t>
            </w:r>
          </w:p>
        </w:tc>
        <w:tc>
          <w:tcPr>
            <w:tcW w:w="556" w:type="pct"/>
            <w:tcBorders>
              <w:top w:val="single" w:sz="6" w:space="0" w:color="auto"/>
            </w:tcBorders>
            <w:vAlign w:val="center"/>
            <w:hideMark/>
          </w:tcPr>
          <w:p w14:paraId="5B440657"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0.17</w:t>
            </w:r>
          </w:p>
        </w:tc>
        <w:tc>
          <w:tcPr>
            <w:tcW w:w="556" w:type="pct"/>
            <w:tcBorders>
              <w:top w:val="single" w:sz="6" w:space="0" w:color="auto"/>
            </w:tcBorders>
            <w:vAlign w:val="center"/>
            <w:hideMark/>
          </w:tcPr>
          <w:p w14:paraId="5BB41890"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0.31</w:t>
            </w:r>
          </w:p>
        </w:tc>
        <w:tc>
          <w:tcPr>
            <w:tcW w:w="556" w:type="pct"/>
            <w:tcBorders>
              <w:top w:val="single" w:sz="6" w:space="0" w:color="auto"/>
            </w:tcBorders>
            <w:vAlign w:val="center"/>
            <w:hideMark/>
          </w:tcPr>
          <w:p w14:paraId="271F27CD"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-0.15</w:t>
            </w:r>
          </w:p>
        </w:tc>
        <w:tc>
          <w:tcPr>
            <w:tcW w:w="556" w:type="pct"/>
            <w:tcBorders>
              <w:top w:val="single" w:sz="6" w:space="0" w:color="auto"/>
            </w:tcBorders>
            <w:vAlign w:val="center"/>
            <w:hideMark/>
          </w:tcPr>
          <w:p w14:paraId="7146B4FE"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0.49</w:t>
            </w:r>
          </w:p>
        </w:tc>
        <w:tc>
          <w:tcPr>
            <w:tcW w:w="556" w:type="pct"/>
            <w:tcBorders>
              <w:top w:val="single" w:sz="6" w:space="0" w:color="auto"/>
            </w:tcBorders>
            <w:vAlign w:val="center"/>
            <w:hideMark/>
          </w:tcPr>
          <w:p w14:paraId="409A6617"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0.28</w:t>
            </w:r>
          </w:p>
        </w:tc>
        <w:tc>
          <w:tcPr>
            <w:tcW w:w="556" w:type="pct"/>
            <w:tcBorders>
              <w:top w:val="single" w:sz="6" w:space="0" w:color="auto"/>
            </w:tcBorders>
            <w:vAlign w:val="center"/>
            <w:hideMark/>
          </w:tcPr>
          <w:p w14:paraId="7E4B56E5"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76.34</w:t>
            </w:r>
          </w:p>
        </w:tc>
        <w:tc>
          <w:tcPr>
            <w:tcW w:w="556" w:type="pct"/>
            <w:tcBorders>
              <w:top w:val="single" w:sz="6" w:space="0" w:color="auto"/>
            </w:tcBorders>
            <w:vAlign w:val="center"/>
            <w:hideMark/>
          </w:tcPr>
          <w:p w14:paraId="2B518787"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0.06</w:t>
            </w:r>
          </w:p>
        </w:tc>
        <w:tc>
          <w:tcPr>
            <w:tcW w:w="553" w:type="pct"/>
            <w:tcBorders>
              <w:top w:val="single" w:sz="6" w:space="0" w:color="auto"/>
            </w:tcBorders>
            <w:vAlign w:val="center"/>
            <w:hideMark/>
          </w:tcPr>
          <w:p w14:paraId="71C91517"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0.00</w:t>
            </w:r>
          </w:p>
        </w:tc>
      </w:tr>
      <w:tr w:rsidR="00B25BDD" w:rsidRPr="000309F2" w14:paraId="0F25F048" w14:textId="77777777" w:rsidTr="0026214D">
        <w:trPr>
          <w:trHeight w:val="432"/>
        </w:trPr>
        <w:tc>
          <w:tcPr>
            <w:tcW w:w="555" w:type="pct"/>
            <w:noWrap/>
            <w:vAlign w:val="center"/>
            <w:hideMark/>
          </w:tcPr>
          <w:p w14:paraId="554ADF36"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2</w:t>
            </w:r>
          </w:p>
        </w:tc>
        <w:tc>
          <w:tcPr>
            <w:tcW w:w="556" w:type="pct"/>
            <w:vAlign w:val="center"/>
            <w:hideMark/>
          </w:tcPr>
          <w:p w14:paraId="34620D8F"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0.12</w:t>
            </w:r>
          </w:p>
        </w:tc>
        <w:tc>
          <w:tcPr>
            <w:tcW w:w="556" w:type="pct"/>
            <w:vAlign w:val="center"/>
            <w:hideMark/>
          </w:tcPr>
          <w:p w14:paraId="30AEF2D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0.43</w:t>
            </w:r>
          </w:p>
        </w:tc>
        <w:tc>
          <w:tcPr>
            <w:tcW w:w="556" w:type="pct"/>
            <w:vAlign w:val="center"/>
            <w:hideMark/>
          </w:tcPr>
          <w:p w14:paraId="42A76F1C"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-0.18</w:t>
            </w:r>
          </w:p>
        </w:tc>
        <w:tc>
          <w:tcPr>
            <w:tcW w:w="556" w:type="pct"/>
            <w:vAlign w:val="center"/>
            <w:hideMark/>
          </w:tcPr>
          <w:p w14:paraId="2C5E5DD0"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0.43</w:t>
            </w:r>
          </w:p>
        </w:tc>
        <w:tc>
          <w:tcPr>
            <w:tcW w:w="556" w:type="pct"/>
            <w:vAlign w:val="center"/>
            <w:hideMark/>
          </w:tcPr>
          <w:p w14:paraId="3B41C9D5"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0.24</w:t>
            </w:r>
          </w:p>
        </w:tc>
        <w:tc>
          <w:tcPr>
            <w:tcW w:w="556" w:type="pct"/>
            <w:vAlign w:val="center"/>
            <w:hideMark/>
          </w:tcPr>
          <w:p w14:paraId="65E8BEF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73.48</w:t>
            </w:r>
          </w:p>
        </w:tc>
        <w:tc>
          <w:tcPr>
            <w:tcW w:w="556" w:type="pct"/>
            <w:vAlign w:val="center"/>
            <w:hideMark/>
          </w:tcPr>
          <w:p w14:paraId="2CF36B6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1.22</w:t>
            </w:r>
          </w:p>
        </w:tc>
        <w:tc>
          <w:tcPr>
            <w:tcW w:w="553" w:type="pct"/>
            <w:vAlign w:val="center"/>
            <w:hideMark/>
          </w:tcPr>
          <w:p w14:paraId="116C9F3F"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0.10</w:t>
            </w:r>
          </w:p>
        </w:tc>
      </w:tr>
      <w:tr w:rsidR="00B25BDD" w:rsidRPr="000309F2" w14:paraId="0F2940C1" w14:textId="77777777" w:rsidTr="0026214D">
        <w:trPr>
          <w:trHeight w:val="432"/>
        </w:trPr>
        <w:tc>
          <w:tcPr>
            <w:tcW w:w="555" w:type="pct"/>
            <w:noWrap/>
            <w:vAlign w:val="center"/>
            <w:hideMark/>
          </w:tcPr>
          <w:p w14:paraId="3D7FBD11"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3</w:t>
            </w:r>
          </w:p>
        </w:tc>
        <w:tc>
          <w:tcPr>
            <w:tcW w:w="556" w:type="pct"/>
            <w:vAlign w:val="center"/>
            <w:hideMark/>
          </w:tcPr>
          <w:p w14:paraId="688516E1"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0.14</w:t>
            </w:r>
          </w:p>
        </w:tc>
        <w:tc>
          <w:tcPr>
            <w:tcW w:w="556" w:type="pct"/>
            <w:vAlign w:val="center"/>
            <w:hideMark/>
          </w:tcPr>
          <w:p w14:paraId="54CBB08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0.38</w:t>
            </w:r>
          </w:p>
        </w:tc>
        <w:tc>
          <w:tcPr>
            <w:tcW w:w="556" w:type="pct"/>
            <w:vAlign w:val="center"/>
            <w:hideMark/>
          </w:tcPr>
          <w:p w14:paraId="2540B98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-0.17</w:t>
            </w:r>
          </w:p>
        </w:tc>
        <w:tc>
          <w:tcPr>
            <w:tcW w:w="556" w:type="pct"/>
            <w:vAlign w:val="center"/>
            <w:hideMark/>
          </w:tcPr>
          <w:p w14:paraId="3F1A8BF8"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0.46</w:t>
            </w:r>
          </w:p>
        </w:tc>
        <w:tc>
          <w:tcPr>
            <w:tcW w:w="556" w:type="pct"/>
            <w:vAlign w:val="center"/>
            <w:hideMark/>
          </w:tcPr>
          <w:p w14:paraId="787882B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0.27</w:t>
            </w:r>
          </w:p>
        </w:tc>
        <w:tc>
          <w:tcPr>
            <w:tcW w:w="556" w:type="pct"/>
            <w:vAlign w:val="center"/>
            <w:hideMark/>
          </w:tcPr>
          <w:p w14:paraId="423B3CE2"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75.43</w:t>
            </w:r>
          </w:p>
        </w:tc>
        <w:tc>
          <w:tcPr>
            <w:tcW w:w="556" w:type="pct"/>
            <w:vAlign w:val="center"/>
            <w:hideMark/>
          </w:tcPr>
          <w:p w14:paraId="759B8FED"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0.68</w:t>
            </w:r>
          </w:p>
        </w:tc>
        <w:tc>
          <w:tcPr>
            <w:tcW w:w="553" w:type="pct"/>
            <w:vAlign w:val="center"/>
            <w:hideMark/>
          </w:tcPr>
          <w:p w14:paraId="6BED7187"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0.03</w:t>
            </w:r>
          </w:p>
        </w:tc>
      </w:tr>
      <w:tr w:rsidR="00B25BDD" w:rsidRPr="000309F2" w14:paraId="065AC18B" w14:textId="77777777" w:rsidTr="0026214D">
        <w:trPr>
          <w:trHeight w:val="432"/>
        </w:trPr>
        <w:tc>
          <w:tcPr>
            <w:tcW w:w="555" w:type="pct"/>
            <w:noWrap/>
            <w:vAlign w:val="center"/>
            <w:hideMark/>
          </w:tcPr>
          <w:p w14:paraId="3CA5F791"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4</w:t>
            </w:r>
          </w:p>
        </w:tc>
        <w:tc>
          <w:tcPr>
            <w:tcW w:w="556" w:type="pct"/>
            <w:vAlign w:val="center"/>
            <w:hideMark/>
          </w:tcPr>
          <w:p w14:paraId="46174C25"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0.15</w:t>
            </w:r>
          </w:p>
        </w:tc>
        <w:tc>
          <w:tcPr>
            <w:tcW w:w="556" w:type="pct"/>
            <w:vAlign w:val="center"/>
            <w:hideMark/>
          </w:tcPr>
          <w:p w14:paraId="06D0F27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0.36</w:t>
            </w:r>
          </w:p>
        </w:tc>
        <w:tc>
          <w:tcPr>
            <w:tcW w:w="556" w:type="pct"/>
            <w:vAlign w:val="center"/>
            <w:hideMark/>
          </w:tcPr>
          <w:p w14:paraId="18F1D270"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-0.17</w:t>
            </w:r>
          </w:p>
        </w:tc>
        <w:tc>
          <w:tcPr>
            <w:tcW w:w="556" w:type="pct"/>
            <w:vAlign w:val="center"/>
            <w:hideMark/>
          </w:tcPr>
          <w:p w14:paraId="1022D00F"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0.47</w:t>
            </w:r>
          </w:p>
        </w:tc>
        <w:tc>
          <w:tcPr>
            <w:tcW w:w="556" w:type="pct"/>
            <w:vAlign w:val="center"/>
            <w:hideMark/>
          </w:tcPr>
          <w:p w14:paraId="229479DC"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0.28</w:t>
            </w:r>
          </w:p>
        </w:tc>
        <w:tc>
          <w:tcPr>
            <w:tcW w:w="556" w:type="pct"/>
            <w:vAlign w:val="center"/>
            <w:hideMark/>
          </w:tcPr>
          <w:p w14:paraId="3513BF6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75.85</w:t>
            </w:r>
          </w:p>
        </w:tc>
        <w:tc>
          <w:tcPr>
            <w:tcW w:w="556" w:type="pct"/>
            <w:vAlign w:val="center"/>
            <w:hideMark/>
          </w:tcPr>
          <w:p w14:paraId="51A3452F"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0.50</w:t>
            </w:r>
          </w:p>
        </w:tc>
        <w:tc>
          <w:tcPr>
            <w:tcW w:w="553" w:type="pct"/>
            <w:vAlign w:val="center"/>
            <w:hideMark/>
          </w:tcPr>
          <w:p w14:paraId="7FA209B1"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0.02</w:t>
            </w:r>
          </w:p>
        </w:tc>
      </w:tr>
      <w:tr w:rsidR="00B25BDD" w:rsidRPr="000309F2" w14:paraId="1B0FA13E" w14:textId="77777777" w:rsidTr="0026214D">
        <w:trPr>
          <w:trHeight w:val="432"/>
        </w:trPr>
        <w:tc>
          <w:tcPr>
            <w:tcW w:w="555" w:type="pct"/>
            <w:noWrap/>
            <w:vAlign w:val="center"/>
            <w:hideMark/>
          </w:tcPr>
          <w:p w14:paraId="62BF96E2"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5</w:t>
            </w:r>
          </w:p>
        </w:tc>
        <w:tc>
          <w:tcPr>
            <w:tcW w:w="556" w:type="pct"/>
            <w:vAlign w:val="center"/>
            <w:hideMark/>
          </w:tcPr>
          <w:p w14:paraId="6B0C4E71"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0.14</w:t>
            </w:r>
          </w:p>
        </w:tc>
        <w:tc>
          <w:tcPr>
            <w:tcW w:w="556" w:type="pct"/>
            <w:vAlign w:val="center"/>
            <w:hideMark/>
          </w:tcPr>
          <w:p w14:paraId="522A25EF"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0.38</w:t>
            </w:r>
          </w:p>
        </w:tc>
        <w:tc>
          <w:tcPr>
            <w:tcW w:w="556" w:type="pct"/>
            <w:vAlign w:val="center"/>
            <w:hideMark/>
          </w:tcPr>
          <w:p w14:paraId="35FE166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-0.18</w:t>
            </w:r>
          </w:p>
        </w:tc>
        <w:tc>
          <w:tcPr>
            <w:tcW w:w="556" w:type="pct"/>
            <w:vAlign w:val="center"/>
            <w:hideMark/>
          </w:tcPr>
          <w:p w14:paraId="6FAEE37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0.47</w:t>
            </w:r>
          </w:p>
        </w:tc>
        <w:tc>
          <w:tcPr>
            <w:tcW w:w="556" w:type="pct"/>
            <w:vAlign w:val="center"/>
            <w:hideMark/>
          </w:tcPr>
          <w:p w14:paraId="2359D302"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0.28</w:t>
            </w:r>
          </w:p>
        </w:tc>
        <w:tc>
          <w:tcPr>
            <w:tcW w:w="556" w:type="pct"/>
            <w:vAlign w:val="center"/>
            <w:hideMark/>
          </w:tcPr>
          <w:p w14:paraId="4800A7CD"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74.32</w:t>
            </w:r>
          </w:p>
        </w:tc>
        <w:tc>
          <w:tcPr>
            <w:tcW w:w="556" w:type="pct"/>
            <w:vAlign w:val="center"/>
            <w:hideMark/>
          </w:tcPr>
          <w:p w14:paraId="5C324687"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0.59</w:t>
            </w:r>
          </w:p>
        </w:tc>
        <w:tc>
          <w:tcPr>
            <w:tcW w:w="553" w:type="pct"/>
            <w:vAlign w:val="center"/>
            <w:hideMark/>
          </w:tcPr>
          <w:p w14:paraId="0FC887D5"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0.03</w:t>
            </w:r>
          </w:p>
        </w:tc>
      </w:tr>
      <w:tr w:rsidR="00B25BDD" w:rsidRPr="000309F2" w14:paraId="294CF3A9" w14:textId="77777777" w:rsidTr="0026214D">
        <w:trPr>
          <w:trHeight w:val="432"/>
        </w:trPr>
        <w:tc>
          <w:tcPr>
            <w:tcW w:w="555" w:type="pct"/>
            <w:noWrap/>
            <w:vAlign w:val="center"/>
            <w:hideMark/>
          </w:tcPr>
          <w:p w14:paraId="41A9771A"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6</w:t>
            </w:r>
          </w:p>
        </w:tc>
        <w:tc>
          <w:tcPr>
            <w:tcW w:w="556" w:type="pct"/>
            <w:vAlign w:val="center"/>
            <w:hideMark/>
          </w:tcPr>
          <w:p w14:paraId="1D4B076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0.15</w:t>
            </w:r>
          </w:p>
        </w:tc>
        <w:tc>
          <w:tcPr>
            <w:tcW w:w="556" w:type="pct"/>
            <w:vAlign w:val="center"/>
            <w:hideMark/>
          </w:tcPr>
          <w:p w14:paraId="62679D8F"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0.37</w:t>
            </w:r>
          </w:p>
        </w:tc>
        <w:tc>
          <w:tcPr>
            <w:tcW w:w="556" w:type="pct"/>
            <w:vAlign w:val="center"/>
            <w:hideMark/>
          </w:tcPr>
          <w:p w14:paraId="3C14580F"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-0.17</w:t>
            </w:r>
          </w:p>
        </w:tc>
        <w:tc>
          <w:tcPr>
            <w:tcW w:w="556" w:type="pct"/>
            <w:vAlign w:val="center"/>
            <w:hideMark/>
          </w:tcPr>
          <w:p w14:paraId="7382FA82"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0.47</w:t>
            </w:r>
          </w:p>
        </w:tc>
        <w:tc>
          <w:tcPr>
            <w:tcW w:w="556" w:type="pct"/>
            <w:vAlign w:val="center"/>
            <w:hideMark/>
          </w:tcPr>
          <w:p w14:paraId="02D13CE0"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0.28</w:t>
            </w:r>
          </w:p>
        </w:tc>
        <w:tc>
          <w:tcPr>
            <w:tcW w:w="556" w:type="pct"/>
            <w:vAlign w:val="center"/>
            <w:hideMark/>
          </w:tcPr>
          <w:p w14:paraId="3019035D"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74.61</w:t>
            </w:r>
          </w:p>
        </w:tc>
        <w:tc>
          <w:tcPr>
            <w:tcW w:w="556" w:type="pct"/>
            <w:vAlign w:val="center"/>
            <w:hideMark/>
          </w:tcPr>
          <w:p w14:paraId="4AA2E42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0.47</w:t>
            </w:r>
          </w:p>
        </w:tc>
        <w:tc>
          <w:tcPr>
            <w:tcW w:w="553" w:type="pct"/>
            <w:vAlign w:val="center"/>
            <w:hideMark/>
          </w:tcPr>
          <w:p w14:paraId="66175CB8"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0.02</w:t>
            </w:r>
          </w:p>
        </w:tc>
      </w:tr>
      <w:tr w:rsidR="00B25BDD" w:rsidRPr="000309F2" w14:paraId="2D352090" w14:textId="77777777" w:rsidTr="0026214D">
        <w:trPr>
          <w:trHeight w:val="432"/>
        </w:trPr>
        <w:tc>
          <w:tcPr>
            <w:tcW w:w="555" w:type="pct"/>
            <w:noWrap/>
            <w:vAlign w:val="center"/>
            <w:hideMark/>
          </w:tcPr>
          <w:p w14:paraId="082C54B1"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7</w:t>
            </w:r>
          </w:p>
        </w:tc>
        <w:tc>
          <w:tcPr>
            <w:tcW w:w="556" w:type="pct"/>
            <w:vAlign w:val="center"/>
            <w:hideMark/>
          </w:tcPr>
          <w:p w14:paraId="27B9C9E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0.24</w:t>
            </w:r>
          </w:p>
        </w:tc>
        <w:tc>
          <w:tcPr>
            <w:tcW w:w="556" w:type="pct"/>
            <w:vAlign w:val="center"/>
            <w:hideMark/>
          </w:tcPr>
          <w:p w14:paraId="1D83F80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0.10</w:t>
            </w:r>
          </w:p>
        </w:tc>
        <w:tc>
          <w:tcPr>
            <w:tcW w:w="556" w:type="pct"/>
            <w:vAlign w:val="center"/>
            <w:hideMark/>
          </w:tcPr>
          <w:p w14:paraId="6ACE7B68"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-0.04</w:t>
            </w:r>
          </w:p>
        </w:tc>
        <w:tc>
          <w:tcPr>
            <w:tcW w:w="556" w:type="pct"/>
            <w:vAlign w:val="center"/>
            <w:hideMark/>
          </w:tcPr>
          <w:p w14:paraId="0E612957"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0.53</w:t>
            </w:r>
          </w:p>
        </w:tc>
        <w:tc>
          <w:tcPr>
            <w:tcW w:w="556" w:type="pct"/>
            <w:vAlign w:val="center"/>
            <w:hideMark/>
          </w:tcPr>
          <w:p w14:paraId="407B9917"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0.20</w:t>
            </w:r>
          </w:p>
        </w:tc>
        <w:tc>
          <w:tcPr>
            <w:tcW w:w="556" w:type="pct"/>
            <w:vAlign w:val="center"/>
            <w:hideMark/>
          </w:tcPr>
          <w:p w14:paraId="60ACE0D1"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69.06</w:t>
            </w:r>
          </w:p>
        </w:tc>
        <w:tc>
          <w:tcPr>
            <w:tcW w:w="556" w:type="pct"/>
            <w:vAlign w:val="center"/>
            <w:hideMark/>
          </w:tcPr>
          <w:p w14:paraId="6339AD7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-1.84</w:t>
            </w:r>
          </w:p>
        </w:tc>
        <w:tc>
          <w:tcPr>
            <w:tcW w:w="553" w:type="pct"/>
            <w:vAlign w:val="center"/>
            <w:hideMark/>
          </w:tcPr>
          <w:p w14:paraId="36C135AE"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0.20</w:t>
            </w:r>
          </w:p>
        </w:tc>
      </w:tr>
      <w:tr w:rsidR="00B25BDD" w:rsidRPr="000309F2" w14:paraId="67A9366B" w14:textId="77777777" w:rsidTr="0026214D">
        <w:trPr>
          <w:trHeight w:val="432"/>
        </w:trPr>
        <w:tc>
          <w:tcPr>
            <w:tcW w:w="555" w:type="pct"/>
            <w:noWrap/>
            <w:vAlign w:val="center"/>
            <w:hideMark/>
          </w:tcPr>
          <w:p w14:paraId="6A2F11AC"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8</w:t>
            </w:r>
          </w:p>
        </w:tc>
        <w:tc>
          <w:tcPr>
            <w:tcW w:w="556" w:type="pct"/>
            <w:vAlign w:val="center"/>
            <w:hideMark/>
          </w:tcPr>
          <w:p w14:paraId="2AC5D9C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0.23</w:t>
            </w:r>
          </w:p>
        </w:tc>
        <w:tc>
          <w:tcPr>
            <w:tcW w:w="556" w:type="pct"/>
            <w:vAlign w:val="center"/>
            <w:hideMark/>
          </w:tcPr>
          <w:p w14:paraId="033FE55C"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0.12</w:t>
            </w:r>
          </w:p>
        </w:tc>
        <w:tc>
          <w:tcPr>
            <w:tcW w:w="556" w:type="pct"/>
            <w:vAlign w:val="center"/>
            <w:hideMark/>
          </w:tcPr>
          <w:p w14:paraId="454EB3E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-0.06</w:t>
            </w:r>
          </w:p>
        </w:tc>
        <w:tc>
          <w:tcPr>
            <w:tcW w:w="556" w:type="pct"/>
            <w:vAlign w:val="center"/>
            <w:hideMark/>
          </w:tcPr>
          <w:p w14:paraId="775817E1"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0.53</w:t>
            </w:r>
          </w:p>
        </w:tc>
        <w:tc>
          <w:tcPr>
            <w:tcW w:w="556" w:type="pct"/>
            <w:vAlign w:val="center"/>
            <w:hideMark/>
          </w:tcPr>
          <w:p w14:paraId="099912B8"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0.22</w:t>
            </w:r>
          </w:p>
        </w:tc>
        <w:tc>
          <w:tcPr>
            <w:tcW w:w="556" w:type="pct"/>
            <w:vAlign w:val="center"/>
            <w:hideMark/>
          </w:tcPr>
          <w:p w14:paraId="506FD99C"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71.10</w:t>
            </w:r>
          </w:p>
        </w:tc>
        <w:tc>
          <w:tcPr>
            <w:tcW w:w="556" w:type="pct"/>
            <w:vAlign w:val="center"/>
            <w:hideMark/>
          </w:tcPr>
          <w:p w14:paraId="6DFC1B6C"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-1.55</w:t>
            </w:r>
          </w:p>
        </w:tc>
        <w:tc>
          <w:tcPr>
            <w:tcW w:w="553" w:type="pct"/>
            <w:vAlign w:val="center"/>
            <w:hideMark/>
          </w:tcPr>
          <w:p w14:paraId="7BB4F1B2"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0.16</w:t>
            </w:r>
          </w:p>
        </w:tc>
      </w:tr>
      <w:tr w:rsidR="00B25BDD" w:rsidRPr="000309F2" w14:paraId="78DAA925" w14:textId="77777777" w:rsidTr="0026214D">
        <w:trPr>
          <w:trHeight w:val="432"/>
        </w:trPr>
        <w:tc>
          <w:tcPr>
            <w:tcW w:w="555" w:type="pct"/>
            <w:noWrap/>
            <w:vAlign w:val="center"/>
            <w:hideMark/>
          </w:tcPr>
          <w:p w14:paraId="61999158"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9</w:t>
            </w:r>
          </w:p>
        </w:tc>
        <w:tc>
          <w:tcPr>
            <w:tcW w:w="556" w:type="pct"/>
            <w:vAlign w:val="center"/>
            <w:hideMark/>
          </w:tcPr>
          <w:p w14:paraId="5B69BB1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0.19</w:t>
            </w:r>
          </w:p>
        </w:tc>
        <w:tc>
          <w:tcPr>
            <w:tcW w:w="556" w:type="pct"/>
            <w:vAlign w:val="center"/>
            <w:hideMark/>
          </w:tcPr>
          <w:p w14:paraId="023ACD81"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0.24</w:t>
            </w:r>
          </w:p>
        </w:tc>
        <w:tc>
          <w:tcPr>
            <w:tcW w:w="556" w:type="pct"/>
            <w:vAlign w:val="center"/>
            <w:hideMark/>
          </w:tcPr>
          <w:p w14:paraId="24EA7C2C"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-0.13</w:t>
            </w:r>
          </w:p>
        </w:tc>
        <w:tc>
          <w:tcPr>
            <w:tcW w:w="556" w:type="pct"/>
            <w:vAlign w:val="center"/>
            <w:hideMark/>
          </w:tcPr>
          <w:p w14:paraId="52AA613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0.51</w:t>
            </w:r>
          </w:p>
        </w:tc>
        <w:tc>
          <w:tcPr>
            <w:tcW w:w="556" w:type="pct"/>
            <w:vAlign w:val="center"/>
            <w:hideMark/>
          </w:tcPr>
          <w:p w14:paraId="6D5FE1B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0.28</w:t>
            </w:r>
          </w:p>
        </w:tc>
        <w:tc>
          <w:tcPr>
            <w:tcW w:w="556" w:type="pct"/>
            <w:vAlign w:val="center"/>
            <w:hideMark/>
          </w:tcPr>
          <w:p w14:paraId="1263949C"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76.01</w:t>
            </w:r>
          </w:p>
        </w:tc>
        <w:tc>
          <w:tcPr>
            <w:tcW w:w="556" w:type="pct"/>
            <w:vAlign w:val="center"/>
            <w:hideMark/>
          </w:tcPr>
          <w:p w14:paraId="1148D7D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-0.49</w:t>
            </w:r>
          </w:p>
        </w:tc>
        <w:tc>
          <w:tcPr>
            <w:tcW w:w="553" w:type="pct"/>
            <w:vAlign w:val="center"/>
            <w:hideMark/>
          </w:tcPr>
          <w:p w14:paraId="328D7BFF"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0.02</w:t>
            </w:r>
          </w:p>
        </w:tc>
      </w:tr>
      <w:tr w:rsidR="00B25BDD" w:rsidRPr="000309F2" w14:paraId="21D6B2F8" w14:textId="77777777" w:rsidTr="0026214D">
        <w:trPr>
          <w:trHeight w:val="432"/>
        </w:trPr>
        <w:tc>
          <w:tcPr>
            <w:tcW w:w="555" w:type="pct"/>
            <w:noWrap/>
            <w:vAlign w:val="center"/>
            <w:hideMark/>
          </w:tcPr>
          <w:p w14:paraId="7797E387"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10</w:t>
            </w:r>
          </w:p>
        </w:tc>
        <w:tc>
          <w:tcPr>
            <w:tcW w:w="556" w:type="pct"/>
            <w:vAlign w:val="center"/>
            <w:hideMark/>
          </w:tcPr>
          <w:p w14:paraId="1900B23F"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0.24</w:t>
            </w:r>
          </w:p>
        </w:tc>
        <w:tc>
          <w:tcPr>
            <w:tcW w:w="556" w:type="pct"/>
            <w:vAlign w:val="center"/>
            <w:hideMark/>
          </w:tcPr>
          <w:p w14:paraId="4AC2ECA2"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0.11</w:t>
            </w:r>
          </w:p>
        </w:tc>
        <w:tc>
          <w:tcPr>
            <w:tcW w:w="556" w:type="pct"/>
            <w:vAlign w:val="center"/>
            <w:hideMark/>
          </w:tcPr>
          <w:p w14:paraId="32FCE33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-0.05</w:t>
            </w:r>
          </w:p>
        </w:tc>
        <w:tc>
          <w:tcPr>
            <w:tcW w:w="556" w:type="pct"/>
            <w:vAlign w:val="center"/>
            <w:hideMark/>
          </w:tcPr>
          <w:p w14:paraId="2AA558B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0.52</w:t>
            </w:r>
          </w:p>
        </w:tc>
        <w:tc>
          <w:tcPr>
            <w:tcW w:w="556" w:type="pct"/>
            <w:vAlign w:val="center"/>
            <w:hideMark/>
          </w:tcPr>
          <w:p w14:paraId="24497D5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0.21</w:t>
            </w:r>
          </w:p>
        </w:tc>
        <w:tc>
          <w:tcPr>
            <w:tcW w:w="556" w:type="pct"/>
            <w:vAlign w:val="center"/>
            <w:hideMark/>
          </w:tcPr>
          <w:p w14:paraId="325A14B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70.38</w:t>
            </w:r>
          </w:p>
        </w:tc>
        <w:tc>
          <w:tcPr>
            <w:tcW w:w="556" w:type="pct"/>
            <w:vAlign w:val="center"/>
            <w:hideMark/>
          </w:tcPr>
          <w:p w14:paraId="44D8E34E"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-1.84</w:t>
            </w:r>
          </w:p>
        </w:tc>
        <w:tc>
          <w:tcPr>
            <w:tcW w:w="553" w:type="pct"/>
            <w:vAlign w:val="center"/>
            <w:hideMark/>
          </w:tcPr>
          <w:p w14:paraId="4F94FDB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0.18</w:t>
            </w:r>
          </w:p>
        </w:tc>
      </w:tr>
      <w:tr w:rsidR="00B25BDD" w:rsidRPr="000309F2" w14:paraId="4E816942" w14:textId="77777777" w:rsidTr="0026214D">
        <w:trPr>
          <w:trHeight w:val="432"/>
        </w:trPr>
        <w:tc>
          <w:tcPr>
            <w:tcW w:w="555" w:type="pct"/>
            <w:noWrap/>
            <w:vAlign w:val="center"/>
            <w:hideMark/>
          </w:tcPr>
          <w:p w14:paraId="449CAB3C"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11</w:t>
            </w:r>
          </w:p>
        </w:tc>
        <w:tc>
          <w:tcPr>
            <w:tcW w:w="556" w:type="pct"/>
            <w:vAlign w:val="center"/>
            <w:hideMark/>
          </w:tcPr>
          <w:p w14:paraId="49620027"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0.14</w:t>
            </w:r>
          </w:p>
        </w:tc>
        <w:tc>
          <w:tcPr>
            <w:tcW w:w="556" w:type="pct"/>
            <w:vAlign w:val="center"/>
            <w:hideMark/>
          </w:tcPr>
          <w:p w14:paraId="4FACAC7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0.39</w:t>
            </w:r>
          </w:p>
        </w:tc>
        <w:tc>
          <w:tcPr>
            <w:tcW w:w="556" w:type="pct"/>
            <w:vAlign w:val="center"/>
            <w:hideMark/>
          </w:tcPr>
          <w:p w14:paraId="2E6111F8"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-0.18</w:t>
            </w:r>
          </w:p>
        </w:tc>
        <w:tc>
          <w:tcPr>
            <w:tcW w:w="556" w:type="pct"/>
            <w:vAlign w:val="center"/>
            <w:hideMark/>
          </w:tcPr>
          <w:p w14:paraId="5CFB2E8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0.45</w:t>
            </w:r>
          </w:p>
        </w:tc>
        <w:tc>
          <w:tcPr>
            <w:tcW w:w="556" w:type="pct"/>
            <w:vAlign w:val="center"/>
            <w:hideMark/>
          </w:tcPr>
          <w:p w14:paraId="2B3516A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0.26</w:t>
            </w:r>
          </w:p>
        </w:tc>
        <w:tc>
          <w:tcPr>
            <w:tcW w:w="556" w:type="pct"/>
            <w:vAlign w:val="center"/>
            <w:hideMark/>
          </w:tcPr>
          <w:p w14:paraId="2EB22F07"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75.07</w:t>
            </w:r>
          </w:p>
        </w:tc>
        <w:tc>
          <w:tcPr>
            <w:tcW w:w="556" w:type="pct"/>
            <w:vAlign w:val="center"/>
            <w:hideMark/>
          </w:tcPr>
          <w:p w14:paraId="04C2E1C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0.87</w:t>
            </w:r>
          </w:p>
        </w:tc>
        <w:tc>
          <w:tcPr>
            <w:tcW w:w="553" w:type="pct"/>
            <w:vAlign w:val="center"/>
            <w:hideMark/>
          </w:tcPr>
          <w:p w14:paraId="435C7F0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0.05</w:t>
            </w:r>
          </w:p>
        </w:tc>
      </w:tr>
      <w:tr w:rsidR="00B25BDD" w:rsidRPr="000309F2" w14:paraId="636F2BE8" w14:textId="77777777" w:rsidTr="0026214D">
        <w:trPr>
          <w:trHeight w:val="432"/>
        </w:trPr>
        <w:tc>
          <w:tcPr>
            <w:tcW w:w="555" w:type="pct"/>
            <w:noWrap/>
            <w:vAlign w:val="center"/>
            <w:hideMark/>
          </w:tcPr>
          <w:p w14:paraId="55AFFAA4"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12</w:t>
            </w:r>
          </w:p>
        </w:tc>
        <w:tc>
          <w:tcPr>
            <w:tcW w:w="556" w:type="pct"/>
            <w:vAlign w:val="center"/>
            <w:hideMark/>
          </w:tcPr>
          <w:p w14:paraId="5B2F5478"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0.10</w:t>
            </w:r>
          </w:p>
        </w:tc>
        <w:tc>
          <w:tcPr>
            <w:tcW w:w="556" w:type="pct"/>
            <w:vAlign w:val="center"/>
            <w:hideMark/>
          </w:tcPr>
          <w:p w14:paraId="41C8793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0.48</w:t>
            </w:r>
          </w:p>
        </w:tc>
        <w:tc>
          <w:tcPr>
            <w:tcW w:w="556" w:type="pct"/>
            <w:vAlign w:val="center"/>
            <w:hideMark/>
          </w:tcPr>
          <w:p w14:paraId="42DE922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-0.18</w:t>
            </w:r>
          </w:p>
        </w:tc>
        <w:tc>
          <w:tcPr>
            <w:tcW w:w="556" w:type="pct"/>
            <w:vAlign w:val="center"/>
            <w:hideMark/>
          </w:tcPr>
          <w:p w14:paraId="6F9A19A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0.38</w:t>
            </w:r>
          </w:p>
        </w:tc>
        <w:tc>
          <w:tcPr>
            <w:tcW w:w="556" w:type="pct"/>
            <w:vAlign w:val="center"/>
            <w:hideMark/>
          </w:tcPr>
          <w:p w14:paraId="05D788BF"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0.19</w:t>
            </w:r>
          </w:p>
        </w:tc>
        <w:tc>
          <w:tcPr>
            <w:tcW w:w="556" w:type="pct"/>
            <w:vAlign w:val="center"/>
            <w:hideMark/>
          </w:tcPr>
          <w:p w14:paraId="38A5AFC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69.26</w:t>
            </w:r>
          </w:p>
        </w:tc>
        <w:tc>
          <w:tcPr>
            <w:tcW w:w="556" w:type="pct"/>
            <w:vAlign w:val="center"/>
            <w:hideMark/>
          </w:tcPr>
          <w:p w14:paraId="4755151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2.04</w:t>
            </w:r>
          </w:p>
        </w:tc>
        <w:tc>
          <w:tcPr>
            <w:tcW w:w="553" w:type="pct"/>
            <w:vAlign w:val="center"/>
            <w:hideMark/>
          </w:tcPr>
          <w:p w14:paraId="2617359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0.21</w:t>
            </w:r>
          </w:p>
        </w:tc>
      </w:tr>
      <w:tr w:rsidR="00B25BDD" w:rsidRPr="000309F2" w14:paraId="0A690A23" w14:textId="77777777" w:rsidTr="0026214D">
        <w:trPr>
          <w:trHeight w:val="432"/>
        </w:trPr>
        <w:tc>
          <w:tcPr>
            <w:tcW w:w="555" w:type="pct"/>
            <w:noWrap/>
            <w:vAlign w:val="center"/>
            <w:hideMark/>
          </w:tcPr>
          <w:p w14:paraId="3AF44583"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13</w:t>
            </w:r>
          </w:p>
        </w:tc>
        <w:tc>
          <w:tcPr>
            <w:tcW w:w="556" w:type="pct"/>
            <w:vAlign w:val="center"/>
            <w:hideMark/>
          </w:tcPr>
          <w:p w14:paraId="481B917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0.19</w:t>
            </w:r>
          </w:p>
        </w:tc>
        <w:tc>
          <w:tcPr>
            <w:tcW w:w="556" w:type="pct"/>
            <w:vAlign w:val="center"/>
            <w:hideMark/>
          </w:tcPr>
          <w:p w14:paraId="64A7C0F7"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0.26</w:t>
            </w:r>
          </w:p>
        </w:tc>
        <w:tc>
          <w:tcPr>
            <w:tcW w:w="556" w:type="pct"/>
            <w:vAlign w:val="center"/>
            <w:hideMark/>
          </w:tcPr>
          <w:p w14:paraId="12A2BBEB"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-0.14</w:t>
            </w:r>
          </w:p>
        </w:tc>
        <w:tc>
          <w:tcPr>
            <w:tcW w:w="556" w:type="pct"/>
            <w:vAlign w:val="center"/>
            <w:hideMark/>
          </w:tcPr>
          <w:p w14:paraId="080FE75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0.51</w:t>
            </w:r>
          </w:p>
        </w:tc>
        <w:tc>
          <w:tcPr>
            <w:tcW w:w="556" w:type="pct"/>
            <w:vAlign w:val="center"/>
            <w:hideMark/>
          </w:tcPr>
          <w:p w14:paraId="652A943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0.28</w:t>
            </w:r>
          </w:p>
        </w:tc>
        <w:tc>
          <w:tcPr>
            <w:tcW w:w="556" w:type="pct"/>
            <w:vAlign w:val="center"/>
            <w:hideMark/>
          </w:tcPr>
          <w:p w14:paraId="2D854193"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75.86</w:t>
            </w:r>
          </w:p>
        </w:tc>
        <w:tc>
          <w:tcPr>
            <w:tcW w:w="556" w:type="pct"/>
            <w:vAlign w:val="center"/>
            <w:hideMark/>
          </w:tcPr>
          <w:p w14:paraId="6C316956"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-0.37</w:t>
            </w:r>
          </w:p>
        </w:tc>
        <w:tc>
          <w:tcPr>
            <w:tcW w:w="553" w:type="pct"/>
            <w:vAlign w:val="center"/>
            <w:hideMark/>
          </w:tcPr>
          <w:p w14:paraId="3EA2E647"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0.01</w:t>
            </w:r>
          </w:p>
        </w:tc>
      </w:tr>
      <w:tr w:rsidR="00B25BDD" w:rsidRPr="000309F2" w14:paraId="4F992F7D" w14:textId="77777777" w:rsidTr="0026214D">
        <w:trPr>
          <w:trHeight w:val="432"/>
        </w:trPr>
        <w:tc>
          <w:tcPr>
            <w:tcW w:w="555" w:type="pct"/>
            <w:noWrap/>
            <w:vAlign w:val="center"/>
            <w:hideMark/>
          </w:tcPr>
          <w:p w14:paraId="7AB69A1B"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14</w:t>
            </w:r>
          </w:p>
        </w:tc>
        <w:tc>
          <w:tcPr>
            <w:tcW w:w="556" w:type="pct"/>
            <w:vAlign w:val="center"/>
            <w:hideMark/>
          </w:tcPr>
          <w:p w14:paraId="4A430341"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0.17</w:t>
            </w:r>
          </w:p>
        </w:tc>
        <w:tc>
          <w:tcPr>
            <w:tcW w:w="556" w:type="pct"/>
            <w:vAlign w:val="center"/>
            <w:hideMark/>
          </w:tcPr>
          <w:p w14:paraId="07E0C1CA"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0.29</w:t>
            </w:r>
          </w:p>
        </w:tc>
        <w:tc>
          <w:tcPr>
            <w:tcW w:w="556" w:type="pct"/>
            <w:vAlign w:val="center"/>
            <w:hideMark/>
          </w:tcPr>
          <w:p w14:paraId="54770872"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-0.15</w:t>
            </w:r>
          </w:p>
        </w:tc>
        <w:tc>
          <w:tcPr>
            <w:tcW w:w="556" w:type="pct"/>
            <w:vAlign w:val="center"/>
            <w:hideMark/>
          </w:tcPr>
          <w:p w14:paraId="758BE1BD"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0.50</w:t>
            </w:r>
          </w:p>
        </w:tc>
        <w:tc>
          <w:tcPr>
            <w:tcW w:w="556" w:type="pct"/>
            <w:vAlign w:val="center"/>
            <w:hideMark/>
          </w:tcPr>
          <w:p w14:paraId="1260182F"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0.29</w:t>
            </w:r>
          </w:p>
        </w:tc>
        <w:tc>
          <w:tcPr>
            <w:tcW w:w="556" w:type="pct"/>
            <w:vAlign w:val="center"/>
            <w:hideMark/>
          </w:tcPr>
          <w:p w14:paraId="0B8C74C1"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76.21</w:t>
            </w:r>
          </w:p>
        </w:tc>
        <w:tc>
          <w:tcPr>
            <w:tcW w:w="556" w:type="pct"/>
            <w:vAlign w:val="center"/>
            <w:hideMark/>
          </w:tcPr>
          <w:p w14:paraId="2667D400"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-0.07</w:t>
            </w:r>
          </w:p>
        </w:tc>
        <w:tc>
          <w:tcPr>
            <w:tcW w:w="553" w:type="pct"/>
            <w:vAlign w:val="center"/>
            <w:hideMark/>
          </w:tcPr>
          <w:p w14:paraId="783CCD3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0.00</w:t>
            </w:r>
          </w:p>
        </w:tc>
      </w:tr>
      <w:tr w:rsidR="00B25BDD" w:rsidRPr="000309F2" w14:paraId="7EDE1B3A" w14:textId="77777777" w:rsidTr="00126314">
        <w:trPr>
          <w:trHeight w:val="432"/>
        </w:trPr>
        <w:tc>
          <w:tcPr>
            <w:tcW w:w="555" w:type="pct"/>
            <w:tcBorders>
              <w:bottom w:val="single" w:sz="6" w:space="0" w:color="auto"/>
            </w:tcBorders>
            <w:noWrap/>
            <w:vAlign w:val="center"/>
            <w:hideMark/>
          </w:tcPr>
          <w:p w14:paraId="42BFA1F5" w14:textId="77777777" w:rsidR="0006494C" w:rsidRPr="000309F2" w:rsidRDefault="0006494C" w:rsidP="0006494C">
            <w:pPr>
              <w:spacing w:after="0" w:line="240" w:lineRule="auto"/>
              <w:jc w:val="left"/>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15</w:t>
            </w:r>
          </w:p>
        </w:tc>
        <w:tc>
          <w:tcPr>
            <w:tcW w:w="556" w:type="pct"/>
            <w:tcBorders>
              <w:bottom w:val="single" w:sz="6" w:space="0" w:color="auto"/>
            </w:tcBorders>
            <w:vAlign w:val="center"/>
            <w:hideMark/>
          </w:tcPr>
          <w:p w14:paraId="4CB4FBC9"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0.19</w:t>
            </w:r>
          </w:p>
        </w:tc>
        <w:tc>
          <w:tcPr>
            <w:tcW w:w="556" w:type="pct"/>
            <w:tcBorders>
              <w:bottom w:val="single" w:sz="6" w:space="0" w:color="auto"/>
            </w:tcBorders>
            <w:vAlign w:val="center"/>
            <w:hideMark/>
          </w:tcPr>
          <w:p w14:paraId="562C284F"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0.25</w:t>
            </w:r>
          </w:p>
        </w:tc>
        <w:tc>
          <w:tcPr>
            <w:tcW w:w="556" w:type="pct"/>
            <w:tcBorders>
              <w:bottom w:val="single" w:sz="6" w:space="0" w:color="auto"/>
            </w:tcBorders>
            <w:vAlign w:val="center"/>
            <w:hideMark/>
          </w:tcPr>
          <w:p w14:paraId="771333D1"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-0.13</w:t>
            </w:r>
          </w:p>
        </w:tc>
        <w:tc>
          <w:tcPr>
            <w:tcW w:w="556" w:type="pct"/>
            <w:tcBorders>
              <w:bottom w:val="single" w:sz="6" w:space="0" w:color="auto"/>
            </w:tcBorders>
            <w:vAlign w:val="center"/>
            <w:hideMark/>
          </w:tcPr>
          <w:p w14:paraId="36B7BFF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0.51</w:t>
            </w:r>
          </w:p>
        </w:tc>
        <w:tc>
          <w:tcPr>
            <w:tcW w:w="556" w:type="pct"/>
            <w:tcBorders>
              <w:bottom w:val="single" w:sz="6" w:space="0" w:color="auto"/>
            </w:tcBorders>
            <w:vAlign w:val="center"/>
            <w:hideMark/>
          </w:tcPr>
          <w:p w14:paraId="424BC430"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0.28</w:t>
            </w:r>
          </w:p>
        </w:tc>
        <w:tc>
          <w:tcPr>
            <w:tcW w:w="556" w:type="pct"/>
            <w:tcBorders>
              <w:bottom w:val="single" w:sz="6" w:space="0" w:color="auto"/>
            </w:tcBorders>
            <w:vAlign w:val="center"/>
            <w:hideMark/>
          </w:tcPr>
          <w:p w14:paraId="6FB24964"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75.86</w:t>
            </w:r>
          </w:p>
        </w:tc>
        <w:tc>
          <w:tcPr>
            <w:tcW w:w="556" w:type="pct"/>
            <w:tcBorders>
              <w:bottom w:val="single" w:sz="6" w:space="0" w:color="auto"/>
            </w:tcBorders>
            <w:vAlign w:val="center"/>
            <w:hideMark/>
          </w:tcPr>
          <w:p w14:paraId="25B66702"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-0.42</w:t>
            </w:r>
          </w:p>
        </w:tc>
        <w:tc>
          <w:tcPr>
            <w:tcW w:w="553" w:type="pct"/>
            <w:tcBorders>
              <w:bottom w:val="single" w:sz="6" w:space="0" w:color="auto"/>
            </w:tcBorders>
            <w:vAlign w:val="center"/>
            <w:hideMark/>
          </w:tcPr>
          <w:p w14:paraId="619A7DEF" w14:textId="77777777" w:rsidR="0006494C" w:rsidRPr="000309F2" w:rsidRDefault="0006494C" w:rsidP="0006494C">
            <w:pPr>
              <w:spacing w:after="0" w:line="240" w:lineRule="auto"/>
              <w:jc w:val="center"/>
              <w:rPr>
                <w:rFonts w:ascii="Times New Roman" w:eastAsia="Times New Roman" w:hAnsi="Times New Roman" w:cs="Times New Roman"/>
                <w:color w:val="000000" w:themeColor="text1"/>
                <w:kern w:val="0"/>
                <w:sz w:val="20"/>
                <w:szCs w:val="20"/>
                <w:lang w:val="en-US" w:eastAsia="en-GB"/>
                <w14:ligatures w14:val="none"/>
              </w:rPr>
            </w:pPr>
            <w:r w:rsidRPr="000309F2">
              <w:rPr>
                <w:rFonts w:ascii="Times New Roman" w:eastAsia="Times New Roman" w:hAnsi="Times New Roman" w:cs="Times New Roman"/>
                <w:color w:val="000000" w:themeColor="text1"/>
                <w:kern w:val="0"/>
                <w:sz w:val="20"/>
                <w:szCs w:val="20"/>
                <w:lang w:val="en-US" w:eastAsia="en-GB"/>
                <w14:ligatures w14:val="none"/>
              </w:rPr>
              <w:t>0.01</w:t>
            </w:r>
          </w:p>
        </w:tc>
      </w:tr>
      <w:tr w:rsidR="00126314" w:rsidRPr="000309F2" w14:paraId="10E051F8" w14:textId="77777777" w:rsidTr="00126314">
        <w:trPr>
          <w:trHeight w:val="1983"/>
        </w:trPr>
        <w:tc>
          <w:tcPr>
            <w:tcW w:w="5000" w:type="pct"/>
            <w:gridSpan w:val="9"/>
            <w:tcBorders>
              <w:top w:val="single" w:sz="6" w:space="0" w:color="auto"/>
            </w:tcBorders>
            <w:noWrap/>
            <w:vAlign w:val="center"/>
          </w:tcPr>
          <w:p w14:paraId="3C78DCF5" w14:textId="77777777" w:rsidR="00126314" w:rsidRPr="000309F2" w:rsidRDefault="00126314" w:rsidP="00126314">
            <w:pPr>
              <w:spacing w:after="0" w:line="360" w:lineRule="auto"/>
              <w:jc w:val="left"/>
              <w:rPr>
                <w:rFonts w:ascii="Times New Roman" w:eastAsia="Aptos" w:hAnsi="Times New Roman" w:cs="Times New Roman"/>
                <w:noProof/>
                <w:color w:val="000000" w:themeColor="text1"/>
                <w:sz w:val="20"/>
                <w:szCs w:val="20"/>
                <w:lang w:val="en-US"/>
              </w:rPr>
            </w:pPr>
            <w:r w:rsidRPr="000309F2">
              <w:rPr>
                <w:rFonts w:ascii="Times New Roman" w:eastAsia="Aptos" w:hAnsi="Times New Roman" w:cs="Times New Roman"/>
                <w:i/>
                <w:iCs/>
                <w:noProof/>
                <w:color w:val="000000" w:themeColor="text1"/>
                <w:sz w:val="20"/>
                <w:szCs w:val="20"/>
                <w:lang w:val="en-US"/>
              </w:rPr>
              <w:t>Note</w:t>
            </w:r>
            <w:r w:rsidRPr="000309F2">
              <w:rPr>
                <w:rFonts w:ascii="Times New Roman" w:eastAsia="Aptos" w:hAnsi="Times New Roman" w:cs="Times New Roman"/>
                <w:noProof/>
                <w:color w:val="000000" w:themeColor="text1"/>
                <w:sz w:val="20"/>
                <w:szCs w:val="20"/>
                <w:lang w:val="en-US"/>
              </w:rPr>
              <w:t>. HF-rTMS: high frequency repetitive transcranial magnetic stimulation; Pval: p value; CI.lb: 95% confidence interval (lower bound); CI.ub: 95% confidence interval (upper bound); Tau2: tau squared value; I2: I squared value; Cook.d: cook distance; A-tDCS: anodal transcranial direct current stimulation; C-tDCS: cathodal transcranial direct current stimulation.</w:t>
            </w:r>
          </w:p>
          <w:p w14:paraId="37ECC222" w14:textId="31B3F292" w:rsidR="00126314" w:rsidRPr="000309F2" w:rsidRDefault="00126314" w:rsidP="00126314">
            <w:pPr>
              <w:spacing w:after="0" w:line="360" w:lineRule="auto"/>
              <w:jc w:val="left"/>
              <w:rPr>
                <w:rFonts w:ascii="Times New Roman" w:eastAsia="Aptos" w:hAnsi="Times New Roman" w:cs="Times New Roman"/>
                <w:noProof/>
                <w:color w:val="000000" w:themeColor="text1"/>
                <w:sz w:val="20"/>
                <w:szCs w:val="20"/>
                <w:lang w:val="en-US"/>
              </w:rPr>
            </w:pPr>
            <w:r w:rsidRPr="000309F2">
              <w:rPr>
                <w:rFonts w:ascii="Times New Roman" w:eastAsia="Aptos" w:hAnsi="Times New Roman" w:cs="Times New Roman"/>
                <w:noProof/>
                <w:color w:val="000000" w:themeColor="text1"/>
                <w:sz w:val="20"/>
                <w:szCs w:val="20"/>
                <w:vertAlign w:val="superscript"/>
                <w:lang w:val="en-US"/>
              </w:rPr>
              <w:t>*</w:t>
            </w:r>
            <w:r w:rsidRPr="000309F2">
              <w:rPr>
                <w:rFonts w:ascii="Times New Roman" w:eastAsia="Aptos" w:hAnsi="Times New Roman" w:cs="Times New Roman"/>
                <w:noProof/>
                <w:color w:val="000000" w:themeColor="text1"/>
                <w:sz w:val="20"/>
                <w:szCs w:val="20"/>
                <w:lang w:val="en-US"/>
              </w:rPr>
              <w:t xml:space="preserve"> indicating significant single-study influence on overall effects.</w:t>
            </w:r>
          </w:p>
        </w:tc>
      </w:tr>
    </w:tbl>
    <w:p w14:paraId="5E7F9A3B" w14:textId="77777777" w:rsidR="00F524E1" w:rsidRPr="000309F2" w:rsidRDefault="00F524E1" w:rsidP="0006494C">
      <w:pPr>
        <w:spacing w:after="0" w:line="480" w:lineRule="auto"/>
        <w:jc w:val="left"/>
        <w:rPr>
          <w:rFonts w:ascii="Times New Roman" w:eastAsia="Calibri" w:hAnsi="Times New Roman" w:cs="Times New Roman"/>
          <w:b/>
          <w:bCs/>
          <w:color w:val="000000" w:themeColor="text1"/>
          <w:lang w:val="en-US"/>
        </w:rPr>
      </w:pPr>
    </w:p>
    <w:p w14:paraId="7800BC03" w14:textId="77777777" w:rsidR="00F524E1" w:rsidRPr="000309F2" w:rsidRDefault="00F524E1" w:rsidP="0006494C">
      <w:pPr>
        <w:spacing w:after="0" w:line="480" w:lineRule="auto"/>
        <w:jc w:val="left"/>
        <w:rPr>
          <w:rFonts w:ascii="Times New Roman" w:eastAsia="Calibri" w:hAnsi="Times New Roman" w:cs="Times New Roman"/>
          <w:b/>
          <w:bCs/>
          <w:color w:val="000000" w:themeColor="text1"/>
          <w:lang w:val="en-US"/>
        </w:rPr>
      </w:pPr>
    </w:p>
    <w:p w14:paraId="46B4F8BC" w14:textId="02F28C76" w:rsidR="00F524E1" w:rsidRPr="000309F2" w:rsidRDefault="005A2464" w:rsidP="005A2464">
      <w:pPr>
        <w:spacing w:after="0" w:line="480" w:lineRule="auto"/>
        <w:jc w:val="left"/>
        <w:rPr>
          <w:rFonts w:ascii="Times New Roman" w:eastAsia="Aptos" w:hAnsi="Times New Roman" w:cs="Times New Roman"/>
          <w:i/>
          <w:iCs/>
          <w:color w:val="000000" w:themeColor="text1"/>
          <w:lang w:val="en-US"/>
        </w:rPr>
      </w:pPr>
      <w:r w:rsidRPr="000309F2">
        <w:rPr>
          <w:rFonts w:ascii="Times New Roman" w:eastAsia="Times New Roman" w:hAnsi="Times New Roman" w:cs="Times New Roman"/>
          <w:noProof/>
          <w:color w:val="000000" w:themeColor="text1"/>
          <w:kern w:val="0"/>
          <w:lang w:val="en-US" w:eastAsia="en-GB"/>
          <w14:ligatures w14:val="none"/>
        </w:rPr>
        <w:lastRenderedPageBreak/>
        <w:drawing>
          <wp:anchor distT="0" distB="0" distL="114300" distR="114300" simplePos="0" relativeHeight="251665408" behindDoc="0" locked="0" layoutInCell="1" allowOverlap="1" wp14:anchorId="6BED4674" wp14:editId="2E03452A">
            <wp:simplePos x="0" y="0"/>
            <wp:positionH relativeFrom="margin">
              <wp:align>left</wp:align>
            </wp:positionH>
            <wp:positionV relativeFrom="paragraph">
              <wp:posOffset>329897</wp:posOffset>
            </wp:positionV>
            <wp:extent cx="5723890" cy="2592705"/>
            <wp:effectExtent l="0" t="0" r="0" b="0"/>
            <wp:wrapTopAndBottom/>
            <wp:docPr id="3016818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81864" name="Picture 19"/>
                    <pic:cNvPicPr>
                      <a:picLocks noChangeAspect="1" noChangeArrowheads="1"/>
                    </pic:cNvPicPr>
                  </pic:nvPicPr>
                  <pic:blipFill rotWithShape="1">
                    <a:blip r:embed="rId9">
                      <a:extLst>
                        <a:ext uri="{96DAC541-7B7A-43D3-8B79-37D633B846F1}">
                          <asvg:svgBlip xmlns:asvg="http://schemas.microsoft.com/office/drawing/2016/SVG/main" r:embed="rId10"/>
                        </a:ext>
                      </a:extLst>
                    </a:blip>
                    <a:srcRect l="967" r="2273"/>
                    <a:stretch/>
                  </pic:blipFill>
                  <pic:spPr bwMode="auto">
                    <a:xfrm>
                      <a:off x="0" y="0"/>
                      <a:ext cx="5723890" cy="2592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3281" w:rsidRPr="000309F2">
        <w:rPr>
          <w:rFonts w:ascii="Times New Roman" w:eastAsia="Calibri" w:hAnsi="Times New Roman" w:cs="Times New Roman"/>
          <w:b/>
          <w:bCs/>
          <w:color w:val="000000" w:themeColor="text1"/>
          <w:lang w:val="en-US"/>
        </w:rPr>
        <w:t xml:space="preserve">Supplementary 6. </w:t>
      </w:r>
      <w:r w:rsidRPr="000309F2">
        <w:rPr>
          <w:rFonts w:ascii="Times New Roman" w:eastAsia="Calibri" w:hAnsi="Times New Roman" w:cs="Times New Roman"/>
          <w:i/>
          <w:iCs/>
          <w:color w:val="000000" w:themeColor="text1"/>
          <w:lang w:val="en-US"/>
        </w:rPr>
        <w:t>Baujat plots</w:t>
      </w:r>
    </w:p>
    <w:p w14:paraId="3EE82C03" w14:textId="09CCA9B8" w:rsidR="005A2464" w:rsidRPr="000309F2" w:rsidRDefault="005A2464" w:rsidP="005A2464">
      <w:pPr>
        <w:spacing w:before="120" w:after="120" w:line="360" w:lineRule="auto"/>
        <w:jc w:val="left"/>
        <w:rPr>
          <w:rFonts w:ascii="Times New Roman" w:eastAsia="Aptos" w:hAnsi="Times New Roman" w:cs="Times New Roman"/>
          <w:color w:val="000000" w:themeColor="text1"/>
          <w:kern w:val="0"/>
          <w:sz w:val="20"/>
          <w:szCs w:val="20"/>
          <w:lang w:val="en-US"/>
          <w14:ligatures w14:val="none"/>
        </w:rPr>
      </w:pPr>
      <w:r w:rsidRPr="000309F2">
        <w:rPr>
          <w:rFonts w:ascii="Times New Roman" w:eastAsia="Times New Roman" w:hAnsi="Times New Roman" w:cs="Times New Roman"/>
          <w:i/>
          <w:iCs/>
          <w:color w:val="000000" w:themeColor="text1"/>
          <w:kern w:val="0"/>
          <w:sz w:val="20"/>
          <w:szCs w:val="20"/>
          <w:lang w:val="en-US" w:eastAsia="en-GB"/>
          <w14:ligatures w14:val="none"/>
        </w:rPr>
        <w:t>Note.</w:t>
      </w:r>
      <w:r w:rsidRPr="000309F2">
        <w:rPr>
          <w:rFonts w:ascii="Times New Roman" w:eastAsia="Aptos" w:hAnsi="Times New Roman" w:cs="Times New Roman"/>
          <w:color w:val="000000" w:themeColor="text1"/>
          <w:kern w:val="0"/>
          <w:sz w:val="20"/>
          <w:szCs w:val="20"/>
          <w:lang w:val="en-US"/>
          <w14:ligatures w14:val="none"/>
        </w:rPr>
        <w:t xml:space="preserve"> Baujat plots display the influence of individual trials on the overall effect sizes in studies using high-</w:t>
      </w:r>
      <w:r w:rsidR="00126314" w:rsidRPr="000309F2">
        <w:rPr>
          <w:rFonts w:ascii="Times New Roman" w:eastAsia="Aptos" w:hAnsi="Times New Roman" w:cs="Times New Roman"/>
          <w:color w:val="000000" w:themeColor="text1"/>
          <w:kern w:val="0"/>
          <w:sz w:val="20"/>
          <w:szCs w:val="20"/>
          <w:lang w:val="en-US"/>
          <w14:ligatures w14:val="none"/>
        </w:rPr>
        <w:t>f</w:t>
      </w:r>
      <w:r w:rsidRPr="000309F2">
        <w:rPr>
          <w:rFonts w:ascii="Times New Roman" w:eastAsia="Aptos" w:hAnsi="Times New Roman" w:cs="Times New Roman"/>
          <w:color w:val="000000" w:themeColor="text1"/>
          <w:kern w:val="0"/>
          <w:sz w:val="20"/>
          <w:szCs w:val="20"/>
          <w:lang w:val="en-US"/>
          <w14:ligatures w14:val="none"/>
        </w:rPr>
        <w:t xml:space="preserve">requency rTMS (Panel A) and anodal tDCS (Panel B). In the </w:t>
      </w:r>
      <w:r w:rsidR="006A3695" w:rsidRPr="000309F2">
        <w:rPr>
          <w:rFonts w:ascii="Times New Roman" w:eastAsia="Aptos" w:hAnsi="Times New Roman" w:cs="Times New Roman"/>
          <w:color w:val="000000" w:themeColor="text1"/>
          <w:kern w:val="0"/>
          <w:sz w:val="20"/>
          <w:szCs w:val="20"/>
          <w:lang w:val="en-US"/>
          <w14:ligatures w14:val="none"/>
        </w:rPr>
        <w:t>r</w:t>
      </w:r>
      <w:r w:rsidRPr="000309F2">
        <w:rPr>
          <w:rFonts w:ascii="Times New Roman" w:eastAsia="Aptos" w:hAnsi="Times New Roman" w:cs="Times New Roman"/>
          <w:color w:val="000000" w:themeColor="text1"/>
          <w:kern w:val="0"/>
          <w:sz w:val="20"/>
          <w:szCs w:val="20"/>
          <w:lang w:val="en-US"/>
          <w14:ligatures w14:val="none"/>
        </w:rPr>
        <w:t>TMS analysis, Study 2 (Balconi &amp; Canavesio, 2014) notably drives the overall effects. Likewise, for tDCS trials, the plot highlights that Study 40 (Yuan et al., 2017) significantly impacts the aggregated findings.</w:t>
      </w:r>
    </w:p>
    <w:p w14:paraId="7C65FC44" w14:textId="27B70DBA" w:rsidR="005A2464" w:rsidRPr="000309F2" w:rsidRDefault="005A2464" w:rsidP="0006494C">
      <w:pPr>
        <w:spacing w:after="0" w:line="480" w:lineRule="auto"/>
        <w:jc w:val="left"/>
        <w:rPr>
          <w:rFonts w:ascii="Times New Roman" w:eastAsia="Calibri" w:hAnsi="Times New Roman" w:cs="Times New Roman"/>
          <w:b/>
          <w:bCs/>
          <w:color w:val="000000" w:themeColor="text1"/>
          <w:lang w:val="en-US"/>
        </w:rPr>
        <w:sectPr w:rsidR="005A2464" w:rsidRPr="000309F2" w:rsidSect="0006494C">
          <w:headerReference w:type="default" r:id="rId11"/>
          <w:pgSz w:w="11906" w:h="16838"/>
          <w:pgMar w:top="1440" w:right="1440" w:bottom="1440" w:left="1440" w:header="720" w:footer="720" w:gutter="0"/>
          <w:cols w:space="720"/>
          <w:docGrid w:linePitch="360"/>
        </w:sectPr>
      </w:pPr>
    </w:p>
    <w:p w14:paraId="6F6D7F68" w14:textId="5C1CDE10" w:rsidR="00B15CB9" w:rsidRPr="000309F2" w:rsidRDefault="00393C77" w:rsidP="00B15CB9">
      <w:pPr>
        <w:spacing w:after="0" w:line="480" w:lineRule="auto"/>
        <w:jc w:val="left"/>
        <w:rPr>
          <w:rFonts w:ascii="Times New Roman" w:eastAsia="Calibri" w:hAnsi="Times New Roman" w:cs="Times New Roman"/>
          <w:b/>
          <w:bCs/>
          <w:color w:val="000000" w:themeColor="text1"/>
          <w:lang w:val="en-US"/>
        </w:rPr>
      </w:pPr>
      <w:r w:rsidRPr="000309F2">
        <w:rPr>
          <w:rFonts w:ascii="Aptos" w:eastAsia="Aptos" w:hAnsi="Aptos"/>
          <w:noProof/>
          <w:color w:val="000000" w:themeColor="text1"/>
          <w:lang w:val="en-US"/>
        </w:rPr>
        <w:lastRenderedPageBreak/>
        <w:drawing>
          <wp:anchor distT="0" distB="0" distL="114300" distR="114300" simplePos="0" relativeHeight="251667456" behindDoc="0" locked="0" layoutInCell="1" allowOverlap="1" wp14:anchorId="7C142F0C" wp14:editId="5A7FEF3E">
            <wp:simplePos x="0" y="0"/>
            <wp:positionH relativeFrom="margin">
              <wp:align>right</wp:align>
            </wp:positionH>
            <wp:positionV relativeFrom="margin">
              <wp:align>bottom</wp:align>
            </wp:positionV>
            <wp:extent cx="8958580" cy="5223510"/>
            <wp:effectExtent l="0" t="0" r="0" b="0"/>
            <wp:wrapTopAndBottom/>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noChangeArrowheads="1"/>
                    </pic:cNvPicPr>
                  </pic:nvPicPr>
                  <pic:blipFill>
                    <a:blip r:embed="rId12">
                      <a:extLst>
                        <a:ext uri="{28A0092B-C50C-407E-A947-70E740481C1C}">
                          <a14:useLocalDpi xmlns:a14="http://schemas.microsoft.com/office/drawing/2010/main" val="0"/>
                        </a:ext>
                      </a:extLst>
                    </a:blip>
                    <a:srcRect l="17" r="17"/>
                    <a:stretch>
                      <a:fillRect/>
                    </a:stretch>
                  </pic:blipFill>
                  <pic:spPr bwMode="auto">
                    <a:xfrm>
                      <a:off x="0" y="0"/>
                      <a:ext cx="8958580" cy="5223510"/>
                    </a:xfrm>
                    <a:prstGeom prst="rect">
                      <a:avLst/>
                    </a:prstGeom>
                    <a:noFill/>
                  </pic:spPr>
                </pic:pic>
              </a:graphicData>
            </a:graphic>
            <wp14:sizeRelH relativeFrom="margin">
              <wp14:pctWidth>0</wp14:pctWidth>
            </wp14:sizeRelH>
            <wp14:sizeRelV relativeFrom="margin">
              <wp14:pctHeight>0</wp14:pctHeight>
            </wp14:sizeRelV>
          </wp:anchor>
        </w:drawing>
      </w:r>
      <w:r w:rsidR="0006494C" w:rsidRPr="000309F2">
        <w:rPr>
          <w:rFonts w:ascii="Times New Roman" w:eastAsia="Calibri" w:hAnsi="Times New Roman" w:cs="Times New Roman"/>
          <w:b/>
          <w:bCs/>
          <w:color w:val="000000" w:themeColor="text1"/>
          <w:lang w:val="en-US"/>
        </w:rPr>
        <w:t xml:space="preserve">Supplementary </w:t>
      </w:r>
      <w:r w:rsidR="00D83281" w:rsidRPr="000309F2">
        <w:rPr>
          <w:rFonts w:ascii="Times New Roman" w:eastAsia="Calibri" w:hAnsi="Times New Roman" w:cs="Times New Roman"/>
          <w:b/>
          <w:bCs/>
          <w:color w:val="000000" w:themeColor="text1"/>
          <w:lang w:val="en-US"/>
        </w:rPr>
        <w:t>7</w:t>
      </w:r>
      <w:r w:rsidR="0006494C" w:rsidRPr="000309F2">
        <w:rPr>
          <w:rFonts w:ascii="Times New Roman" w:eastAsia="Calibri" w:hAnsi="Times New Roman" w:cs="Times New Roman"/>
          <w:b/>
          <w:bCs/>
          <w:color w:val="000000" w:themeColor="text1"/>
          <w:lang w:val="en-US"/>
        </w:rPr>
        <w:t xml:space="preserve">. </w:t>
      </w:r>
      <w:r w:rsidR="00B15CB9" w:rsidRPr="000309F2">
        <w:rPr>
          <w:rFonts w:ascii="Times New Roman" w:eastAsia="Calibri" w:hAnsi="Times New Roman" w:cs="Times New Roman"/>
          <w:i/>
          <w:iCs/>
          <w:color w:val="000000" w:themeColor="text1"/>
          <w:lang w:val="en-US"/>
        </w:rPr>
        <w:t>Forest plots</w:t>
      </w:r>
    </w:p>
    <w:p w14:paraId="43273EA4" w14:textId="77777777" w:rsidR="00B15CB9" w:rsidRPr="000309F2" w:rsidRDefault="00B15CB9" w:rsidP="00B15CB9">
      <w:pPr>
        <w:spacing w:before="120" w:after="120" w:line="480" w:lineRule="auto"/>
        <w:rPr>
          <w:rFonts w:ascii="Times New Roman" w:eastAsia="Calibri" w:hAnsi="Times New Roman" w:cs="Times New Roman"/>
          <w:bCs/>
          <w:i/>
          <w:iCs/>
          <w:color w:val="000000" w:themeColor="text1"/>
          <w:kern w:val="0"/>
          <w:lang w:val="en-US"/>
          <w14:ligatures w14:val="none"/>
        </w:rPr>
      </w:pPr>
      <w:r w:rsidRPr="000309F2">
        <w:rPr>
          <w:rFonts w:ascii="Aptos" w:eastAsia="Aptos" w:hAnsi="Aptos" w:cs="Times New Roman"/>
          <w:noProof/>
          <w:color w:val="000000" w:themeColor="text1"/>
          <w:lang w:val="en-US"/>
        </w:rPr>
        <w:lastRenderedPageBreak/>
        <w:drawing>
          <wp:anchor distT="0" distB="0" distL="114300" distR="114300" simplePos="0" relativeHeight="251668480" behindDoc="0" locked="0" layoutInCell="1" allowOverlap="1" wp14:anchorId="033161B1" wp14:editId="48E449E4">
            <wp:simplePos x="0" y="0"/>
            <wp:positionH relativeFrom="margin">
              <wp:posOffset>-329565</wp:posOffset>
            </wp:positionH>
            <wp:positionV relativeFrom="margin">
              <wp:align>top</wp:align>
            </wp:positionV>
            <wp:extent cx="9427210" cy="5545455"/>
            <wp:effectExtent l="0" t="0" r="2540" b="0"/>
            <wp:wrapTopAndBottom/>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9427773" cy="5545455"/>
                    </a:xfrm>
                    <a:prstGeom prst="rect">
                      <a:avLst/>
                    </a:prstGeom>
                    <a:noFill/>
                  </pic:spPr>
                </pic:pic>
              </a:graphicData>
            </a:graphic>
            <wp14:sizeRelH relativeFrom="margin">
              <wp14:pctWidth>0</wp14:pctWidth>
            </wp14:sizeRelH>
            <wp14:sizeRelV relativeFrom="margin">
              <wp14:pctHeight>0</wp14:pctHeight>
            </wp14:sizeRelV>
          </wp:anchor>
        </w:drawing>
      </w:r>
    </w:p>
    <w:p w14:paraId="539AFE22" w14:textId="775D987A" w:rsidR="00B15CB9" w:rsidRPr="000309F2" w:rsidRDefault="00B15CB9" w:rsidP="00B15CB9">
      <w:pPr>
        <w:spacing w:before="240" w:line="360" w:lineRule="auto"/>
        <w:jc w:val="left"/>
        <w:rPr>
          <w:rFonts w:ascii="Aptos" w:eastAsia="Aptos" w:hAnsi="Aptos" w:cs="Times New Roman"/>
          <w:color w:val="000000" w:themeColor="text1"/>
          <w:lang w:val="en-US"/>
        </w:rPr>
      </w:pPr>
      <w:r w:rsidRPr="000309F2">
        <w:rPr>
          <w:rFonts w:ascii="Aptos" w:eastAsia="Aptos" w:hAnsi="Aptos" w:cs="Times New Roman"/>
          <w:noProof/>
          <w:color w:val="000000" w:themeColor="text1"/>
          <w:lang w:val="en-US"/>
        </w:rPr>
        <w:lastRenderedPageBreak/>
        <w:drawing>
          <wp:anchor distT="0" distB="0" distL="114300" distR="114300" simplePos="0" relativeHeight="251669504" behindDoc="0" locked="0" layoutInCell="1" allowOverlap="1" wp14:anchorId="1D6B42B0" wp14:editId="01842D96">
            <wp:simplePos x="0" y="0"/>
            <wp:positionH relativeFrom="margin">
              <wp:align>right</wp:align>
            </wp:positionH>
            <wp:positionV relativeFrom="margin">
              <wp:align>top</wp:align>
            </wp:positionV>
            <wp:extent cx="8863330" cy="4735830"/>
            <wp:effectExtent l="0" t="0" r="0" b="7620"/>
            <wp:wrapTopAndBottom/>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a:picLocks noChangeAspect="1" noChangeArrowheads="1"/>
                    </pic:cNvPicPr>
                  </pic:nvPicPr>
                  <pic:blipFill>
                    <a:blip r:embed="rId14">
                      <a:extLst>
                        <a:ext uri="{28A0092B-C50C-407E-A947-70E740481C1C}">
                          <a14:useLocalDpi xmlns:a14="http://schemas.microsoft.com/office/drawing/2010/main" val="0"/>
                        </a:ext>
                      </a:extLst>
                    </a:blip>
                    <a:srcRect l="434" r="434"/>
                    <a:stretch>
                      <a:fillRect/>
                    </a:stretch>
                  </pic:blipFill>
                  <pic:spPr bwMode="auto">
                    <a:xfrm>
                      <a:off x="0" y="0"/>
                      <a:ext cx="8863330" cy="4735830"/>
                    </a:xfrm>
                    <a:prstGeom prst="rect">
                      <a:avLst/>
                    </a:prstGeom>
                  </pic:spPr>
                </pic:pic>
              </a:graphicData>
            </a:graphic>
            <wp14:sizeRelH relativeFrom="margin">
              <wp14:pctWidth>0</wp14:pctWidth>
            </wp14:sizeRelH>
            <wp14:sizeRelV relativeFrom="margin">
              <wp14:pctHeight>0</wp14:pctHeight>
            </wp14:sizeRelV>
          </wp:anchor>
        </w:drawing>
      </w:r>
      <w:r w:rsidRPr="000309F2">
        <w:rPr>
          <w:rFonts w:ascii="Times New Roman" w:eastAsia="Calibri" w:hAnsi="Times New Roman" w:cs="Times New Roman"/>
          <w:bCs/>
          <w:i/>
          <w:iCs/>
          <w:color w:val="000000" w:themeColor="text1"/>
          <w:kern w:val="0"/>
          <w:sz w:val="20"/>
          <w:szCs w:val="20"/>
          <w:lang w:val="en-US"/>
          <w14:ligatures w14:val="none"/>
        </w:rPr>
        <w:t>Note</w:t>
      </w:r>
      <w:r w:rsidRPr="000309F2">
        <w:rPr>
          <w:rFonts w:ascii="Times New Roman" w:eastAsia="Calibri" w:hAnsi="Times New Roman" w:cs="Times New Roman"/>
          <w:bCs/>
          <w:color w:val="000000" w:themeColor="text1"/>
          <w:kern w:val="0"/>
          <w:sz w:val="20"/>
          <w:szCs w:val="20"/>
          <w:lang w:val="en-US"/>
          <w14:ligatures w14:val="none"/>
        </w:rPr>
        <w:t>. Forest plots depict intervention effects in trials involving high-frequency rTMS (A), anodal tDCS (B) and cathodal tDCS (C)</w:t>
      </w:r>
      <w:r w:rsidR="00092911" w:rsidRPr="000309F2">
        <w:rPr>
          <w:rFonts w:ascii="Times New Roman" w:eastAsia="Calibri" w:hAnsi="Times New Roman" w:cs="Times New Roman"/>
          <w:bCs/>
          <w:color w:val="000000" w:themeColor="text1"/>
          <w:kern w:val="0"/>
          <w:sz w:val="20"/>
          <w:szCs w:val="20"/>
          <w:lang w:val="en-US"/>
          <w14:ligatures w14:val="none"/>
        </w:rPr>
        <w:t xml:space="preserve"> after excluding outliers</w:t>
      </w:r>
      <w:r w:rsidRPr="000309F2">
        <w:rPr>
          <w:rFonts w:ascii="Times New Roman" w:eastAsia="Calibri" w:hAnsi="Times New Roman" w:cs="Times New Roman"/>
          <w:bCs/>
          <w:color w:val="000000" w:themeColor="text1"/>
          <w:kern w:val="0"/>
          <w:sz w:val="20"/>
          <w:szCs w:val="20"/>
          <w:lang w:val="en-US"/>
          <w14:ligatures w14:val="none"/>
        </w:rPr>
        <w:t xml:space="preserve">. </w:t>
      </w:r>
      <w:r w:rsidRPr="000309F2">
        <w:rPr>
          <w:rFonts w:ascii="Times New Roman" w:eastAsia="Aptos" w:hAnsi="Times New Roman" w:cs="Times New Roman"/>
          <w:color w:val="000000" w:themeColor="text1"/>
          <w:sz w:val="20"/>
          <w:szCs w:val="20"/>
          <w:lang w:val="en-US"/>
        </w:rPr>
        <w:t xml:space="preserve">Targeted brain area for intervention and behavioral outcomes for each intervention are presented in the two contiguous columns, with numerical values of the effects (SMD) presented at the right side of each forest plot. References of studies for each extracted effect are presented at the left side of each forest plot. N: number of participants; SMD: </w:t>
      </w:r>
      <w:r w:rsidR="000309F2" w:rsidRPr="000309F2">
        <w:rPr>
          <w:rFonts w:ascii="Times New Roman" w:eastAsia="Aptos" w:hAnsi="Times New Roman" w:cs="Times New Roman"/>
          <w:color w:val="000000" w:themeColor="text1"/>
          <w:sz w:val="20"/>
          <w:szCs w:val="20"/>
          <w:lang w:val="en-US"/>
        </w:rPr>
        <w:t>standardized</w:t>
      </w:r>
      <w:r w:rsidRPr="000309F2">
        <w:rPr>
          <w:rFonts w:ascii="Times New Roman" w:eastAsia="Aptos" w:hAnsi="Times New Roman" w:cs="Times New Roman"/>
          <w:color w:val="000000" w:themeColor="text1"/>
          <w:sz w:val="20"/>
          <w:szCs w:val="20"/>
          <w:lang w:val="en-US"/>
        </w:rPr>
        <w:t xml:space="preserve"> mean difference; </w:t>
      </w:r>
      <w:r w:rsidR="00965301" w:rsidRPr="000309F2">
        <w:rPr>
          <w:rFonts w:ascii="Times New Roman" w:eastAsia="Aptos" w:hAnsi="Times New Roman" w:cs="Times New Roman"/>
          <w:color w:val="000000" w:themeColor="text1"/>
          <w:sz w:val="20"/>
          <w:szCs w:val="20"/>
          <w:lang w:val="en-US"/>
        </w:rPr>
        <w:t xml:space="preserve">95% </w:t>
      </w:r>
      <w:r w:rsidRPr="000309F2">
        <w:rPr>
          <w:rFonts w:ascii="Times New Roman" w:eastAsia="Aptos" w:hAnsi="Times New Roman" w:cs="Times New Roman"/>
          <w:color w:val="000000" w:themeColor="text1"/>
          <w:sz w:val="20"/>
          <w:szCs w:val="20"/>
          <w:lang w:val="en-US"/>
        </w:rPr>
        <w:t>CI: 95% confidence interval; RE model: random effects model.</w:t>
      </w:r>
    </w:p>
    <w:p w14:paraId="1515F237" w14:textId="77777777" w:rsidR="00B15CB9" w:rsidRPr="000309F2" w:rsidRDefault="00B15CB9" w:rsidP="0006494C">
      <w:pPr>
        <w:spacing w:after="0" w:line="480" w:lineRule="auto"/>
        <w:jc w:val="left"/>
        <w:rPr>
          <w:rFonts w:ascii="Times New Roman" w:eastAsia="Calibri" w:hAnsi="Times New Roman" w:cs="Times New Roman"/>
          <w:b/>
          <w:bCs/>
          <w:color w:val="000000" w:themeColor="text1"/>
          <w:lang w:val="en-US"/>
        </w:rPr>
        <w:sectPr w:rsidR="00B15CB9" w:rsidRPr="000309F2" w:rsidSect="00B15CB9">
          <w:headerReference w:type="default" r:id="rId15"/>
          <w:pgSz w:w="16838" w:h="11906" w:orient="landscape"/>
          <w:pgMar w:top="1440" w:right="1440" w:bottom="1440" w:left="1440" w:header="720" w:footer="720" w:gutter="0"/>
          <w:cols w:space="720"/>
          <w:docGrid w:linePitch="360"/>
        </w:sectPr>
      </w:pPr>
    </w:p>
    <w:p w14:paraId="040A829B" w14:textId="6818ECCD" w:rsidR="0006494C" w:rsidRPr="000309F2" w:rsidRDefault="00B15CB9" w:rsidP="0006494C">
      <w:pPr>
        <w:spacing w:after="0" w:line="480" w:lineRule="auto"/>
        <w:jc w:val="left"/>
        <w:rPr>
          <w:rFonts w:ascii="Times New Roman" w:eastAsia="Calibri" w:hAnsi="Times New Roman" w:cs="Times New Roman"/>
          <w:i/>
          <w:iCs/>
          <w:color w:val="000000" w:themeColor="text1"/>
          <w:lang w:val="en-US"/>
        </w:rPr>
      </w:pPr>
      <w:r w:rsidRPr="000309F2">
        <w:rPr>
          <w:rFonts w:ascii="Times New Roman" w:eastAsia="Calibri" w:hAnsi="Times New Roman" w:cs="Times New Roman"/>
          <w:b/>
          <w:bCs/>
          <w:color w:val="000000" w:themeColor="text1"/>
          <w:lang w:val="en-US"/>
        </w:rPr>
        <w:lastRenderedPageBreak/>
        <w:t xml:space="preserve">Supplementary 8. </w:t>
      </w:r>
      <w:r w:rsidR="0006494C" w:rsidRPr="000309F2">
        <w:rPr>
          <w:rFonts w:ascii="Times New Roman" w:eastAsia="Calibri" w:hAnsi="Times New Roman" w:cs="Times New Roman"/>
          <w:noProof/>
          <w:color w:val="000000" w:themeColor="text1"/>
          <w:lang w:val="en-US"/>
        </w:rPr>
        <w:drawing>
          <wp:anchor distT="0" distB="0" distL="114300" distR="114300" simplePos="0" relativeHeight="251659264" behindDoc="0" locked="0" layoutInCell="1" allowOverlap="1" wp14:anchorId="693384CF" wp14:editId="787AE432">
            <wp:simplePos x="0" y="0"/>
            <wp:positionH relativeFrom="margin">
              <wp:align>left</wp:align>
            </wp:positionH>
            <wp:positionV relativeFrom="paragraph">
              <wp:posOffset>460337</wp:posOffset>
            </wp:positionV>
            <wp:extent cx="5093970" cy="3937000"/>
            <wp:effectExtent l="0" t="0" r="0" b="6350"/>
            <wp:wrapTopAndBottom/>
            <wp:docPr id="21428586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58664" name="Picture 20"/>
                    <pic:cNvPicPr>
                      <a:picLocks noChangeAspect="1" noChangeArrowheads="1"/>
                    </pic:cNvPicPr>
                  </pic:nvPicPr>
                  <pic:blipFill>
                    <a:blip r:embed="rId16">
                      <a:extLst>
                        <a:ext uri="{96DAC541-7B7A-43D3-8B79-37D633B846F1}">
                          <asvg:svgBlip xmlns:asvg="http://schemas.microsoft.com/office/drawing/2016/SVG/main" r:embed="rId17"/>
                        </a:ext>
                      </a:extLst>
                    </a:blip>
                    <a:srcRect l="1193" r="1193"/>
                    <a:stretch>
                      <a:fillRect/>
                    </a:stretch>
                  </pic:blipFill>
                  <pic:spPr bwMode="auto">
                    <a:xfrm>
                      <a:off x="0" y="0"/>
                      <a:ext cx="5093970" cy="393700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94C" w:rsidRPr="000309F2">
        <w:rPr>
          <w:rFonts w:ascii="Times New Roman" w:eastAsia="Calibri" w:hAnsi="Times New Roman" w:cs="Times New Roman"/>
          <w:i/>
          <w:iCs/>
          <w:color w:val="000000" w:themeColor="text1"/>
          <w:lang w:val="en-US"/>
        </w:rPr>
        <w:t>Funnel plots</w:t>
      </w:r>
    </w:p>
    <w:p w14:paraId="22411461" w14:textId="77777777" w:rsidR="0006494C" w:rsidRPr="000309F2" w:rsidRDefault="0006494C" w:rsidP="0006494C">
      <w:pPr>
        <w:spacing w:before="120" w:after="120" w:line="480" w:lineRule="auto"/>
        <w:rPr>
          <w:rFonts w:ascii="Times New Roman" w:eastAsia="Calibri" w:hAnsi="Times New Roman" w:cs="Times New Roman"/>
          <w:i/>
          <w:iCs/>
          <w:color w:val="000000" w:themeColor="text1"/>
          <w:lang w:val="en-US"/>
        </w:rPr>
      </w:pPr>
      <w:r w:rsidRPr="000309F2">
        <w:rPr>
          <w:rFonts w:ascii="Times New Roman" w:eastAsia="Calibri" w:hAnsi="Times New Roman" w:cs="Times New Roman"/>
          <w:i/>
          <w:iCs/>
          <w:noProof/>
          <w:color w:val="000000" w:themeColor="text1"/>
          <w:lang w:val="en-US"/>
        </w:rPr>
        <w:drawing>
          <wp:anchor distT="0" distB="0" distL="114300" distR="114300" simplePos="0" relativeHeight="251660288" behindDoc="0" locked="0" layoutInCell="1" allowOverlap="1" wp14:anchorId="1D913AB1" wp14:editId="67855AC3">
            <wp:simplePos x="0" y="0"/>
            <wp:positionH relativeFrom="margin">
              <wp:align>left</wp:align>
            </wp:positionH>
            <wp:positionV relativeFrom="paragraph">
              <wp:posOffset>4197255</wp:posOffset>
            </wp:positionV>
            <wp:extent cx="4926330" cy="3807460"/>
            <wp:effectExtent l="0" t="0" r="7620" b="2540"/>
            <wp:wrapTopAndBottom/>
            <wp:docPr id="9912362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36214" name="Picture 23"/>
                    <pic:cNvPicPr>
                      <a:picLocks noChangeAspect="1" noChangeArrowheads="1"/>
                    </pic:cNvPicPr>
                  </pic:nvPicPr>
                  <pic:blipFill>
                    <a:blip r:embed="rId18">
                      <a:extLst>
                        <a:ext uri="{96DAC541-7B7A-43D3-8B79-37D633B846F1}">
                          <asvg:svgBlip xmlns:asvg="http://schemas.microsoft.com/office/drawing/2016/SVG/main" r:embed="rId19"/>
                        </a:ext>
                      </a:extLst>
                    </a:blip>
                    <a:srcRect l="1713" r="1713"/>
                    <a:stretch>
                      <a:fillRect/>
                    </a:stretch>
                  </pic:blipFill>
                  <pic:spPr bwMode="auto">
                    <a:xfrm>
                      <a:off x="0" y="0"/>
                      <a:ext cx="4926330" cy="380746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B79D30" w14:textId="77777777" w:rsidR="0006494C" w:rsidRPr="000309F2" w:rsidRDefault="0006494C" w:rsidP="0006494C">
      <w:pPr>
        <w:spacing w:before="120" w:after="120" w:line="480" w:lineRule="auto"/>
        <w:rPr>
          <w:rFonts w:ascii="Times New Roman" w:eastAsia="Calibri" w:hAnsi="Times New Roman" w:cs="Times New Roman"/>
          <w:color w:val="000000" w:themeColor="text1"/>
          <w:lang w:val="en-US"/>
        </w:rPr>
      </w:pPr>
      <w:r w:rsidRPr="000309F2">
        <w:rPr>
          <w:rFonts w:ascii="Times New Roman" w:eastAsia="Calibri" w:hAnsi="Times New Roman" w:cs="Times New Roman"/>
          <w:noProof/>
          <w:color w:val="000000" w:themeColor="text1"/>
          <w:lang w:val="en-US"/>
        </w:rPr>
        <w:lastRenderedPageBreak/>
        <w:drawing>
          <wp:anchor distT="0" distB="0" distL="114300" distR="114300" simplePos="0" relativeHeight="251662336" behindDoc="0" locked="0" layoutInCell="1" allowOverlap="1" wp14:anchorId="01F7C91B" wp14:editId="19EAB141">
            <wp:simplePos x="0" y="0"/>
            <wp:positionH relativeFrom="margin">
              <wp:align>left</wp:align>
            </wp:positionH>
            <wp:positionV relativeFrom="margin">
              <wp:posOffset>448243</wp:posOffset>
            </wp:positionV>
            <wp:extent cx="5096510" cy="3895090"/>
            <wp:effectExtent l="0" t="0" r="8890" b="0"/>
            <wp:wrapTopAndBottom/>
            <wp:docPr id="186895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525" name="Picture 24"/>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5096510" cy="3895090"/>
                    </a:xfrm>
                    <a:prstGeom prst="rect">
                      <a:avLst/>
                    </a:prstGeom>
                  </pic:spPr>
                </pic:pic>
              </a:graphicData>
            </a:graphic>
            <wp14:sizeRelV relativeFrom="margin">
              <wp14:pctHeight>0</wp14:pctHeight>
            </wp14:sizeRelV>
          </wp:anchor>
        </w:drawing>
      </w:r>
    </w:p>
    <w:p w14:paraId="60160D02" w14:textId="77777777" w:rsidR="0006494C" w:rsidRPr="000309F2" w:rsidRDefault="0006494C" w:rsidP="0006494C">
      <w:pPr>
        <w:spacing w:before="120" w:after="120" w:line="480" w:lineRule="auto"/>
        <w:rPr>
          <w:rFonts w:ascii="Times New Roman" w:eastAsia="Calibri" w:hAnsi="Times New Roman" w:cs="Times New Roman"/>
          <w:color w:val="000000" w:themeColor="text1"/>
          <w:lang w:val="en-US"/>
        </w:rPr>
      </w:pPr>
      <w:r w:rsidRPr="000309F2">
        <w:rPr>
          <w:rFonts w:ascii="Times New Roman" w:eastAsia="Calibri" w:hAnsi="Times New Roman" w:cs="Times New Roman"/>
          <w:noProof/>
          <w:color w:val="000000" w:themeColor="text1"/>
          <w:lang w:val="en-US"/>
        </w:rPr>
        <w:drawing>
          <wp:anchor distT="0" distB="0" distL="114300" distR="114300" simplePos="0" relativeHeight="251661312" behindDoc="0" locked="0" layoutInCell="1" allowOverlap="1" wp14:anchorId="5B9ED70B" wp14:editId="77AC95F6">
            <wp:simplePos x="0" y="0"/>
            <wp:positionH relativeFrom="margin">
              <wp:posOffset>0</wp:posOffset>
            </wp:positionH>
            <wp:positionV relativeFrom="margin">
              <wp:posOffset>4690110</wp:posOffset>
            </wp:positionV>
            <wp:extent cx="5096510" cy="3804285"/>
            <wp:effectExtent l="0" t="0" r="8890" b="5715"/>
            <wp:wrapTopAndBottom/>
            <wp:docPr id="90904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400" name="Picture 2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5096510" cy="3804285"/>
                    </a:xfrm>
                    <a:prstGeom prst="rect">
                      <a:avLst/>
                    </a:prstGeom>
                  </pic:spPr>
                </pic:pic>
              </a:graphicData>
            </a:graphic>
            <wp14:sizeRelV relativeFrom="margin">
              <wp14:pctHeight>0</wp14:pctHeight>
            </wp14:sizeRelV>
          </wp:anchor>
        </w:drawing>
      </w:r>
    </w:p>
    <w:p w14:paraId="48FDE602" w14:textId="77777777" w:rsidR="0006494C" w:rsidRPr="000309F2" w:rsidRDefault="0006494C" w:rsidP="0006494C">
      <w:pPr>
        <w:spacing w:before="120" w:after="120" w:line="480" w:lineRule="auto"/>
        <w:rPr>
          <w:rFonts w:ascii="Times New Roman" w:eastAsia="Calibri" w:hAnsi="Times New Roman" w:cs="Times New Roman"/>
          <w:color w:val="000000" w:themeColor="text1"/>
          <w:lang w:val="en-US"/>
        </w:rPr>
      </w:pPr>
    </w:p>
    <w:p w14:paraId="4F6DC43A" w14:textId="77777777" w:rsidR="0006494C" w:rsidRPr="000309F2" w:rsidRDefault="0006494C" w:rsidP="0006494C">
      <w:pPr>
        <w:spacing w:before="120" w:after="120" w:line="480" w:lineRule="auto"/>
        <w:rPr>
          <w:rFonts w:ascii="Times New Roman" w:eastAsia="Calibri" w:hAnsi="Times New Roman" w:cs="Times New Roman"/>
          <w:color w:val="000000" w:themeColor="text1"/>
          <w:lang w:val="en-US"/>
        </w:rPr>
      </w:pPr>
      <w:r w:rsidRPr="000309F2">
        <w:rPr>
          <w:rFonts w:ascii="Times New Roman" w:eastAsia="Calibri" w:hAnsi="Times New Roman" w:cs="Times New Roman"/>
          <w:noProof/>
          <w:color w:val="000000" w:themeColor="text1"/>
          <w:lang w:val="en-US"/>
        </w:rPr>
        <w:lastRenderedPageBreak/>
        <w:drawing>
          <wp:anchor distT="0" distB="0" distL="114300" distR="114300" simplePos="0" relativeHeight="251663360" behindDoc="0" locked="0" layoutInCell="1" allowOverlap="1" wp14:anchorId="3301FDD2" wp14:editId="6E733A14">
            <wp:simplePos x="0" y="0"/>
            <wp:positionH relativeFrom="margin">
              <wp:posOffset>22225</wp:posOffset>
            </wp:positionH>
            <wp:positionV relativeFrom="page">
              <wp:posOffset>1156970</wp:posOffset>
            </wp:positionV>
            <wp:extent cx="5050790" cy="3932555"/>
            <wp:effectExtent l="0" t="0" r="0" b="0"/>
            <wp:wrapTopAndBottom/>
            <wp:docPr id="15201468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46894" name="Picture 26"/>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5050790" cy="3932555"/>
                    </a:xfrm>
                    <a:prstGeom prst="rect">
                      <a:avLst/>
                    </a:prstGeom>
                  </pic:spPr>
                </pic:pic>
              </a:graphicData>
            </a:graphic>
            <wp14:sizeRelH relativeFrom="margin">
              <wp14:pctWidth>0</wp14:pctWidth>
            </wp14:sizeRelH>
          </wp:anchor>
        </w:drawing>
      </w:r>
    </w:p>
    <w:p w14:paraId="410DB552" w14:textId="77777777" w:rsidR="0006494C" w:rsidRPr="000309F2" w:rsidRDefault="0006494C" w:rsidP="0006494C">
      <w:pPr>
        <w:spacing w:before="120" w:after="120" w:line="480" w:lineRule="auto"/>
        <w:rPr>
          <w:rFonts w:ascii="Times New Roman" w:eastAsia="Calibri" w:hAnsi="Times New Roman" w:cs="Times New Roman"/>
          <w:color w:val="000000" w:themeColor="text1"/>
          <w:lang w:val="en-US"/>
        </w:rPr>
      </w:pPr>
    </w:p>
    <w:p w14:paraId="08E84919" w14:textId="7FA68EB9" w:rsidR="00C0679B" w:rsidRPr="000309F2" w:rsidRDefault="0006494C" w:rsidP="00B15CB9">
      <w:pPr>
        <w:spacing w:before="120" w:after="120" w:line="480" w:lineRule="auto"/>
        <w:rPr>
          <w:rFonts w:ascii="Times New Roman" w:hAnsi="Times New Roman" w:cs="Times New Roman"/>
          <w:color w:val="000000" w:themeColor="text1"/>
          <w:lang w:val="en-US"/>
        </w:rPr>
      </w:pPr>
      <w:r w:rsidRPr="000309F2">
        <w:rPr>
          <w:rFonts w:ascii="Times New Roman" w:eastAsia="Calibri" w:hAnsi="Times New Roman" w:cs="Times New Roman"/>
          <w:noProof/>
          <w:color w:val="000000" w:themeColor="text1"/>
          <w:lang w:val="en-US"/>
        </w:rPr>
        <w:drawing>
          <wp:inline distT="0" distB="0" distL="0" distR="0" wp14:anchorId="5587F478" wp14:editId="5BBA8C50">
            <wp:extent cx="5096510" cy="3782742"/>
            <wp:effectExtent l="0" t="0" r="8890" b="8255"/>
            <wp:docPr id="6759879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87944" name="Picture 27"/>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5096510" cy="3782742"/>
                    </a:xfrm>
                    <a:prstGeom prst="rect">
                      <a:avLst/>
                    </a:prstGeom>
                  </pic:spPr>
                </pic:pic>
              </a:graphicData>
            </a:graphic>
          </wp:inline>
        </w:drawing>
      </w:r>
    </w:p>
    <w:p w14:paraId="6C41A3C6" w14:textId="60FA6119" w:rsidR="00454FEE" w:rsidRPr="000309F2" w:rsidRDefault="00454FEE" w:rsidP="00B15CB9">
      <w:pPr>
        <w:spacing w:before="120" w:after="120" w:line="480" w:lineRule="auto"/>
        <w:rPr>
          <w:rFonts w:ascii="Times New Roman" w:hAnsi="Times New Roman" w:cs="Times New Roman"/>
          <w:color w:val="000000" w:themeColor="text1"/>
          <w:lang w:val="en-US"/>
        </w:rPr>
      </w:pPr>
    </w:p>
    <w:p w14:paraId="44F4A528" w14:textId="53353C90" w:rsidR="00454FEE" w:rsidRPr="000309F2" w:rsidRDefault="00454FEE" w:rsidP="00B15CB9">
      <w:pPr>
        <w:spacing w:before="120" w:after="120" w:line="480" w:lineRule="auto"/>
        <w:rPr>
          <w:rFonts w:ascii="Times New Roman" w:hAnsi="Times New Roman" w:cs="Times New Roman"/>
          <w:color w:val="000000" w:themeColor="text1"/>
          <w:lang w:val="en-US"/>
        </w:rPr>
      </w:pPr>
      <w:r w:rsidRPr="000309F2">
        <w:rPr>
          <w:rFonts w:ascii="Times New Roman" w:eastAsia="Calibri" w:hAnsi="Times New Roman" w:cs="Times New Roman"/>
          <w:noProof/>
          <w:color w:val="000000" w:themeColor="text1"/>
          <w:lang w:val="en-US"/>
        </w:rPr>
        <w:lastRenderedPageBreak/>
        <w:drawing>
          <wp:inline distT="0" distB="0" distL="0" distR="0" wp14:anchorId="3C613CD9" wp14:editId="036E1057">
            <wp:extent cx="5120824" cy="4094205"/>
            <wp:effectExtent l="0" t="0" r="3810" b="1905"/>
            <wp:docPr id="1468941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4188"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135509" cy="4105946"/>
                    </a:xfrm>
                    <a:prstGeom prst="rect">
                      <a:avLst/>
                    </a:prstGeom>
                  </pic:spPr>
                </pic:pic>
              </a:graphicData>
            </a:graphic>
          </wp:inline>
        </w:drawing>
      </w:r>
    </w:p>
    <w:sectPr w:rsidR="00454FEE" w:rsidRPr="000309F2" w:rsidSect="00ED75E2">
      <w:headerReference w:type="default" r:id="rId2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7AFE7" w14:textId="77777777" w:rsidR="00E63E39" w:rsidRDefault="00E63E39" w:rsidP="00044DE9">
      <w:pPr>
        <w:spacing w:after="0" w:line="240" w:lineRule="auto"/>
      </w:pPr>
      <w:r>
        <w:separator/>
      </w:r>
    </w:p>
  </w:endnote>
  <w:endnote w:type="continuationSeparator" w:id="0">
    <w:p w14:paraId="0B07BA2F" w14:textId="77777777" w:rsidR="00E63E39" w:rsidRDefault="00E63E39" w:rsidP="00044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A9108" w14:textId="77777777" w:rsidR="00E63E39" w:rsidRDefault="00E63E39" w:rsidP="00044DE9">
      <w:pPr>
        <w:spacing w:after="0" w:line="240" w:lineRule="auto"/>
      </w:pPr>
      <w:r>
        <w:separator/>
      </w:r>
    </w:p>
  </w:footnote>
  <w:footnote w:type="continuationSeparator" w:id="0">
    <w:p w14:paraId="1F3B9479" w14:textId="77777777" w:rsidR="00E63E39" w:rsidRDefault="00E63E39" w:rsidP="00044D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724A5" w14:textId="77777777" w:rsidR="0006494C" w:rsidRPr="001206C0" w:rsidRDefault="0006494C" w:rsidP="00340865">
    <w:pPr>
      <w:pStyle w:val="Header"/>
      <w:jc w:val="left"/>
      <w:rPr>
        <w:rFonts w:ascii="Times New Roman" w:hAnsi="Times New Roman" w:cs="Times New Roman"/>
      </w:rPr>
    </w:pPr>
  </w:p>
  <w:p w14:paraId="0295B725" w14:textId="77777777" w:rsidR="0006494C" w:rsidRPr="001206C0" w:rsidRDefault="000649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D28D7" w14:textId="77777777" w:rsidR="0006494C" w:rsidRPr="001206C0" w:rsidRDefault="0006494C" w:rsidP="00340865">
    <w:pPr>
      <w:pStyle w:val="Header"/>
      <w:jc w:val="left"/>
      <w:rPr>
        <w:rFonts w:ascii="Times New Roman" w:hAnsi="Times New Roman" w:cs="Times New Roman"/>
      </w:rPr>
    </w:pPr>
  </w:p>
  <w:p w14:paraId="51B49167" w14:textId="77777777" w:rsidR="0006494C" w:rsidRPr="001206C0" w:rsidRDefault="000649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820F4" w14:textId="77777777" w:rsidR="00B15CB9" w:rsidRPr="001206C0" w:rsidRDefault="00B15CB9" w:rsidP="00340865">
    <w:pPr>
      <w:pStyle w:val="Header"/>
      <w:jc w:val="left"/>
      <w:rPr>
        <w:rFonts w:ascii="Times New Roman" w:hAnsi="Times New Roman" w:cs="Times New Roman"/>
      </w:rPr>
    </w:pPr>
  </w:p>
  <w:p w14:paraId="38C50D54" w14:textId="77777777" w:rsidR="00B15CB9" w:rsidRPr="001206C0" w:rsidRDefault="00B15C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C3215" w14:textId="77777777" w:rsidR="00B15CB9" w:rsidRPr="001206C0" w:rsidRDefault="00B15CB9" w:rsidP="00340865">
    <w:pPr>
      <w:pStyle w:val="Header"/>
      <w:jc w:val="left"/>
      <w:rPr>
        <w:rFonts w:ascii="Times New Roman" w:hAnsi="Times New Roman" w:cs="Times New Roman"/>
      </w:rPr>
    </w:pPr>
  </w:p>
  <w:p w14:paraId="278A3515" w14:textId="77777777" w:rsidR="00B15CB9" w:rsidRPr="001206C0" w:rsidRDefault="00B15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7025"/>
    <w:multiLevelType w:val="hybridMultilevel"/>
    <w:tmpl w:val="E0E67DD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E36EE1"/>
    <w:multiLevelType w:val="hybridMultilevel"/>
    <w:tmpl w:val="3CB082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E11C40"/>
    <w:multiLevelType w:val="hybridMultilevel"/>
    <w:tmpl w:val="64E06852"/>
    <w:lvl w:ilvl="0" w:tplc="CA080FCC">
      <w:start w:val="1"/>
      <w:numFmt w:val="upp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EF1480"/>
    <w:multiLevelType w:val="hybridMultilevel"/>
    <w:tmpl w:val="1D0CB85C"/>
    <w:lvl w:ilvl="0" w:tplc="756E71EE">
      <w:numFmt w:val="bullet"/>
      <w:lvlText w:val=""/>
      <w:lvlJc w:val="left"/>
      <w:pPr>
        <w:ind w:left="720" w:hanging="360"/>
      </w:pPr>
      <w:rPr>
        <w:rFonts w:ascii="Symbol" w:eastAsia="Apto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C9226C"/>
    <w:multiLevelType w:val="hybridMultilevel"/>
    <w:tmpl w:val="ABFA1894"/>
    <w:lvl w:ilvl="0" w:tplc="41360BD6">
      <w:start w:val="1"/>
      <w:numFmt w:val="upperLetter"/>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EA65B4"/>
    <w:multiLevelType w:val="hybridMultilevel"/>
    <w:tmpl w:val="3078DE80"/>
    <w:lvl w:ilvl="0" w:tplc="EDA6B6E0">
      <w:numFmt w:val="bullet"/>
      <w:lvlText w:val="-"/>
      <w:lvlJc w:val="left"/>
      <w:pPr>
        <w:ind w:left="720" w:hanging="360"/>
      </w:pPr>
      <w:rPr>
        <w:rFonts w:ascii="Times New Roman" w:eastAsia="Apto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006B95"/>
    <w:multiLevelType w:val="hybridMultilevel"/>
    <w:tmpl w:val="3CB082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E4B336C"/>
    <w:multiLevelType w:val="hybridMultilevel"/>
    <w:tmpl w:val="5ABE9828"/>
    <w:lvl w:ilvl="0" w:tplc="25C41A10">
      <w:start w:val="2"/>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CF765A"/>
    <w:multiLevelType w:val="hybridMultilevel"/>
    <w:tmpl w:val="6310FC76"/>
    <w:lvl w:ilvl="0" w:tplc="B470CBA0">
      <w:numFmt w:val="bullet"/>
      <w:lvlText w:val=""/>
      <w:lvlJc w:val="left"/>
      <w:pPr>
        <w:ind w:left="720" w:hanging="360"/>
      </w:pPr>
      <w:rPr>
        <w:rFonts w:ascii="Symbol" w:eastAsia="Apto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3032854">
    <w:abstractNumId w:val="3"/>
  </w:num>
  <w:num w:numId="2" w16cid:durableId="398871318">
    <w:abstractNumId w:val="8"/>
  </w:num>
  <w:num w:numId="3" w16cid:durableId="271400367">
    <w:abstractNumId w:val="1"/>
  </w:num>
  <w:num w:numId="4" w16cid:durableId="2103378124">
    <w:abstractNumId w:val="6"/>
  </w:num>
  <w:num w:numId="5" w16cid:durableId="294070543">
    <w:abstractNumId w:val="0"/>
  </w:num>
  <w:num w:numId="6" w16cid:durableId="633683685">
    <w:abstractNumId w:val="7"/>
  </w:num>
  <w:num w:numId="7" w16cid:durableId="1964923712">
    <w:abstractNumId w:val="5"/>
  </w:num>
  <w:num w:numId="8" w16cid:durableId="689259220">
    <w:abstractNumId w:val="4"/>
  </w:num>
  <w:num w:numId="9" w16cid:durableId="21208768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F97"/>
    <w:rsid w:val="0000569C"/>
    <w:rsid w:val="00013F92"/>
    <w:rsid w:val="00016656"/>
    <w:rsid w:val="00023E13"/>
    <w:rsid w:val="00025F9C"/>
    <w:rsid w:val="000309F2"/>
    <w:rsid w:val="0003192B"/>
    <w:rsid w:val="00036F18"/>
    <w:rsid w:val="0004375F"/>
    <w:rsid w:val="00044DE9"/>
    <w:rsid w:val="0005365C"/>
    <w:rsid w:val="0005750A"/>
    <w:rsid w:val="0006494C"/>
    <w:rsid w:val="000766E9"/>
    <w:rsid w:val="00081C89"/>
    <w:rsid w:val="00092911"/>
    <w:rsid w:val="00093041"/>
    <w:rsid w:val="000A4CAE"/>
    <w:rsid w:val="000A5EEE"/>
    <w:rsid w:val="000B608C"/>
    <w:rsid w:val="000C2FB6"/>
    <w:rsid w:val="000C4185"/>
    <w:rsid w:val="000C657F"/>
    <w:rsid w:val="00104379"/>
    <w:rsid w:val="00107E3F"/>
    <w:rsid w:val="0012574F"/>
    <w:rsid w:val="00126314"/>
    <w:rsid w:val="00130A40"/>
    <w:rsid w:val="00132C2F"/>
    <w:rsid w:val="00140C26"/>
    <w:rsid w:val="00153167"/>
    <w:rsid w:val="00153476"/>
    <w:rsid w:val="00156BB0"/>
    <w:rsid w:val="00165E16"/>
    <w:rsid w:val="00171DFA"/>
    <w:rsid w:val="001754E8"/>
    <w:rsid w:val="00176304"/>
    <w:rsid w:val="0019202C"/>
    <w:rsid w:val="001A25E7"/>
    <w:rsid w:val="001C09A2"/>
    <w:rsid w:val="001C63C0"/>
    <w:rsid w:val="001D6754"/>
    <w:rsid w:val="001D725A"/>
    <w:rsid w:val="001D7B34"/>
    <w:rsid w:val="001F0775"/>
    <w:rsid w:val="00200C02"/>
    <w:rsid w:val="00200FDC"/>
    <w:rsid w:val="00206D9B"/>
    <w:rsid w:val="00212C3E"/>
    <w:rsid w:val="00214373"/>
    <w:rsid w:val="00225617"/>
    <w:rsid w:val="0022672D"/>
    <w:rsid w:val="00227229"/>
    <w:rsid w:val="00253C23"/>
    <w:rsid w:val="0026214D"/>
    <w:rsid w:val="0027494B"/>
    <w:rsid w:val="00277152"/>
    <w:rsid w:val="00277A70"/>
    <w:rsid w:val="00280247"/>
    <w:rsid w:val="00294260"/>
    <w:rsid w:val="002A1011"/>
    <w:rsid w:val="002A43B1"/>
    <w:rsid w:val="002A55FC"/>
    <w:rsid w:val="002B0080"/>
    <w:rsid w:val="002B29E3"/>
    <w:rsid w:val="002B2FDC"/>
    <w:rsid w:val="002B57B7"/>
    <w:rsid w:val="002D5306"/>
    <w:rsid w:val="002F524C"/>
    <w:rsid w:val="002F648C"/>
    <w:rsid w:val="00304325"/>
    <w:rsid w:val="003107AD"/>
    <w:rsid w:val="003107E9"/>
    <w:rsid w:val="00322A4D"/>
    <w:rsid w:val="00322D81"/>
    <w:rsid w:val="00325A1D"/>
    <w:rsid w:val="003417DB"/>
    <w:rsid w:val="00350F92"/>
    <w:rsid w:val="0035792A"/>
    <w:rsid w:val="003662A2"/>
    <w:rsid w:val="003707C0"/>
    <w:rsid w:val="00370F05"/>
    <w:rsid w:val="00373027"/>
    <w:rsid w:val="00387422"/>
    <w:rsid w:val="0039355E"/>
    <w:rsid w:val="00393C77"/>
    <w:rsid w:val="00405DB9"/>
    <w:rsid w:val="004128F0"/>
    <w:rsid w:val="00415C54"/>
    <w:rsid w:val="00422999"/>
    <w:rsid w:val="0042551B"/>
    <w:rsid w:val="00426579"/>
    <w:rsid w:val="00445A0F"/>
    <w:rsid w:val="00454FEE"/>
    <w:rsid w:val="00456A82"/>
    <w:rsid w:val="0046478F"/>
    <w:rsid w:val="00465A11"/>
    <w:rsid w:val="00487C88"/>
    <w:rsid w:val="00494644"/>
    <w:rsid w:val="00494889"/>
    <w:rsid w:val="004A05E2"/>
    <w:rsid w:val="004A0D51"/>
    <w:rsid w:val="004A3AA6"/>
    <w:rsid w:val="004C631F"/>
    <w:rsid w:val="004D20BE"/>
    <w:rsid w:val="004E034B"/>
    <w:rsid w:val="004E62BA"/>
    <w:rsid w:val="004F1FBD"/>
    <w:rsid w:val="00511461"/>
    <w:rsid w:val="00512DA4"/>
    <w:rsid w:val="00516C3A"/>
    <w:rsid w:val="00522540"/>
    <w:rsid w:val="00525CBC"/>
    <w:rsid w:val="00540CEE"/>
    <w:rsid w:val="005512FB"/>
    <w:rsid w:val="00557ED1"/>
    <w:rsid w:val="00566A3E"/>
    <w:rsid w:val="00567B65"/>
    <w:rsid w:val="005908CE"/>
    <w:rsid w:val="005930FB"/>
    <w:rsid w:val="00595292"/>
    <w:rsid w:val="005A2464"/>
    <w:rsid w:val="005B12BE"/>
    <w:rsid w:val="005D0788"/>
    <w:rsid w:val="005D10A0"/>
    <w:rsid w:val="005E1345"/>
    <w:rsid w:val="005E18B2"/>
    <w:rsid w:val="005E62BD"/>
    <w:rsid w:val="005E62C3"/>
    <w:rsid w:val="005F2A91"/>
    <w:rsid w:val="005F2C4D"/>
    <w:rsid w:val="00611B27"/>
    <w:rsid w:val="00620A12"/>
    <w:rsid w:val="006365A9"/>
    <w:rsid w:val="0063756E"/>
    <w:rsid w:val="0064035F"/>
    <w:rsid w:val="00643B1A"/>
    <w:rsid w:val="00645895"/>
    <w:rsid w:val="00647A62"/>
    <w:rsid w:val="0065406C"/>
    <w:rsid w:val="00656241"/>
    <w:rsid w:val="00660366"/>
    <w:rsid w:val="00660975"/>
    <w:rsid w:val="0066208D"/>
    <w:rsid w:val="00683B24"/>
    <w:rsid w:val="00697A9F"/>
    <w:rsid w:val="006A1117"/>
    <w:rsid w:val="006A3695"/>
    <w:rsid w:val="006A4800"/>
    <w:rsid w:val="006A4A2D"/>
    <w:rsid w:val="006B1958"/>
    <w:rsid w:val="006B1E1F"/>
    <w:rsid w:val="006C40E7"/>
    <w:rsid w:val="006D33E8"/>
    <w:rsid w:val="006E076B"/>
    <w:rsid w:val="006F08C4"/>
    <w:rsid w:val="006F69FC"/>
    <w:rsid w:val="00700FD2"/>
    <w:rsid w:val="00706C68"/>
    <w:rsid w:val="00712FC4"/>
    <w:rsid w:val="007146D3"/>
    <w:rsid w:val="00717E9E"/>
    <w:rsid w:val="00724AF2"/>
    <w:rsid w:val="00725806"/>
    <w:rsid w:val="00747BB1"/>
    <w:rsid w:val="007527BF"/>
    <w:rsid w:val="00766683"/>
    <w:rsid w:val="00777C88"/>
    <w:rsid w:val="00790D40"/>
    <w:rsid w:val="007A0AEA"/>
    <w:rsid w:val="007B2816"/>
    <w:rsid w:val="007B334A"/>
    <w:rsid w:val="007C0F97"/>
    <w:rsid w:val="007C33DD"/>
    <w:rsid w:val="007D413E"/>
    <w:rsid w:val="007D7C48"/>
    <w:rsid w:val="007E3C14"/>
    <w:rsid w:val="0080105B"/>
    <w:rsid w:val="00805A4D"/>
    <w:rsid w:val="0081129E"/>
    <w:rsid w:val="00820F9C"/>
    <w:rsid w:val="008210A4"/>
    <w:rsid w:val="00831D8F"/>
    <w:rsid w:val="00834BF2"/>
    <w:rsid w:val="00837EFB"/>
    <w:rsid w:val="0084015C"/>
    <w:rsid w:val="00840EE9"/>
    <w:rsid w:val="008433A3"/>
    <w:rsid w:val="008768A1"/>
    <w:rsid w:val="00877047"/>
    <w:rsid w:val="0088014D"/>
    <w:rsid w:val="00884F87"/>
    <w:rsid w:val="008A1A6F"/>
    <w:rsid w:val="008C625E"/>
    <w:rsid w:val="008C6F19"/>
    <w:rsid w:val="008F22C4"/>
    <w:rsid w:val="008F31EB"/>
    <w:rsid w:val="008F431B"/>
    <w:rsid w:val="00901C69"/>
    <w:rsid w:val="00905A00"/>
    <w:rsid w:val="009061F4"/>
    <w:rsid w:val="00935D32"/>
    <w:rsid w:val="00936310"/>
    <w:rsid w:val="00936A7C"/>
    <w:rsid w:val="00937AA3"/>
    <w:rsid w:val="00944181"/>
    <w:rsid w:val="00944DB4"/>
    <w:rsid w:val="0094519B"/>
    <w:rsid w:val="00945361"/>
    <w:rsid w:val="00947F85"/>
    <w:rsid w:val="0095570A"/>
    <w:rsid w:val="00965301"/>
    <w:rsid w:val="00972437"/>
    <w:rsid w:val="00980A91"/>
    <w:rsid w:val="00983B40"/>
    <w:rsid w:val="009B61D4"/>
    <w:rsid w:val="009B71CA"/>
    <w:rsid w:val="009C6B72"/>
    <w:rsid w:val="009D1224"/>
    <w:rsid w:val="009D5C77"/>
    <w:rsid w:val="009D633B"/>
    <w:rsid w:val="009E7AE5"/>
    <w:rsid w:val="009F063F"/>
    <w:rsid w:val="009F6043"/>
    <w:rsid w:val="009F605B"/>
    <w:rsid w:val="00A04EC5"/>
    <w:rsid w:val="00A06B9C"/>
    <w:rsid w:val="00A10313"/>
    <w:rsid w:val="00A6000C"/>
    <w:rsid w:val="00A67A06"/>
    <w:rsid w:val="00A7765B"/>
    <w:rsid w:val="00A810F9"/>
    <w:rsid w:val="00A82570"/>
    <w:rsid w:val="00A83C40"/>
    <w:rsid w:val="00A90032"/>
    <w:rsid w:val="00A93D48"/>
    <w:rsid w:val="00AA1871"/>
    <w:rsid w:val="00AA354A"/>
    <w:rsid w:val="00AB0973"/>
    <w:rsid w:val="00AB5C8F"/>
    <w:rsid w:val="00AC5760"/>
    <w:rsid w:val="00AD185B"/>
    <w:rsid w:val="00AD7CF9"/>
    <w:rsid w:val="00AE2267"/>
    <w:rsid w:val="00AF507C"/>
    <w:rsid w:val="00B06443"/>
    <w:rsid w:val="00B15A7B"/>
    <w:rsid w:val="00B15CB9"/>
    <w:rsid w:val="00B21054"/>
    <w:rsid w:val="00B25BDD"/>
    <w:rsid w:val="00B33140"/>
    <w:rsid w:val="00B4048B"/>
    <w:rsid w:val="00B42591"/>
    <w:rsid w:val="00B64ED2"/>
    <w:rsid w:val="00B67C18"/>
    <w:rsid w:val="00B70ABF"/>
    <w:rsid w:val="00B75D4B"/>
    <w:rsid w:val="00BA2A97"/>
    <w:rsid w:val="00BB47EF"/>
    <w:rsid w:val="00BB4C78"/>
    <w:rsid w:val="00BC06C0"/>
    <w:rsid w:val="00BC6519"/>
    <w:rsid w:val="00BD498D"/>
    <w:rsid w:val="00BD715B"/>
    <w:rsid w:val="00BE109B"/>
    <w:rsid w:val="00BE336F"/>
    <w:rsid w:val="00BE6CA1"/>
    <w:rsid w:val="00BE7FEB"/>
    <w:rsid w:val="00BF3329"/>
    <w:rsid w:val="00C01C21"/>
    <w:rsid w:val="00C03F07"/>
    <w:rsid w:val="00C0679B"/>
    <w:rsid w:val="00C078E8"/>
    <w:rsid w:val="00C11413"/>
    <w:rsid w:val="00C12B6C"/>
    <w:rsid w:val="00C142E6"/>
    <w:rsid w:val="00C16977"/>
    <w:rsid w:val="00C340CC"/>
    <w:rsid w:val="00C35255"/>
    <w:rsid w:val="00C36BD9"/>
    <w:rsid w:val="00C43562"/>
    <w:rsid w:val="00C57CC8"/>
    <w:rsid w:val="00C63785"/>
    <w:rsid w:val="00C64D7B"/>
    <w:rsid w:val="00C66AF1"/>
    <w:rsid w:val="00C839BE"/>
    <w:rsid w:val="00C96B94"/>
    <w:rsid w:val="00CB49B5"/>
    <w:rsid w:val="00CC4BAC"/>
    <w:rsid w:val="00CD17F2"/>
    <w:rsid w:val="00CD6934"/>
    <w:rsid w:val="00CD749C"/>
    <w:rsid w:val="00CE3286"/>
    <w:rsid w:val="00CF49F5"/>
    <w:rsid w:val="00D00532"/>
    <w:rsid w:val="00D03D25"/>
    <w:rsid w:val="00D04B2A"/>
    <w:rsid w:val="00D067D4"/>
    <w:rsid w:val="00D1210F"/>
    <w:rsid w:val="00D23614"/>
    <w:rsid w:val="00D23AB6"/>
    <w:rsid w:val="00D34552"/>
    <w:rsid w:val="00D35AC9"/>
    <w:rsid w:val="00D35C1C"/>
    <w:rsid w:val="00D52C3E"/>
    <w:rsid w:val="00D67AD8"/>
    <w:rsid w:val="00D75580"/>
    <w:rsid w:val="00D81219"/>
    <w:rsid w:val="00D83281"/>
    <w:rsid w:val="00D84952"/>
    <w:rsid w:val="00D8627E"/>
    <w:rsid w:val="00D94C61"/>
    <w:rsid w:val="00D95971"/>
    <w:rsid w:val="00D97FC0"/>
    <w:rsid w:val="00DA12D9"/>
    <w:rsid w:val="00DB1018"/>
    <w:rsid w:val="00DC078E"/>
    <w:rsid w:val="00DC35B5"/>
    <w:rsid w:val="00DE19CA"/>
    <w:rsid w:val="00DE2622"/>
    <w:rsid w:val="00DE366E"/>
    <w:rsid w:val="00DE54ED"/>
    <w:rsid w:val="00DF043B"/>
    <w:rsid w:val="00DF5E35"/>
    <w:rsid w:val="00E06B08"/>
    <w:rsid w:val="00E21320"/>
    <w:rsid w:val="00E248B5"/>
    <w:rsid w:val="00E41531"/>
    <w:rsid w:val="00E41874"/>
    <w:rsid w:val="00E54791"/>
    <w:rsid w:val="00E60C3C"/>
    <w:rsid w:val="00E63E39"/>
    <w:rsid w:val="00E642E4"/>
    <w:rsid w:val="00E7293B"/>
    <w:rsid w:val="00E8720D"/>
    <w:rsid w:val="00E94B4C"/>
    <w:rsid w:val="00EA304B"/>
    <w:rsid w:val="00EA4602"/>
    <w:rsid w:val="00EA74B7"/>
    <w:rsid w:val="00EB6733"/>
    <w:rsid w:val="00ED2FA5"/>
    <w:rsid w:val="00ED5BC7"/>
    <w:rsid w:val="00ED66D1"/>
    <w:rsid w:val="00ED75E2"/>
    <w:rsid w:val="00EE32DA"/>
    <w:rsid w:val="00EE3AB1"/>
    <w:rsid w:val="00EE6E88"/>
    <w:rsid w:val="00EF0BF0"/>
    <w:rsid w:val="00EF4CCF"/>
    <w:rsid w:val="00EF7050"/>
    <w:rsid w:val="00EF7F1E"/>
    <w:rsid w:val="00F276D3"/>
    <w:rsid w:val="00F30FE8"/>
    <w:rsid w:val="00F51326"/>
    <w:rsid w:val="00F524E1"/>
    <w:rsid w:val="00F62B6C"/>
    <w:rsid w:val="00F75917"/>
    <w:rsid w:val="00F767E0"/>
    <w:rsid w:val="00F83B48"/>
    <w:rsid w:val="00F94429"/>
    <w:rsid w:val="00F96EC9"/>
    <w:rsid w:val="00FA23F9"/>
    <w:rsid w:val="00FA3E45"/>
    <w:rsid w:val="00FA417B"/>
    <w:rsid w:val="00FB3425"/>
    <w:rsid w:val="00FB35DE"/>
    <w:rsid w:val="00FC3B48"/>
    <w:rsid w:val="00FC4EAF"/>
    <w:rsid w:val="00FD1402"/>
    <w:rsid w:val="00FD18B1"/>
    <w:rsid w:val="00FF7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87872"/>
  <w15:chartTrackingRefBased/>
  <w15:docId w15:val="{F6D23D45-20AE-43F8-86E6-F8F9C0ABF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8" w:lineRule="auto"/>
    </w:pPr>
  </w:style>
  <w:style w:type="paragraph" w:styleId="Heading1">
    <w:name w:val="heading 1"/>
    <w:basedOn w:val="Normal"/>
    <w:next w:val="Normal"/>
    <w:link w:val="Heading1Char"/>
    <w:autoRedefine/>
    <w:uiPriority w:val="9"/>
    <w:qFormat/>
    <w:rsid w:val="00A810F9"/>
    <w:pPr>
      <w:keepNext/>
      <w:keepLines/>
      <w:spacing w:after="0" w:line="480" w:lineRule="auto"/>
      <w:jc w:val="center"/>
      <w:outlineLvl w:val="0"/>
    </w:pPr>
    <w:rPr>
      <w:rFonts w:ascii="Times New Roman" w:eastAsiaTheme="majorEastAsia" w:hAnsi="Times New Roman" w:cstheme="majorBidi"/>
      <w:b/>
      <w:i/>
      <w:sz w:val="84"/>
      <w:szCs w:val="32"/>
    </w:rPr>
  </w:style>
  <w:style w:type="paragraph" w:styleId="Heading2">
    <w:name w:val="heading 2"/>
    <w:basedOn w:val="Normal"/>
    <w:next w:val="Normal"/>
    <w:link w:val="Heading2Char"/>
    <w:autoRedefine/>
    <w:uiPriority w:val="9"/>
    <w:unhideWhenUsed/>
    <w:qFormat/>
    <w:rsid w:val="00A810F9"/>
    <w:pPr>
      <w:keepNext/>
      <w:keepLines/>
      <w:spacing w:after="0" w:line="480" w:lineRule="auto"/>
      <w:jc w:val="left"/>
      <w:outlineLvl w:val="1"/>
    </w:pPr>
    <w:rPr>
      <w:rFonts w:ascii="Times New Roman" w:eastAsiaTheme="majorEastAsia" w:hAnsi="Times New Roman" w:cstheme="majorBidi"/>
      <w:b/>
      <w:szCs w:val="26"/>
      <w:lang w:val="es-ES"/>
    </w:rPr>
  </w:style>
  <w:style w:type="paragraph" w:styleId="Heading3">
    <w:name w:val="heading 3"/>
    <w:basedOn w:val="Normal"/>
    <w:next w:val="Normal"/>
    <w:link w:val="Heading3Char"/>
    <w:autoRedefine/>
    <w:uiPriority w:val="9"/>
    <w:unhideWhenUsed/>
    <w:qFormat/>
    <w:rsid w:val="00983B40"/>
    <w:pPr>
      <w:keepNext/>
      <w:keepLines/>
      <w:spacing w:after="0" w:line="480" w:lineRule="auto"/>
      <w:jc w:val="left"/>
      <w:outlineLvl w:val="2"/>
    </w:pPr>
    <w:rPr>
      <w:rFonts w:ascii="Times New Roman" w:eastAsiaTheme="majorEastAsia" w:hAnsi="Times New Roman" w:cstheme="majorBidi"/>
      <w:b/>
      <w:i/>
      <w:color w:val="000000" w:themeColor="text1"/>
      <w:lang w:val="es-ES"/>
    </w:rPr>
  </w:style>
  <w:style w:type="paragraph" w:styleId="Heading4">
    <w:name w:val="heading 4"/>
    <w:basedOn w:val="Normal"/>
    <w:next w:val="Normal"/>
    <w:link w:val="Heading4Char"/>
    <w:autoRedefine/>
    <w:uiPriority w:val="9"/>
    <w:unhideWhenUsed/>
    <w:qFormat/>
    <w:rsid w:val="00A810F9"/>
    <w:pPr>
      <w:keepNext/>
      <w:keepLines/>
      <w:spacing w:after="0" w:line="480" w:lineRule="auto"/>
      <w:jc w:val="left"/>
      <w:outlineLvl w:val="3"/>
    </w:pPr>
    <w:rPr>
      <w:rFonts w:ascii="Times New Roman" w:eastAsiaTheme="majorEastAsia" w:hAnsi="Times New Roman" w:cstheme="majorBidi"/>
      <w:b/>
      <w:i/>
      <w:iCs/>
      <w:color w:val="000000" w:themeColor="text1"/>
      <w:lang w:val="es-ES"/>
    </w:rPr>
  </w:style>
  <w:style w:type="paragraph" w:styleId="Heading5">
    <w:name w:val="heading 5"/>
    <w:basedOn w:val="Normal"/>
    <w:next w:val="Normal"/>
    <w:link w:val="Heading5Char"/>
    <w:uiPriority w:val="9"/>
    <w:semiHidden/>
    <w:unhideWhenUsed/>
    <w:qFormat/>
    <w:rsid w:val="007C0F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0F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0F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0F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0F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810F9"/>
    <w:rPr>
      <w:rFonts w:ascii="Times New Roman" w:eastAsiaTheme="majorEastAsia" w:hAnsi="Times New Roman" w:cstheme="majorBidi"/>
      <w:b/>
      <w:i/>
      <w:iCs/>
      <w:color w:val="000000" w:themeColor="text1"/>
      <w:lang w:val="es-ES"/>
    </w:rPr>
  </w:style>
  <w:style w:type="character" w:customStyle="1" w:styleId="Heading1Char">
    <w:name w:val="Heading 1 Char"/>
    <w:basedOn w:val="DefaultParagraphFont"/>
    <w:link w:val="Heading1"/>
    <w:uiPriority w:val="9"/>
    <w:rsid w:val="00A810F9"/>
    <w:rPr>
      <w:rFonts w:ascii="Times New Roman" w:eastAsiaTheme="majorEastAsia" w:hAnsi="Times New Roman" w:cstheme="majorBidi"/>
      <w:b/>
      <w:i/>
      <w:sz w:val="84"/>
      <w:szCs w:val="32"/>
    </w:rPr>
  </w:style>
  <w:style w:type="character" w:customStyle="1" w:styleId="Heading2Char">
    <w:name w:val="Heading 2 Char"/>
    <w:basedOn w:val="DefaultParagraphFont"/>
    <w:link w:val="Heading2"/>
    <w:uiPriority w:val="9"/>
    <w:rsid w:val="00A810F9"/>
    <w:rPr>
      <w:rFonts w:ascii="Times New Roman" w:eastAsiaTheme="majorEastAsia" w:hAnsi="Times New Roman" w:cstheme="majorBidi"/>
      <w:b/>
      <w:szCs w:val="26"/>
      <w:lang w:val="es-ES"/>
    </w:rPr>
  </w:style>
  <w:style w:type="character" w:customStyle="1" w:styleId="Heading3Char">
    <w:name w:val="Heading 3 Char"/>
    <w:basedOn w:val="DefaultParagraphFont"/>
    <w:link w:val="Heading3"/>
    <w:uiPriority w:val="9"/>
    <w:rsid w:val="00983B40"/>
    <w:rPr>
      <w:rFonts w:ascii="Times New Roman" w:eastAsiaTheme="majorEastAsia" w:hAnsi="Times New Roman" w:cstheme="majorBidi"/>
      <w:b/>
      <w:i/>
      <w:color w:val="000000" w:themeColor="text1"/>
      <w:lang w:val="es-ES"/>
    </w:rPr>
  </w:style>
  <w:style w:type="character" w:customStyle="1" w:styleId="Heading5Char">
    <w:name w:val="Heading 5 Char"/>
    <w:basedOn w:val="DefaultParagraphFont"/>
    <w:link w:val="Heading5"/>
    <w:uiPriority w:val="9"/>
    <w:semiHidden/>
    <w:rsid w:val="007C0F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0F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0F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0F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0F97"/>
    <w:rPr>
      <w:rFonts w:eastAsiaTheme="majorEastAsia" w:cstheme="majorBidi"/>
      <w:color w:val="272727" w:themeColor="text1" w:themeTint="D8"/>
    </w:rPr>
  </w:style>
  <w:style w:type="paragraph" w:styleId="Title">
    <w:name w:val="Title"/>
    <w:basedOn w:val="Normal"/>
    <w:next w:val="Normal"/>
    <w:link w:val="TitleChar"/>
    <w:uiPriority w:val="10"/>
    <w:qFormat/>
    <w:rsid w:val="007C0F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0F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0F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0F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0F97"/>
    <w:pPr>
      <w:spacing w:before="160"/>
      <w:jc w:val="center"/>
    </w:pPr>
    <w:rPr>
      <w:i/>
      <w:iCs/>
      <w:color w:val="404040" w:themeColor="text1" w:themeTint="BF"/>
    </w:rPr>
  </w:style>
  <w:style w:type="character" w:customStyle="1" w:styleId="QuoteChar">
    <w:name w:val="Quote Char"/>
    <w:basedOn w:val="DefaultParagraphFont"/>
    <w:link w:val="Quote"/>
    <w:uiPriority w:val="29"/>
    <w:rsid w:val="007C0F97"/>
    <w:rPr>
      <w:i/>
      <w:iCs/>
      <w:color w:val="404040" w:themeColor="text1" w:themeTint="BF"/>
    </w:rPr>
  </w:style>
  <w:style w:type="paragraph" w:styleId="ListParagraph">
    <w:name w:val="List Paragraph"/>
    <w:basedOn w:val="Normal"/>
    <w:uiPriority w:val="34"/>
    <w:qFormat/>
    <w:rsid w:val="007C0F97"/>
    <w:pPr>
      <w:ind w:left="720"/>
      <w:contextualSpacing/>
    </w:pPr>
  </w:style>
  <w:style w:type="character" w:styleId="IntenseEmphasis">
    <w:name w:val="Intense Emphasis"/>
    <w:basedOn w:val="DefaultParagraphFont"/>
    <w:uiPriority w:val="21"/>
    <w:qFormat/>
    <w:rsid w:val="007C0F97"/>
    <w:rPr>
      <w:i/>
      <w:iCs/>
      <w:color w:val="0F4761" w:themeColor="accent1" w:themeShade="BF"/>
    </w:rPr>
  </w:style>
  <w:style w:type="paragraph" w:styleId="IntenseQuote">
    <w:name w:val="Intense Quote"/>
    <w:basedOn w:val="Normal"/>
    <w:next w:val="Normal"/>
    <w:link w:val="IntenseQuoteChar"/>
    <w:uiPriority w:val="30"/>
    <w:qFormat/>
    <w:rsid w:val="007C0F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0F97"/>
    <w:rPr>
      <w:i/>
      <w:iCs/>
      <w:color w:val="0F4761" w:themeColor="accent1" w:themeShade="BF"/>
    </w:rPr>
  </w:style>
  <w:style w:type="character" w:styleId="IntenseReference">
    <w:name w:val="Intense Reference"/>
    <w:basedOn w:val="DefaultParagraphFont"/>
    <w:uiPriority w:val="32"/>
    <w:qFormat/>
    <w:rsid w:val="007C0F97"/>
    <w:rPr>
      <w:b/>
      <w:bCs/>
      <w:smallCaps/>
      <w:color w:val="0F4761" w:themeColor="accent1" w:themeShade="BF"/>
      <w:spacing w:val="5"/>
    </w:rPr>
  </w:style>
  <w:style w:type="character" w:styleId="CommentReference">
    <w:name w:val="annotation reference"/>
    <w:basedOn w:val="DefaultParagraphFont"/>
    <w:uiPriority w:val="99"/>
    <w:semiHidden/>
    <w:unhideWhenUsed/>
    <w:rsid w:val="007C0F97"/>
    <w:rPr>
      <w:sz w:val="16"/>
      <w:szCs w:val="16"/>
    </w:rPr>
  </w:style>
  <w:style w:type="paragraph" w:styleId="CommentText">
    <w:name w:val="annotation text"/>
    <w:basedOn w:val="Normal"/>
    <w:link w:val="CommentTextChar"/>
    <w:uiPriority w:val="99"/>
    <w:unhideWhenUsed/>
    <w:rsid w:val="007C0F97"/>
    <w:pPr>
      <w:spacing w:after="0" w:line="240" w:lineRule="auto"/>
      <w:jc w:val="left"/>
    </w:pPr>
    <w:rPr>
      <w:kern w:val="0"/>
      <w:sz w:val="20"/>
      <w:szCs w:val="20"/>
      <w14:ligatures w14:val="none"/>
    </w:rPr>
  </w:style>
  <w:style w:type="character" w:customStyle="1" w:styleId="CommentTextChar">
    <w:name w:val="Comment Text Char"/>
    <w:basedOn w:val="DefaultParagraphFont"/>
    <w:link w:val="CommentText"/>
    <w:uiPriority w:val="99"/>
    <w:rsid w:val="007C0F97"/>
    <w:rPr>
      <w:kern w:val="0"/>
      <w:sz w:val="20"/>
      <w:szCs w:val="20"/>
      <w14:ligatures w14:val="none"/>
    </w:rPr>
  </w:style>
  <w:style w:type="table" w:styleId="TableGrid">
    <w:name w:val="Table Grid"/>
    <w:basedOn w:val="TableNormal"/>
    <w:uiPriority w:val="39"/>
    <w:rsid w:val="009D1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749C"/>
    <w:rPr>
      <w:color w:val="467886" w:themeColor="hyperlink"/>
      <w:u w:val="single"/>
    </w:rPr>
  </w:style>
  <w:style w:type="character" w:styleId="UnresolvedMention">
    <w:name w:val="Unresolved Mention"/>
    <w:basedOn w:val="DefaultParagraphFont"/>
    <w:uiPriority w:val="99"/>
    <w:semiHidden/>
    <w:unhideWhenUsed/>
    <w:rsid w:val="00CD749C"/>
    <w:rPr>
      <w:color w:val="605E5C"/>
      <w:shd w:val="clear" w:color="auto" w:fill="E1DFDD"/>
    </w:rPr>
  </w:style>
  <w:style w:type="table" w:customStyle="1" w:styleId="TableGrid1">
    <w:name w:val="Table Grid1"/>
    <w:basedOn w:val="TableNormal"/>
    <w:next w:val="TableGrid"/>
    <w:uiPriority w:val="39"/>
    <w:rsid w:val="004A0D51"/>
    <w:pPr>
      <w:spacing w:after="0" w:line="240" w:lineRule="auto"/>
      <w:jc w:val="left"/>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4D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DE9"/>
  </w:style>
  <w:style w:type="paragraph" w:styleId="Footer">
    <w:name w:val="footer"/>
    <w:basedOn w:val="Normal"/>
    <w:link w:val="FooterChar"/>
    <w:uiPriority w:val="99"/>
    <w:unhideWhenUsed/>
    <w:rsid w:val="00044D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DE9"/>
  </w:style>
  <w:style w:type="paragraph" w:styleId="Bibliography">
    <w:name w:val="Bibliography"/>
    <w:basedOn w:val="Normal"/>
    <w:next w:val="Normal"/>
    <w:uiPriority w:val="37"/>
    <w:unhideWhenUsed/>
    <w:rsid w:val="007146D3"/>
    <w:pPr>
      <w:tabs>
        <w:tab w:val="left" w:pos="504"/>
      </w:tabs>
      <w:spacing w:after="240" w:line="240" w:lineRule="auto"/>
      <w:ind w:left="504" w:hanging="504"/>
    </w:pPr>
  </w:style>
  <w:style w:type="paragraph" w:styleId="NormalWeb">
    <w:name w:val="Normal (Web)"/>
    <w:basedOn w:val="Normal"/>
    <w:uiPriority w:val="99"/>
    <w:semiHidden/>
    <w:unhideWhenUsed/>
    <w:rsid w:val="00E60C3C"/>
    <w:rPr>
      <w:rFonts w:ascii="Times New Roman" w:hAnsi="Times New Roman" w:cs="Times New Roman"/>
    </w:rPr>
  </w:style>
  <w:style w:type="table" w:customStyle="1" w:styleId="TableGrid13">
    <w:name w:val="Table Grid13"/>
    <w:basedOn w:val="TableNormal"/>
    <w:next w:val="TableGrid"/>
    <w:uiPriority w:val="39"/>
    <w:rsid w:val="00ED75E2"/>
    <w:pPr>
      <w:spacing w:after="0" w:line="240" w:lineRule="auto"/>
      <w:jc w:val="left"/>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64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6494C"/>
  </w:style>
  <w:style w:type="paragraph" w:customStyle="1" w:styleId="Ttulo11">
    <w:name w:val="Título 11"/>
    <w:basedOn w:val="Normal"/>
    <w:rsid w:val="0006494C"/>
    <w:pPr>
      <w:spacing w:line="259" w:lineRule="auto"/>
      <w:jc w:val="left"/>
    </w:pPr>
    <w:rPr>
      <w:kern w:val="0"/>
      <w:sz w:val="22"/>
      <w:szCs w:val="22"/>
      <w14:ligatures w14:val="none"/>
    </w:rPr>
  </w:style>
  <w:style w:type="table" w:customStyle="1" w:styleId="TableGrid2">
    <w:name w:val="Table Grid2"/>
    <w:basedOn w:val="TableNormal"/>
    <w:next w:val="TableGrid"/>
    <w:uiPriority w:val="39"/>
    <w:rsid w:val="0006494C"/>
    <w:pPr>
      <w:spacing w:after="0" w:line="240" w:lineRule="auto"/>
      <w:jc w:val="left"/>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6494C"/>
    <w:pPr>
      <w:spacing w:after="0" w:line="240" w:lineRule="auto"/>
      <w:jc w:val="left"/>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06494C"/>
    <w:rPr>
      <w:rFonts w:ascii="Segoe UI" w:hAnsi="Segoe UI" w:cs="Segoe UI"/>
      <w:kern w:val="0"/>
      <w:sz w:val="18"/>
      <w:szCs w:val="18"/>
      <w14:ligatures w14:val="none"/>
    </w:rPr>
  </w:style>
  <w:style w:type="paragraph" w:customStyle="1" w:styleId="Caption1">
    <w:name w:val="Caption1"/>
    <w:basedOn w:val="Normal"/>
    <w:next w:val="Normal"/>
    <w:uiPriority w:val="35"/>
    <w:unhideWhenUsed/>
    <w:qFormat/>
    <w:rsid w:val="0006494C"/>
    <w:pPr>
      <w:spacing w:after="200" w:line="240" w:lineRule="auto"/>
      <w:jc w:val="left"/>
    </w:pPr>
    <w:rPr>
      <w:rFonts w:ascii="Calibri" w:eastAsia="SimSun" w:hAnsi="Calibri" w:cs="Arial"/>
      <w:i/>
      <w:iCs/>
      <w:color w:val="44546A"/>
      <w:kern w:val="0"/>
      <w:sz w:val="18"/>
      <w:szCs w:val="18"/>
      <w:lang w:eastAsia="zh-CN"/>
      <w14:ligatures w14:val="none"/>
    </w:rPr>
  </w:style>
  <w:style w:type="character" w:styleId="BookTitle">
    <w:name w:val="Book Title"/>
    <w:basedOn w:val="DefaultParagraphFont"/>
    <w:uiPriority w:val="33"/>
    <w:qFormat/>
    <w:rsid w:val="0006494C"/>
    <w:rPr>
      <w:b/>
      <w:bCs/>
      <w:i/>
      <w:iCs/>
      <w:spacing w:val="5"/>
    </w:rPr>
  </w:style>
  <w:style w:type="paragraph" w:customStyle="1" w:styleId="NoSpacing1">
    <w:name w:val="No Spacing1"/>
    <w:next w:val="NoSpacing"/>
    <w:link w:val="NoSpacingChar"/>
    <w:uiPriority w:val="1"/>
    <w:rsid w:val="0006494C"/>
    <w:pPr>
      <w:spacing w:after="0" w:line="240" w:lineRule="auto"/>
      <w:jc w:val="left"/>
    </w:pPr>
    <w:rPr>
      <w:rFonts w:eastAsia="Times New Roman"/>
      <w:kern w:val="0"/>
      <w:sz w:val="22"/>
      <w:szCs w:val="22"/>
      <w:lang w:val="en-US"/>
      <w14:ligatures w14:val="none"/>
    </w:rPr>
  </w:style>
  <w:style w:type="character" w:customStyle="1" w:styleId="NoSpacingChar">
    <w:name w:val="No Spacing Char"/>
    <w:basedOn w:val="DefaultParagraphFont"/>
    <w:link w:val="NoSpacing1"/>
    <w:uiPriority w:val="1"/>
    <w:rsid w:val="0006494C"/>
    <w:rPr>
      <w:rFonts w:eastAsia="Times New Roman"/>
      <w:kern w:val="0"/>
      <w:sz w:val="22"/>
      <w:szCs w:val="22"/>
      <w:lang w:val="en-US"/>
      <w14:ligatures w14:val="none"/>
    </w:rPr>
  </w:style>
  <w:style w:type="paragraph" w:styleId="CommentSubject">
    <w:name w:val="annotation subject"/>
    <w:basedOn w:val="CommentText"/>
    <w:next w:val="CommentText"/>
    <w:link w:val="CommentSubjectChar"/>
    <w:uiPriority w:val="99"/>
    <w:semiHidden/>
    <w:unhideWhenUsed/>
    <w:rsid w:val="0006494C"/>
    <w:pPr>
      <w:spacing w:after="160"/>
    </w:pPr>
    <w:rPr>
      <w:b/>
      <w:bCs/>
      <w:lang w:val="es-ES"/>
    </w:rPr>
  </w:style>
  <w:style w:type="character" w:customStyle="1" w:styleId="CommentSubjectChar">
    <w:name w:val="Comment Subject Char"/>
    <w:basedOn w:val="CommentTextChar"/>
    <w:link w:val="CommentSubject"/>
    <w:uiPriority w:val="99"/>
    <w:semiHidden/>
    <w:rsid w:val="0006494C"/>
    <w:rPr>
      <w:b/>
      <w:bCs/>
      <w:kern w:val="0"/>
      <w:sz w:val="20"/>
      <w:szCs w:val="20"/>
      <w:lang w:val="es-ES"/>
      <w14:ligatures w14:val="none"/>
    </w:rPr>
  </w:style>
  <w:style w:type="table" w:customStyle="1" w:styleId="PlainTable21">
    <w:name w:val="Plain Table 21"/>
    <w:basedOn w:val="TableNormal"/>
    <w:next w:val="PlainTable2"/>
    <w:uiPriority w:val="42"/>
    <w:rsid w:val="0006494C"/>
    <w:pPr>
      <w:spacing w:after="0" w:line="240" w:lineRule="auto"/>
      <w:jc w:val="left"/>
    </w:pPr>
    <w:rPr>
      <w:kern w:val="0"/>
      <w:sz w:val="22"/>
      <w:szCs w:val="22"/>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
    <w:name w:val="Table Grid Light1"/>
    <w:basedOn w:val="TableNormal"/>
    <w:next w:val="TableGridLight"/>
    <w:uiPriority w:val="40"/>
    <w:rsid w:val="0006494C"/>
    <w:pPr>
      <w:spacing w:after="0" w:line="240" w:lineRule="auto"/>
      <w:jc w:val="left"/>
    </w:pPr>
    <w:rPr>
      <w:kern w:val="0"/>
      <w:sz w:val="22"/>
      <w:szCs w:val="22"/>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TMLPreformatted">
    <w:name w:val="HTML Preformatted"/>
    <w:basedOn w:val="Normal"/>
    <w:link w:val="HTMLPreformattedChar"/>
    <w:uiPriority w:val="99"/>
    <w:semiHidden/>
    <w:unhideWhenUsed/>
    <w:rsid w:val="000649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kern w:val="0"/>
      <w:sz w:val="20"/>
      <w:szCs w:val="20"/>
      <w:lang w:eastAsia="en-GB"/>
      <w14:ligatures w14:val="none"/>
    </w:rPr>
  </w:style>
  <w:style w:type="character" w:customStyle="1" w:styleId="HTMLPreformattedChar">
    <w:name w:val="HTML Preformatted Char"/>
    <w:basedOn w:val="DefaultParagraphFont"/>
    <w:link w:val="HTMLPreformatted"/>
    <w:uiPriority w:val="99"/>
    <w:semiHidden/>
    <w:rsid w:val="0006494C"/>
    <w:rPr>
      <w:rFonts w:ascii="Courier New" w:eastAsia="Times New Roman" w:hAnsi="Courier New" w:cs="Courier New"/>
      <w:kern w:val="0"/>
      <w:sz w:val="20"/>
      <w:szCs w:val="20"/>
      <w:lang w:eastAsia="en-GB"/>
      <w14:ligatures w14:val="none"/>
    </w:rPr>
  </w:style>
  <w:style w:type="character" w:customStyle="1" w:styleId="gnd-iwgdh3b">
    <w:name w:val="gnd-iwgdh3b"/>
    <w:basedOn w:val="DefaultParagraphFont"/>
    <w:rsid w:val="0006494C"/>
  </w:style>
  <w:style w:type="paragraph" w:customStyle="1" w:styleId="TOC11">
    <w:name w:val="TOC 11"/>
    <w:basedOn w:val="Normal"/>
    <w:next w:val="Normal"/>
    <w:autoRedefine/>
    <w:uiPriority w:val="39"/>
    <w:unhideWhenUsed/>
    <w:rsid w:val="0006494C"/>
    <w:pPr>
      <w:tabs>
        <w:tab w:val="right" w:pos="9016"/>
      </w:tabs>
      <w:spacing w:before="240" w:after="120" w:line="360" w:lineRule="auto"/>
      <w:jc w:val="left"/>
    </w:pPr>
    <w:rPr>
      <w:rFonts w:cs="Calibri"/>
      <w:b/>
      <w:bCs/>
      <w:kern w:val="0"/>
      <w:sz w:val="20"/>
      <w:szCs w:val="20"/>
      <w14:ligatures w14:val="none"/>
    </w:rPr>
  </w:style>
  <w:style w:type="paragraph" w:styleId="TOC2">
    <w:name w:val="toc 2"/>
    <w:basedOn w:val="Normal"/>
    <w:next w:val="Normal"/>
    <w:autoRedefine/>
    <w:uiPriority w:val="39"/>
    <w:unhideWhenUsed/>
    <w:rsid w:val="0006494C"/>
    <w:pPr>
      <w:tabs>
        <w:tab w:val="right" w:pos="9016"/>
      </w:tabs>
      <w:spacing w:before="120" w:after="0" w:line="259" w:lineRule="auto"/>
      <w:ind w:left="220"/>
      <w:jc w:val="left"/>
    </w:pPr>
    <w:rPr>
      <w:rFonts w:ascii="Times New Roman" w:hAnsi="Times New Roman" w:cs="Times New Roman"/>
      <w:noProof/>
      <w:color w:val="FF0000"/>
      <w:kern w:val="0"/>
      <w14:ligatures w14:val="none"/>
    </w:rPr>
  </w:style>
  <w:style w:type="paragraph" w:customStyle="1" w:styleId="TOC31">
    <w:name w:val="TOC 31"/>
    <w:basedOn w:val="Normal"/>
    <w:next w:val="Normal"/>
    <w:autoRedefine/>
    <w:uiPriority w:val="39"/>
    <w:unhideWhenUsed/>
    <w:rsid w:val="0006494C"/>
    <w:pPr>
      <w:tabs>
        <w:tab w:val="right" w:pos="9016"/>
      </w:tabs>
      <w:spacing w:after="0" w:line="360" w:lineRule="auto"/>
      <w:ind w:left="446"/>
      <w:jc w:val="left"/>
    </w:pPr>
    <w:rPr>
      <w:rFonts w:cs="Calibri"/>
      <w:kern w:val="0"/>
      <w:sz w:val="20"/>
      <w:szCs w:val="20"/>
      <w14:ligatures w14:val="none"/>
    </w:rPr>
  </w:style>
  <w:style w:type="paragraph" w:customStyle="1" w:styleId="TOCHeading1">
    <w:name w:val="TOC Heading1"/>
    <w:basedOn w:val="Heading1"/>
    <w:next w:val="Normal"/>
    <w:uiPriority w:val="39"/>
    <w:unhideWhenUsed/>
    <w:qFormat/>
    <w:rsid w:val="0006494C"/>
    <w:pPr>
      <w:spacing w:before="240" w:line="259" w:lineRule="auto"/>
      <w:jc w:val="left"/>
      <w:outlineLvl w:val="9"/>
    </w:pPr>
    <w:rPr>
      <w:rFonts w:ascii="Calibri Light" w:eastAsia="Aptos" w:hAnsi="Calibri Light"/>
      <w:b w:val="0"/>
      <w:color w:val="2E74B5"/>
      <w:kern w:val="0"/>
      <w:sz w:val="32"/>
      <w:lang w:val="en-US"/>
      <w14:ligatures w14:val="none"/>
    </w:rPr>
  </w:style>
  <w:style w:type="paragraph" w:customStyle="1" w:styleId="TOC41">
    <w:name w:val="TOC 41"/>
    <w:basedOn w:val="Normal"/>
    <w:next w:val="Normal"/>
    <w:autoRedefine/>
    <w:uiPriority w:val="39"/>
    <w:unhideWhenUsed/>
    <w:rsid w:val="0006494C"/>
    <w:pPr>
      <w:spacing w:after="0" w:line="259" w:lineRule="auto"/>
      <w:ind w:left="660"/>
      <w:jc w:val="left"/>
    </w:pPr>
    <w:rPr>
      <w:rFonts w:cs="Calibri"/>
      <w:kern w:val="0"/>
      <w:sz w:val="20"/>
      <w:szCs w:val="20"/>
      <w14:ligatures w14:val="none"/>
    </w:rPr>
  </w:style>
  <w:style w:type="paragraph" w:customStyle="1" w:styleId="TOC51">
    <w:name w:val="TOC 51"/>
    <w:basedOn w:val="Normal"/>
    <w:next w:val="Normal"/>
    <w:autoRedefine/>
    <w:uiPriority w:val="39"/>
    <w:unhideWhenUsed/>
    <w:rsid w:val="0006494C"/>
    <w:pPr>
      <w:spacing w:after="0" w:line="259" w:lineRule="auto"/>
      <w:ind w:left="880"/>
      <w:jc w:val="left"/>
    </w:pPr>
    <w:rPr>
      <w:rFonts w:cs="Calibri"/>
      <w:kern w:val="0"/>
      <w:sz w:val="20"/>
      <w:szCs w:val="20"/>
      <w14:ligatures w14:val="none"/>
    </w:rPr>
  </w:style>
  <w:style w:type="paragraph" w:customStyle="1" w:styleId="TOC61">
    <w:name w:val="TOC 61"/>
    <w:basedOn w:val="Normal"/>
    <w:next w:val="Normal"/>
    <w:autoRedefine/>
    <w:uiPriority w:val="39"/>
    <w:unhideWhenUsed/>
    <w:rsid w:val="0006494C"/>
    <w:pPr>
      <w:spacing w:after="0" w:line="259" w:lineRule="auto"/>
      <w:ind w:left="1100"/>
      <w:jc w:val="left"/>
    </w:pPr>
    <w:rPr>
      <w:rFonts w:cs="Calibri"/>
      <w:kern w:val="0"/>
      <w:sz w:val="20"/>
      <w:szCs w:val="20"/>
      <w14:ligatures w14:val="none"/>
    </w:rPr>
  </w:style>
  <w:style w:type="paragraph" w:customStyle="1" w:styleId="TOC71">
    <w:name w:val="TOC 71"/>
    <w:basedOn w:val="Normal"/>
    <w:next w:val="Normal"/>
    <w:autoRedefine/>
    <w:uiPriority w:val="39"/>
    <w:unhideWhenUsed/>
    <w:rsid w:val="0006494C"/>
    <w:pPr>
      <w:spacing w:after="0" w:line="259" w:lineRule="auto"/>
      <w:ind w:left="1320"/>
      <w:jc w:val="left"/>
    </w:pPr>
    <w:rPr>
      <w:rFonts w:cs="Calibri"/>
      <w:kern w:val="0"/>
      <w:sz w:val="20"/>
      <w:szCs w:val="20"/>
      <w14:ligatures w14:val="none"/>
    </w:rPr>
  </w:style>
  <w:style w:type="paragraph" w:customStyle="1" w:styleId="TOC81">
    <w:name w:val="TOC 81"/>
    <w:basedOn w:val="Normal"/>
    <w:next w:val="Normal"/>
    <w:autoRedefine/>
    <w:uiPriority w:val="39"/>
    <w:unhideWhenUsed/>
    <w:rsid w:val="0006494C"/>
    <w:pPr>
      <w:spacing w:after="0" w:line="259" w:lineRule="auto"/>
      <w:ind w:left="1540"/>
      <w:jc w:val="left"/>
    </w:pPr>
    <w:rPr>
      <w:rFonts w:cs="Calibri"/>
      <w:kern w:val="0"/>
      <w:sz w:val="20"/>
      <w:szCs w:val="20"/>
      <w14:ligatures w14:val="none"/>
    </w:rPr>
  </w:style>
  <w:style w:type="paragraph" w:customStyle="1" w:styleId="TOC91">
    <w:name w:val="TOC 91"/>
    <w:basedOn w:val="Normal"/>
    <w:next w:val="Normal"/>
    <w:autoRedefine/>
    <w:uiPriority w:val="39"/>
    <w:unhideWhenUsed/>
    <w:rsid w:val="0006494C"/>
    <w:pPr>
      <w:spacing w:after="0" w:line="259" w:lineRule="auto"/>
      <w:ind w:left="1760"/>
      <w:jc w:val="left"/>
    </w:pPr>
    <w:rPr>
      <w:rFonts w:cs="Calibri"/>
      <w:kern w:val="0"/>
      <w:sz w:val="20"/>
      <w:szCs w:val="20"/>
      <w14:ligatures w14:val="none"/>
    </w:rPr>
  </w:style>
  <w:style w:type="paragraph" w:customStyle="1" w:styleId="Heading51">
    <w:name w:val="Heading 51"/>
    <w:basedOn w:val="Normal"/>
    <w:next w:val="Normal"/>
    <w:uiPriority w:val="9"/>
    <w:semiHidden/>
    <w:unhideWhenUsed/>
    <w:qFormat/>
    <w:rsid w:val="0006494C"/>
    <w:pPr>
      <w:keepNext/>
      <w:keepLines/>
      <w:spacing w:before="80" w:after="40"/>
      <w:outlineLvl w:val="4"/>
    </w:pPr>
    <w:rPr>
      <w:rFonts w:eastAsia="Times New Roman" w:cs="Times New Roman"/>
      <w:color w:val="0F4761"/>
      <w14:ligatures w14:val="none"/>
    </w:rPr>
  </w:style>
  <w:style w:type="paragraph" w:customStyle="1" w:styleId="Heading61">
    <w:name w:val="Heading 61"/>
    <w:basedOn w:val="Normal"/>
    <w:next w:val="Normal"/>
    <w:uiPriority w:val="9"/>
    <w:semiHidden/>
    <w:unhideWhenUsed/>
    <w:qFormat/>
    <w:rsid w:val="0006494C"/>
    <w:pPr>
      <w:keepNext/>
      <w:keepLines/>
      <w:spacing w:before="40" w:after="0"/>
      <w:outlineLvl w:val="5"/>
    </w:pPr>
    <w:rPr>
      <w:rFonts w:eastAsia="Times New Roman" w:cs="Times New Roman"/>
      <w:i/>
      <w:iCs/>
      <w:color w:val="595959"/>
      <w14:ligatures w14:val="none"/>
    </w:rPr>
  </w:style>
  <w:style w:type="paragraph" w:customStyle="1" w:styleId="Heading71">
    <w:name w:val="Heading 71"/>
    <w:basedOn w:val="Normal"/>
    <w:next w:val="Normal"/>
    <w:uiPriority w:val="9"/>
    <w:semiHidden/>
    <w:unhideWhenUsed/>
    <w:qFormat/>
    <w:rsid w:val="0006494C"/>
    <w:pPr>
      <w:keepNext/>
      <w:keepLines/>
      <w:spacing w:before="40" w:after="0"/>
      <w:outlineLvl w:val="6"/>
    </w:pPr>
    <w:rPr>
      <w:rFonts w:eastAsia="Times New Roman" w:cs="Times New Roman"/>
      <w:color w:val="595959"/>
      <w14:ligatures w14:val="none"/>
    </w:rPr>
  </w:style>
  <w:style w:type="paragraph" w:customStyle="1" w:styleId="Heading81">
    <w:name w:val="Heading 81"/>
    <w:basedOn w:val="Normal"/>
    <w:next w:val="Normal"/>
    <w:uiPriority w:val="9"/>
    <w:semiHidden/>
    <w:unhideWhenUsed/>
    <w:qFormat/>
    <w:rsid w:val="0006494C"/>
    <w:pPr>
      <w:keepNext/>
      <w:keepLines/>
      <w:spacing w:after="0"/>
      <w:outlineLvl w:val="7"/>
    </w:pPr>
    <w:rPr>
      <w:rFonts w:eastAsia="Times New Roman" w:cs="Times New Roman"/>
      <w:i/>
      <w:iCs/>
      <w:color w:val="272727"/>
      <w14:ligatures w14:val="none"/>
    </w:rPr>
  </w:style>
  <w:style w:type="paragraph" w:customStyle="1" w:styleId="Heading91">
    <w:name w:val="Heading 91"/>
    <w:basedOn w:val="Normal"/>
    <w:next w:val="Normal"/>
    <w:uiPriority w:val="9"/>
    <w:semiHidden/>
    <w:unhideWhenUsed/>
    <w:qFormat/>
    <w:rsid w:val="0006494C"/>
    <w:pPr>
      <w:keepNext/>
      <w:keepLines/>
      <w:spacing w:after="0"/>
      <w:outlineLvl w:val="8"/>
    </w:pPr>
    <w:rPr>
      <w:rFonts w:eastAsia="Times New Roman" w:cs="Times New Roman"/>
      <w:color w:val="272727"/>
      <w14:ligatures w14:val="none"/>
    </w:rPr>
  </w:style>
  <w:style w:type="numbering" w:customStyle="1" w:styleId="NoList11">
    <w:name w:val="No List11"/>
    <w:next w:val="NoList"/>
    <w:uiPriority w:val="99"/>
    <w:semiHidden/>
    <w:unhideWhenUsed/>
    <w:rsid w:val="0006494C"/>
  </w:style>
  <w:style w:type="paragraph" w:customStyle="1" w:styleId="Title1">
    <w:name w:val="Title1"/>
    <w:basedOn w:val="Normal"/>
    <w:next w:val="Normal"/>
    <w:uiPriority w:val="10"/>
    <w:qFormat/>
    <w:rsid w:val="0006494C"/>
    <w:pPr>
      <w:spacing w:after="80" w:line="240" w:lineRule="auto"/>
      <w:contextualSpacing/>
    </w:pPr>
    <w:rPr>
      <w:rFonts w:ascii="Aptos Display" w:eastAsia="Times New Roman" w:hAnsi="Aptos Display" w:cs="Times New Roman"/>
      <w:spacing w:val="-10"/>
      <w:kern w:val="28"/>
      <w:sz w:val="56"/>
      <w:szCs w:val="56"/>
      <w14:ligatures w14:val="none"/>
    </w:rPr>
  </w:style>
  <w:style w:type="paragraph" w:customStyle="1" w:styleId="Subtitle1">
    <w:name w:val="Subtitle1"/>
    <w:basedOn w:val="Normal"/>
    <w:next w:val="Normal"/>
    <w:uiPriority w:val="11"/>
    <w:qFormat/>
    <w:rsid w:val="0006494C"/>
    <w:pPr>
      <w:numPr>
        <w:ilvl w:val="1"/>
      </w:numPr>
    </w:pPr>
    <w:rPr>
      <w:rFonts w:eastAsia="Times New Roman" w:cs="Times New Roman"/>
      <w:color w:val="595959"/>
      <w:spacing w:val="15"/>
      <w:sz w:val="28"/>
      <w:szCs w:val="28"/>
      <w14:ligatures w14:val="none"/>
    </w:rPr>
  </w:style>
  <w:style w:type="paragraph" w:customStyle="1" w:styleId="Quote1">
    <w:name w:val="Quote1"/>
    <w:basedOn w:val="Normal"/>
    <w:next w:val="Normal"/>
    <w:uiPriority w:val="29"/>
    <w:qFormat/>
    <w:rsid w:val="0006494C"/>
    <w:pPr>
      <w:spacing w:before="160"/>
      <w:jc w:val="center"/>
    </w:pPr>
    <w:rPr>
      <w:i/>
      <w:iCs/>
      <w:color w:val="404040"/>
      <w14:ligatures w14:val="none"/>
    </w:rPr>
  </w:style>
  <w:style w:type="character" w:customStyle="1" w:styleId="IntenseEmphasis1">
    <w:name w:val="Intense Emphasis1"/>
    <w:basedOn w:val="DefaultParagraphFont"/>
    <w:uiPriority w:val="21"/>
    <w:qFormat/>
    <w:rsid w:val="0006494C"/>
    <w:rPr>
      <w:i/>
      <w:iCs/>
      <w:color w:val="0F4761"/>
    </w:rPr>
  </w:style>
  <w:style w:type="paragraph" w:customStyle="1" w:styleId="IntenseQuote1">
    <w:name w:val="Intense Quote1"/>
    <w:basedOn w:val="Normal"/>
    <w:next w:val="Normal"/>
    <w:uiPriority w:val="30"/>
    <w:qFormat/>
    <w:rsid w:val="0006494C"/>
    <w:pPr>
      <w:pBdr>
        <w:top w:val="single" w:sz="4" w:space="10" w:color="0F4761"/>
        <w:bottom w:val="single" w:sz="4" w:space="10" w:color="0F4761"/>
      </w:pBdr>
      <w:spacing w:before="360" w:after="360"/>
      <w:ind w:left="864" w:right="864"/>
      <w:jc w:val="center"/>
    </w:pPr>
    <w:rPr>
      <w:i/>
      <w:iCs/>
      <w:color w:val="0F4761"/>
      <w14:ligatures w14:val="none"/>
    </w:rPr>
  </w:style>
  <w:style w:type="character" w:customStyle="1" w:styleId="IntenseReference1">
    <w:name w:val="Intense Reference1"/>
    <w:basedOn w:val="DefaultParagraphFont"/>
    <w:uiPriority w:val="32"/>
    <w:qFormat/>
    <w:rsid w:val="0006494C"/>
    <w:rPr>
      <w:b/>
      <w:bCs/>
      <w:smallCaps/>
      <w:color w:val="0F4761"/>
      <w:spacing w:val="5"/>
    </w:rPr>
  </w:style>
  <w:style w:type="paragraph" w:styleId="Revision">
    <w:name w:val="Revision"/>
    <w:hidden/>
    <w:uiPriority w:val="99"/>
    <w:semiHidden/>
    <w:rsid w:val="0006494C"/>
    <w:pPr>
      <w:spacing w:after="0" w:line="240" w:lineRule="auto"/>
      <w:jc w:val="left"/>
    </w:pPr>
    <w:rPr>
      <w14:ligatures w14:val="none"/>
    </w:rPr>
  </w:style>
  <w:style w:type="character" w:customStyle="1" w:styleId="Hyperlink1">
    <w:name w:val="Hyperlink1"/>
    <w:basedOn w:val="DefaultParagraphFont"/>
    <w:uiPriority w:val="99"/>
    <w:unhideWhenUsed/>
    <w:rsid w:val="0006494C"/>
    <w:rPr>
      <w:color w:val="0563C1"/>
      <w:u w:val="single"/>
    </w:rPr>
  </w:style>
  <w:style w:type="table" w:customStyle="1" w:styleId="TableGrid11">
    <w:name w:val="Table Grid11"/>
    <w:basedOn w:val="TableNormal"/>
    <w:next w:val="TableGrid"/>
    <w:uiPriority w:val="39"/>
    <w:rsid w:val="0006494C"/>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06494C"/>
    <w:rPr>
      <w:rFonts w:ascii="Segoe UI" w:hAnsi="Segoe UI" w:cs="Segoe UI" w:hint="default"/>
      <w:sz w:val="18"/>
      <w:szCs w:val="18"/>
    </w:rPr>
  </w:style>
  <w:style w:type="character" w:customStyle="1" w:styleId="FollowedHyperlink1">
    <w:name w:val="FollowedHyperlink1"/>
    <w:basedOn w:val="DefaultParagraphFont"/>
    <w:uiPriority w:val="99"/>
    <w:semiHidden/>
    <w:unhideWhenUsed/>
    <w:rsid w:val="0006494C"/>
    <w:rPr>
      <w:color w:val="96607D"/>
      <w:u w:val="single"/>
    </w:rPr>
  </w:style>
  <w:style w:type="table" w:customStyle="1" w:styleId="TableGrid111">
    <w:name w:val="Table Grid111"/>
    <w:basedOn w:val="TableNormal"/>
    <w:next w:val="TableGrid"/>
    <w:uiPriority w:val="39"/>
    <w:rsid w:val="0006494C"/>
    <w:pPr>
      <w:spacing w:after="0" w:line="240" w:lineRule="auto"/>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06494C"/>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1">
    <w:name w:val="Heading 5 Char1"/>
    <w:basedOn w:val="DefaultParagraphFont"/>
    <w:uiPriority w:val="9"/>
    <w:semiHidden/>
    <w:rsid w:val="0006494C"/>
    <w:rPr>
      <w:rFonts w:ascii="Calibri Light" w:eastAsia="Times New Roman" w:hAnsi="Calibri Light" w:cs="Times New Roman"/>
      <w:color w:val="2E74B5"/>
      <w:lang w:val="es-ES"/>
    </w:rPr>
  </w:style>
  <w:style w:type="character" w:customStyle="1" w:styleId="Heading6Char1">
    <w:name w:val="Heading 6 Char1"/>
    <w:basedOn w:val="DefaultParagraphFont"/>
    <w:uiPriority w:val="9"/>
    <w:semiHidden/>
    <w:rsid w:val="0006494C"/>
    <w:rPr>
      <w:rFonts w:ascii="Calibri Light" w:eastAsia="Times New Roman" w:hAnsi="Calibri Light" w:cs="Times New Roman"/>
      <w:color w:val="1F4D78"/>
      <w:lang w:val="es-ES"/>
    </w:rPr>
  </w:style>
  <w:style w:type="character" w:customStyle="1" w:styleId="Heading7Char1">
    <w:name w:val="Heading 7 Char1"/>
    <w:basedOn w:val="DefaultParagraphFont"/>
    <w:uiPriority w:val="9"/>
    <w:semiHidden/>
    <w:rsid w:val="0006494C"/>
    <w:rPr>
      <w:rFonts w:ascii="Calibri Light" w:eastAsia="Times New Roman" w:hAnsi="Calibri Light" w:cs="Times New Roman"/>
      <w:i/>
      <w:iCs/>
      <w:color w:val="1F4D78"/>
      <w:lang w:val="es-ES"/>
    </w:rPr>
  </w:style>
  <w:style w:type="character" w:customStyle="1" w:styleId="Heading8Char1">
    <w:name w:val="Heading 8 Char1"/>
    <w:basedOn w:val="DefaultParagraphFont"/>
    <w:uiPriority w:val="9"/>
    <w:semiHidden/>
    <w:rsid w:val="0006494C"/>
    <w:rPr>
      <w:rFonts w:ascii="Calibri Light" w:eastAsia="Times New Roman" w:hAnsi="Calibri Light" w:cs="Times New Roman"/>
      <w:color w:val="272727"/>
      <w:sz w:val="21"/>
      <w:szCs w:val="21"/>
      <w:lang w:val="es-ES"/>
    </w:rPr>
  </w:style>
  <w:style w:type="character" w:customStyle="1" w:styleId="Heading9Char1">
    <w:name w:val="Heading 9 Char1"/>
    <w:basedOn w:val="DefaultParagraphFont"/>
    <w:uiPriority w:val="9"/>
    <w:semiHidden/>
    <w:rsid w:val="0006494C"/>
    <w:rPr>
      <w:rFonts w:ascii="Calibri Light" w:eastAsia="Times New Roman" w:hAnsi="Calibri Light" w:cs="Times New Roman"/>
      <w:i/>
      <w:iCs/>
      <w:color w:val="272727"/>
      <w:sz w:val="21"/>
      <w:szCs w:val="21"/>
      <w:lang w:val="es-ES"/>
    </w:rPr>
  </w:style>
  <w:style w:type="character" w:customStyle="1" w:styleId="TitleChar1">
    <w:name w:val="Title Char1"/>
    <w:basedOn w:val="DefaultParagraphFont"/>
    <w:uiPriority w:val="10"/>
    <w:rsid w:val="0006494C"/>
    <w:rPr>
      <w:rFonts w:ascii="Calibri Light" w:eastAsia="Times New Roman" w:hAnsi="Calibri Light" w:cs="Times New Roman"/>
      <w:spacing w:val="-10"/>
      <w:kern w:val="28"/>
      <w:sz w:val="56"/>
      <w:szCs w:val="56"/>
      <w:lang w:val="es-ES"/>
    </w:rPr>
  </w:style>
  <w:style w:type="character" w:customStyle="1" w:styleId="SubtitleChar1">
    <w:name w:val="Subtitle Char1"/>
    <w:basedOn w:val="DefaultParagraphFont"/>
    <w:uiPriority w:val="11"/>
    <w:rsid w:val="0006494C"/>
    <w:rPr>
      <w:rFonts w:eastAsia="Times New Roman"/>
      <w:color w:val="5A5A5A"/>
      <w:spacing w:val="15"/>
      <w:lang w:val="es-ES"/>
    </w:rPr>
  </w:style>
  <w:style w:type="character" w:customStyle="1" w:styleId="QuoteChar1">
    <w:name w:val="Quote Char1"/>
    <w:basedOn w:val="DefaultParagraphFont"/>
    <w:uiPriority w:val="29"/>
    <w:rsid w:val="0006494C"/>
    <w:rPr>
      <w:i/>
      <w:iCs/>
      <w:color w:val="404040"/>
      <w:lang w:val="es-ES"/>
    </w:rPr>
  </w:style>
  <w:style w:type="character" w:customStyle="1" w:styleId="IntenseQuoteChar1">
    <w:name w:val="Intense Quote Char1"/>
    <w:basedOn w:val="DefaultParagraphFont"/>
    <w:uiPriority w:val="30"/>
    <w:rsid w:val="0006494C"/>
    <w:rPr>
      <w:i/>
      <w:iCs/>
      <w:color w:val="5B9BD5"/>
      <w:lang w:val="es-ES"/>
    </w:rPr>
  </w:style>
  <w:style w:type="character" w:customStyle="1" w:styleId="FollowedHyperlink2">
    <w:name w:val="FollowedHyperlink2"/>
    <w:basedOn w:val="DefaultParagraphFont"/>
    <w:uiPriority w:val="99"/>
    <w:semiHidden/>
    <w:unhideWhenUsed/>
    <w:rsid w:val="0006494C"/>
    <w:rPr>
      <w:color w:val="954F72"/>
      <w:u w:val="single"/>
    </w:rPr>
  </w:style>
  <w:style w:type="numbering" w:customStyle="1" w:styleId="NoList2">
    <w:name w:val="No List2"/>
    <w:next w:val="NoList"/>
    <w:uiPriority w:val="99"/>
    <w:semiHidden/>
    <w:unhideWhenUsed/>
    <w:rsid w:val="0006494C"/>
  </w:style>
  <w:style w:type="paragraph" w:customStyle="1" w:styleId="Header1">
    <w:name w:val="Header1"/>
    <w:basedOn w:val="Normal"/>
    <w:next w:val="Header"/>
    <w:uiPriority w:val="99"/>
    <w:unhideWhenUsed/>
    <w:rsid w:val="0006494C"/>
    <w:pPr>
      <w:tabs>
        <w:tab w:val="center" w:pos="4513"/>
        <w:tab w:val="right" w:pos="9026"/>
      </w:tabs>
      <w:spacing w:after="0" w:line="240" w:lineRule="auto"/>
      <w:jc w:val="left"/>
    </w:pPr>
    <w:rPr>
      <w14:ligatures w14:val="none"/>
    </w:rPr>
  </w:style>
  <w:style w:type="character" w:customStyle="1" w:styleId="HeaderChar1">
    <w:name w:val="Header Char1"/>
    <w:basedOn w:val="DefaultParagraphFont"/>
    <w:uiPriority w:val="99"/>
    <w:semiHidden/>
    <w:rsid w:val="0006494C"/>
  </w:style>
  <w:style w:type="table" w:customStyle="1" w:styleId="PlainTable211">
    <w:name w:val="Plain Table 211"/>
    <w:basedOn w:val="TableNormal"/>
    <w:next w:val="PlainTable2"/>
    <w:uiPriority w:val="42"/>
    <w:rsid w:val="0006494C"/>
    <w:pPr>
      <w:spacing w:after="0" w:line="240" w:lineRule="auto"/>
      <w:jc w:val="left"/>
    </w:pPr>
    <w:rPr>
      <w:kern w:val="0"/>
      <w:sz w:val="22"/>
      <w:szCs w:val="22"/>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next w:val="PlainTable2"/>
    <w:uiPriority w:val="42"/>
    <w:rsid w:val="0006494C"/>
    <w:pPr>
      <w:spacing w:after="0" w:line="240" w:lineRule="auto"/>
    </w:pPr>
    <w:rPr>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
    <w:name w:val="Plain Table 221"/>
    <w:basedOn w:val="TableNormal"/>
    <w:next w:val="PlainTable2"/>
    <w:uiPriority w:val="42"/>
    <w:rsid w:val="0006494C"/>
    <w:pPr>
      <w:spacing w:after="0" w:line="240" w:lineRule="auto"/>
      <w:jc w:val="left"/>
    </w:pPr>
    <w:rPr>
      <w:kern w:val="0"/>
      <w:sz w:val="22"/>
      <w:szCs w:val="22"/>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1">
    <w:name w:val="Table Grid21"/>
    <w:basedOn w:val="TableNormal"/>
    <w:next w:val="TableGrid"/>
    <w:uiPriority w:val="39"/>
    <w:rsid w:val="0006494C"/>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6494C"/>
  </w:style>
  <w:style w:type="numbering" w:customStyle="1" w:styleId="NoList111">
    <w:name w:val="No List111"/>
    <w:next w:val="NoList"/>
    <w:uiPriority w:val="99"/>
    <w:semiHidden/>
    <w:unhideWhenUsed/>
    <w:rsid w:val="0006494C"/>
  </w:style>
  <w:style w:type="table" w:customStyle="1" w:styleId="TableGridLight11">
    <w:name w:val="Table Grid Light11"/>
    <w:basedOn w:val="TableNormal"/>
    <w:next w:val="TableGridLight"/>
    <w:uiPriority w:val="40"/>
    <w:rsid w:val="0006494C"/>
    <w:pPr>
      <w:spacing w:after="0" w:line="240" w:lineRule="auto"/>
      <w:jc w:val="left"/>
    </w:pPr>
    <w:rPr>
      <w:kern w:val="0"/>
      <w:sz w:val="22"/>
      <w:szCs w:val="22"/>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nchor-text">
    <w:name w:val="anchor-text"/>
    <w:basedOn w:val="DefaultParagraphFont"/>
    <w:rsid w:val="0006494C"/>
  </w:style>
  <w:style w:type="character" w:styleId="Emphasis">
    <w:name w:val="Emphasis"/>
    <w:basedOn w:val="DefaultParagraphFont"/>
    <w:uiPriority w:val="20"/>
    <w:qFormat/>
    <w:rsid w:val="0006494C"/>
    <w:rPr>
      <w:i/>
      <w:iCs/>
    </w:rPr>
  </w:style>
  <w:style w:type="table" w:customStyle="1" w:styleId="PlainTable23">
    <w:name w:val="Plain Table 23"/>
    <w:basedOn w:val="TableNormal"/>
    <w:next w:val="PlainTable2"/>
    <w:uiPriority w:val="42"/>
    <w:rsid w:val="0006494C"/>
    <w:pPr>
      <w:spacing w:after="0" w:line="240" w:lineRule="auto"/>
    </w:pPr>
    <w:rPr>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2">
    <w:name w:val="Table Grid Light2"/>
    <w:basedOn w:val="TableNormal"/>
    <w:next w:val="TableGridLight"/>
    <w:uiPriority w:val="40"/>
    <w:rsid w:val="0006494C"/>
    <w:pPr>
      <w:spacing w:after="0" w:line="240" w:lineRule="auto"/>
    </w:pPr>
    <w:rPr>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4">
    <w:name w:val="No List4"/>
    <w:next w:val="NoList"/>
    <w:uiPriority w:val="99"/>
    <w:semiHidden/>
    <w:unhideWhenUsed/>
    <w:rsid w:val="0006494C"/>
  </w:style>
  <w:style w:type="numbering" w:customStyle="1" w:styleId="NoList12">
    <w:name w:val="No List12"/>
    <w:next w:val="NoList"/>
    <w:uiPriority w:val="99"/>
    <w:semiHidden/>
    <w:unhideWhenUsed/>
    <w:rsid w:val="0006494C"/>
  </w:style>
  <w:style w:type="paragraph" w:customStyle="1" w:styleId="msonormal0">
    <w:name w:val="msonormal"/>
    <w:basedOn w:val="Normal"/>
    <w:rsid w:val="0006494C"/>
    <w:pPr>
      <w:spacing w:before="100" w:beforeAutospacing="1" w:after="100" w:afterAutospacing="1" w:line="240" w:lineRule="auto"/>
      <w:jc w:val="left"/>
    </w:pPr>
    <w:rPr>
      <w:rFonts w:ascii="Times New Roman" w:eastAsia="Times New Roman" w:hAnsi="Times New Roman" w:cs="Times New Roman"/>
      <w:kern w:val="0"/>
      <w:lang w:eastAsia="en-GB"/>
      <w14:ligatures w14:val="none"/>
    </w:rPr>
  </w:style>
  <w:style w:type="paragraph" w:customStyle="1" w:styleId="xl65">
    <w:name w:val="xl65"/>
    <w:basedOn w:val="Normal"/>
    <w:rsid w:val="0006494C"/>
    <w:pPr>
      <w:pBdr>
        <w:bottom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b/>
      <w:bCs/>
      <w:kern w:val="0"/>
      <w:lang w:eastAsia="en-GB"/>
      <w14:ligatures w14:val="none"/>
    </w:rPr>
  </w:style>
  <w:style w:type="paragraph" w:customStyle="1" w:styleId="xl66">
    <w:name w:val="xl66"/>
    <w:basedOn w:val="Normal"/>
    <w:rsid w:val="0006494C"/>
    <w:pPr>
      <w:shd w:val="clear" w:color="000000" w:fill="FFFFFF"/>
      <w:spacing w:before="100" w:beforeAutospacing="1" w:after="100" w:afterAutospacing="1" w:line="240" w:lineRule="auto"/>
      <w:jc w:val="left"/>
    </w:pPr>
    <w:rPr>
      <w:rFonts w:ascii="Times New Roman" w:eastAsia="Times New Roman" w:hAnsi="Times New Roman" w:cs="Times New Roman"/>
      <w:kern w:val="0"/>
      <w:lang w:eastAsia="en-GB"/>
      <w14:ligatures w14:val="none"/>
    </w:rPr>
  </w:style>
  <w:style w:type="paragraph" w:customStyle="1" w:styleId="xl67">
    <w:name w:val="xl67"/>
    <w:basedOn w:val="Normal"/>
    <w:rsid w:val="0006494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n-GB"/>
      <w14:ligatures w14:val="none"/>
    </w:rPr>
  </w:style>
  <w:style w:type="paragraph" w:customStyle="1" w:styleId="xl68">
    <w:name w:val="xl68"/>
    <w:basedOn w:val="Normal"/>
    <w:rsid w:val="0006494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n-GB"/>
      <w14:ligatures w14:val="none"/>
    </w:rPr>
  </w:style>
  <w:style w:type="paragraph" w:customStyle="1" w:styleId="xl69">
    <w:name w:val="xl69"/>
    <w:basedOn w:val="Normal"/>
    <w:rsid w:val="0006494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n-GB"/>
      <w14:ligatures w14:val="none"/>
    </w:rPr>
  </w:style>
  <w:style w:type="paragraph" w:customStyle="1" w:styleId="xl70">
    <w:name w:val="xl70"/>
    <w:basedOn w:val="Normal"/>
    <w:rsid w:val="0006494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n-GB"/>
      <w14:ligatures w14:val="none"/>
    </w:rPr>
  </w:style>
  <w:style w:type="paragraph" w:customStyle="1" w:styleId="xl71">
    <w:name w:val="xl71"/>
    <w:basedOn w:val="Normal"/>
    <w:rsid w:val="0006494C"/>
    <w:pPr>
      <w:shd w:val="clear" w:color="000000" w:fill="FFFFFF"/>
      <w:spacing w:before="100" w:beforeAutospacing="1" w:after="100" w:afterAutospacing="1" w:line="240" w:lineRule="auto"/>
      <w:jc w:val="left"/>
    </w:pPr>
    <w:rPr>
      <w:rFonts w:ascii="Times New Roman" w:eastAsia="Times New Roman" w:hAnsi="Times New Roman" w:cs="Times New Roman"/>
      <w:kern w:val="0"/>
      <w:lang w:eastAsia="en-GB"/>
      <w14:ligatures w14:val="none"/>
    </w:rPr>
  </w:style>
  <w:style w:type="paragraph" w:customStyle="1" w:styleId="xl72">
    <w:name w:val="xl72"/>
    <w:basedOn w:val="Normal"/>
    <w:rsid w:val="0006494C"/>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73">
    <w:name w:val="xl73"/>
    <w:basedOn w:val="Normal"/>
    <w:rsid w:val="0006494C"/>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74">
    <w:name w:val="xl74"/>
    <w:basedOn w:val="Normal"/>
    <w:rsid w:val="0006494C"/>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75">
    <w:name w:val="xl75"/>
    <w:basedOn w:val="Normal"/>
    <w:rsid w:val="0006494C"/>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76">
    <w:name w:val="xl76"/>
    <w:basedOn w:val="Normal"/>
    <w:rsid w:val="0006494C"/>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77">
    <w:name w:val="xl77"/>
    <w:basedOn w:val="Normal"/>
    <w:rsid w:val="0006494C"/>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78">
    <w:name w:val="xl78"/>
    <w:basedOn w:val="Normal"/>
    <w:rsid w:val="0006494C"/>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79">
    <w:name w:val="xl79"/>
    <w:basedOn w:val="Normal"/>
    <w:rsid w:val="0006494C"/>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80">
    <w:name w:val="xl80"/>
    <w:basedOn w:val="Normal"/>
    <w:rsid w:val="0006494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81">
    <w:name w:val="xl81"/>
    <w:basedOn w:val="Normal"/>
    <w:rsid w:val="0006494C"/>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82">
    <w:name w:val="xl82"/>
    <w:basedOn w:val="Normal"/>
    <w:rsid w:val="0006494C"/>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83">
    <w:name w:val="xl83"/>
    <w:basedOn w:val="Normal"/>
    <w:rsid w:val="0006494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84">
    <w:name w:val="xl84"/>
    <w:basedOn w:val="Normal"/>
    <w:rsid w:val="0006494C"/>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85">
    <w:name w:val="xl85"/>
    <w:basedOn w:val="Normal"/>
    <w:rsid w:val="0006494C"/>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86">
    <w:name w:val="xl86"/>
    <w:basedOn w:val="Normal"/>
    <w:rsid w:val="0006494C"/>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87">
    <w:name w:val="xl87"/>
    <w:basedOn w:val="Normal"/>
    <w:rsid w:val="0006494C"/>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88">
    <w:name w:val="xl88"/>
    <w:basedOn w:val="Normal"/>
    <w:rsid w:val="0006494C"/>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89">
    <w:name w:val="xl89"/>
    <w:basedOn w:val="Normal"/>
    <w:rsid w:val="0006494C"/>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90">
    <w:name w:val="xl90"/>
    <w:basedOn w:val="Normal"/>
    <w:rsid w:val="0006494C"/>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91">
    <w:name w:val="xl91"/>
    <w:basedOn w:val="Normal"/>
    <w:rsid w:val="0006494C"/>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92">
    <w:name w:val="xl92"/>
    <w:basedOn w:val="Normal"/>
    <w:rsid w:val="0006494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93">
    <w:name w:val="xl93"/>
    <w:basedOn w:val="Normal"/>
    <w:rsid w:val="0006494C"/>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94">
    <w:name w:val="xl94"/>
    <w:basedOn w:val="Normal"/>
    <w:rsid w:val="0006494C"/>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numbering" w:customStyle="1" w:styleId="NoList21">
    <w:name w:val="No List21"/>
    <w:next w:val="NoList"/>
    <w:uiPriority w:val="99"/>
    <w:semiHidden/>
    <w:unhideWhenUsed/>
    <w:rsid w:val="0006494C"/>
  </w:style>
  <w:style w:type="paragraph" w:customStyle="1" w:styleId="Heading11">
    <w:name w:val="Heading 11"/>
    <w:basedOn w:val="Normal"/>
    <w:next w:val="Normal"/>
    <w:autoRedefine/>
    <w:uiPriority w:val="9"/>
    <w:rsid w:val="0006494C"/>
    <w:pPr>
      <w:keepNext/>
      <w:keepLines/>
      <w:spacing w:after="0" w:line="480" w:lineRule="auto"/>
      <w:jc w:val="center"/>
      <w:outlineLvl w:val="0"/>
    </w:pPr>
    <w:rPr>
      <w:rFonts w:ascii="Times New Roman" w:eastAsia="Times New Roman" w:hAnsi="Times New Roman" w:cs="Times New Roman"/>
      <w:b/>
      <w:szCs w:val="32"/>
      <w14:ligatures w14:val="none"/>
    </w:rPr>
  </w:style>
  <w:style w:type="paragraph" w:customStyle="1" w:styleId="Heading21">
    <w:name w:val="Heading 21"/>
    <w:basedOn w:val="Normal"/>
    <w:next w:val="Normal"/>
    <w:autoRedefine/>
    <w:uiPriority w:val="9"/>
    <w:unhideWhenUsed/>
    <w:rsid w:val="0006494C"/>
    <w:pPr>
      <w:keepNext/>
      <w:keepLines/>
      <w:spacing w:after="0" w:line="480" w:lineRule="auto"/>
      <w:outlineLvl w:val="1"/>
    </w:pPr>
    <w:rPr>
      <w:rFonts w:ascii="Times New Roman" w:eastAsia="Times New Roman" w:hAnsi="Times New Roman" w:cs="Times New Roman"/>
      <w:b/>
      <w:kern w:val="0"/>
      <w:szCs w:val="32"/>
      <w14:ligatures w14:val="none"/>
    </w:rPr>
  </w:style>
  <w:style w:type="paragraph" w:customStyle="1" w:styleId="Heading31">
    <w:name w:val="Heading 31"/>
    <w:basedOn w:val="Normal"/>
    <w:next w:val="Normal"/>
    <w:autoRedefine/>
    <w:uiPriority w:val="9"/>
    <w:unhideWhenUsed/>
    <w:rsid w:val="0006494C"/>
    <w:pPr>
      <w:keepNext/>
      <w:keepLines/>
      <w:spacing w:after="0" w:line="480" w:lineRule="auto"/>
      <w:outlineLvl w:val="2"/>
    </w:pPr>
    <w:rPr>
      <w:rFonts w:ascii="Times New Roman" w:eastAsia="Times New Roman" w:hAnsi="Times New Roman" w:cs="Times New Roman"/>
      <w:b/>
      <w:i/>
      <w:color w:val="000000"/>
      <w:kern w:val="0"/>
      <w:szCs w:val="28"/>
      <w14:ligatures w14:val="none"/>
    </w:rPr>
  </w:style>
  <w:style w:type="paragraph" w:customStyle="1" w:styleId="Heading41">
    <w:name w:val="Heading 41"/>
    <w:basedOn w:val="Normal"/>
    <w:next w:val="Normal"/>
    <w:autoRedefine/>
    <w:uiPriority w:val="9"/>
    <w:unhideWhenUsed/>
    <w:qFormat/>
    <w:rsid w:val="0006494C"/>
    <w:pPr>
      <w:keepNext/>
      <w:keepLines/>
      <w:spacing w:before="80" w:after="40" w:line="480" w:lineRule="auto"/>
      <w:outlineLvl w:val="3"/>
    </w:pPr>
    <w:rPr>
      <w:rFonts w:ascii="Times New Roman" w:eastAsia="Times New Roman" w:hAnsi="Times New Roman" w:cs="Times New Roman"/>
      <w:b/>
      <w:iCs/>
      <w:color w:val="000000"/>
      <w:kern w:val="0"/>
      <w:szCs w:val="22"/>
      <w14:ligatures w14:val="none"/>
    </w:rPr>
  </w:style>
  <w:style w:type="numbering" w:customStyle="1" w:styleId="NoList1111">
    <w:name w:val="No List1111"/>
    <w:next w:val="NoList"/>
    <w:uiPriority w:val="99"/>
    <w:semiHidden/>
    <w:unhideWhenUsed/>
    <w:rsid w:val="0006494C"/>
  </w:style>
  <w:style w:type="table" w:customStyle="1" w:styleId="TableGrid12">
    <w:name w:val="Table Grid12"/>
    <w:basedOn w:val="TableNormal"/>
    <w:next w:val="TableGrid"/>
    <w:uiPriority w:val="39"/>
    <w:rsid w:val="0006494C"/>
    <w:pPr>
      <w:spacing w:after="0" w:line="240" w:lineRule="auto"/>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1">
    <w:name w:val="Plain Table 2111"/>
    <w:basedOn w:val="TableNormal"/>
    <w:next w:val="PlainTable2"/>
    <w:uiPriority w:val="42"/>
    <w:rsid w:val="0006494C"/>
    <w:pPr>
      <w:spacing w:after="0" w:line="240" w:lineRule="auto"/>
    </w:pPr>
    <w:rPr>
      <w:kern w:val="0"/>
      <w:sz w:val="22"/>
      <w:szCs w:val="22"/>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11">
    <w:name w:val="Table Grid Light111"/>
    <w:basedOn w:val="TableNormal"/>
    <w:next w:val="TableGridLight"/>
    <w:uiPriority w:val="40"/>
    <w:rsid w:val="0006494C"/>
    <w:pPr>
      <w:spacing w:after="0" w:line="240" w:lineRule="auto"/>
    </w:pPr>
    <w:rPr>
      <w:kern w:val="0"/>
      <w:sz w:val="22"/>
      <w:szCs w:val="22"/>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1Char1">
    <w:name w:val="Heading 1 Char1"/>
    <w:basedOn w:val="DefaultParagraphFont"/>
    <w:uiPriority w:val="9"/>
    <w:rsid w:val="0006494C"/>
    <w:rPr>
      <w:rFonts w:ascii="Calibri Light" w:eastAsia="Times New Roman" w:hAnsi="Calibri Light" w:cs="Times New Roman"/>
      <w:color w:val="2E74B5"/>
      <w:sz w:val="32"/>
      <w:szCs w:val="32"/>
      <w:lang w:val="es-ES"/>
    </w:rPr>
  </w:style>
  <w:style w:type="character" w:customStyle="1" w:styleId="Heading2Char1">
    <w:name w:val="Heading 2 Char1"/>
    <w:basedOn w:val="DefaultParagraphFont"/>
    <w:uiPriority w:val="9"/>
    <w:semiHidden/>
    <w:rsid w:val="0006494C"/>
    <w:rPr>
      <w:rFonts w:ascii="Calibri Light" w:eastAsia="Times New Roman" w:hAnsi="Calibri Light" w:cs="Times New Roman"/>
      <w:color w:val="2E74B5"/>
      <w:sz w:val="26"/>
      <w:szCs w:val="26"/>
      <w:lang w:val="es-ES"/>
    </w:rPr>
  </w:style>
  <w:style w:type="character" w:customStyle="1" w:styleId="Heading3Char1">
    <w:name w:val="Heading 3 Char1"/>
    <w:basedOn w:val="DefaultParagraphFont"/>
    <w:uiPriority w:val="9"/>
    <w:semiHidden/>
    <w:rsid w:val="0006494C"/>
    <w:rPr>
      <w:rFonts w:ascii="Calibri Light" w:eastAsia="Times New Roman" w:hAnsi="Calibri Light" w:cs="Times New Roman"/>
      <w:color w:val="1F4D78"/>
      <w:sz w:val="24"/>
      <w:szCs w:val="24"/>
      <w:lang w:val="es-ES"/>
    </w:rPr>
  </w:style>
  <w:style w:type="character" w:customStyle="1" w:styleId="Heading4Char1">
    <w:name w:val="Heading 4 Char1"/>
    <w:basedOn w:val="DefaultParagraphFont"/>
    <w:uiPriority w:val="9"/>
    <w:semiHidden/>
    <w:rsid w:val="0006494C"/>
    <w:rPr>
      <w:rFonts w:ascii="Calibri Light" w:eastAsia="Times New Roman" w:hAnsi="Calibri Light" w:cs="Times New Roman"/>
      <w:i/>
      <w:iCs/>
      <w:color w:val="2E74B5"/>
      <w:lang w:val="es-ES"/>
    </w:rPr>
  </w:style>
  <w:style w:type="paragraph" w:customStyle="1" w:styleId="Heading0">
    <w:name w:val="Heading 0"/>
    <w:basedOn w:val="Heading2"/>
    <w:link w:val="Heading0Char"/>
    <w:qFormat/>
    <w:rsid w:val="0006494C"/>
    <w:pPr>
      <w:spacing w:before="120" w:after="120"/>
      <w:jc w:val="center"/>
    </w:pPr>
    <w:rPr>
      <w:rFonts w:eastAsia="Calibri"/>
      <w:kern w:val="0"/>
      <w:sz w:val="28"/>
      <w14:ligatures w14:val="none"/>
    </w:rPr>
  </w:style>
  <w:style w:type="character" w:customStyle="1" w:styleId="Heading0Char">
    <w:name w:val="Heading 0 Char"/>
    <w:basedOn w:val="Heading2Char"/>
    <w:link w:val="Heading0"/>
    <w:rsid w:val="0006494C"/>
    <w:rPr>
      <w:rFonts w:ascii="Times New Roman" w:eastAsia="Calibri" w:hAnsi="Times New Roman" w:cstheme="majorBidi"/>
      <w:b/>
      <w:kern w:val="0"/>
      <w:sz w:val="28"/>
      <w:szCs w:val="26"/>
      <w:lang w:val="es-ES"/>
      <w14:ligatures w14:val="none"/>
    </w:rPr>
  </w:style>
  <w:style w:type="numbering" w:customStyle="1" w:styleId="NoList5">
    <w:name w:val="No List5"/>
    <w:next w:val="NoList"/>
    <w:uiPriority w:val="99"/>
    <w:semiHidden/>
    <w:unhideWhenUsed/>
    <w:rsid w:val="0006494C"/>
  </w:style>
  <w:style w:type="numbering" w:customStyle="1" w:styleId="NoList6">
    <w:name w:val="No List6"/>
    <w:next w:val="NoList"/>
    <w:uiPriority w:val="99"/>
    <w:semiHidden/>
    <w:unhideWhenUsed/>
    <w:rsid w:val="0006494C"/>
  </w:style>
  <w:style w:type="table" w:customStyle="1" w:styleId="TableGrid4">
    <w:name w:val="Table Grid4"/>
    <w:basedOn w:val="TableNormal"/>
    <w:next w:val="TableGrid"/>
    <w:uiPriority w:val="39"/>
    <w:rsid w:val="00064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6494C"/>
    <w:pPr>
      <w:spacing w:after="0" w:line="240" w:lineRule="auto"/>
      <w:jc w:val="left"/>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494C"/>
    <w:pPr>
      <w:spacing w:after="0" w:line="240" w:lineRule="auto"/>
    </w:pPr>
  </w:style>
  <w:style w:type="table" w:styleId="PlainTable2">
    <w:name w:val="Plain Table 2"/>
    <w:basedOn w:val="TableNormal"/>
    <w:uiPriority w:val="42"/>
    <w:rsid w:val="000649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649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06494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862645">
      <w:bodyDiv w:val="1"/>
      <w:marLeft w:val="0"/>
      <w:marRight w:val="0"/>
      <w:marTop w:val="0"/>
      <w:marBottom w:val="0"/>
      <w:divBdr>
        <w:top w:val="none" w:sz="0" w:space="0" w:color="auto"/>
        <w:left w:val="none" w:sz="0" w:space="0" w:color="auto"/>
        <w:bottom w:val="none" w:sz="0" w:space="0" w:color="auto"/>
        <w:right w:val="none" w:sz="0" w:space="0" w:color="auto"/>
      </w:divBdr>
    </w:div>
    <w:div w:id="431512105">
      <w:bodyDiv w:val="1"/>
      <w:marLeft w:val="0"/>
      <w:marRight w:val="0"/>
      <w:marTop w:val="0"/>
      <w:marBottom w:val="0"/>
      <w:divBdr>
        <w:top w:val="none" w:sz="0" w:space="0" w:color="auto"/>
        <w:left w:val="none" w:sz="0" w:space="0" w:color="auto"/>
        <w:bottom w:val="none" w:sz="0" w:space="0" w:color="auto"/>
        <w:right w:val="none" w:sz="0" w:space="0" w:color="auto"/>
      </w:divBdr>
    </w:div>
    <w:div w:id="463357451">
      <w:bodyDiv w:val="1"/>
      <w:marLeft w:val="0"/>
      <w:marRight w:val="0"/>
      <w:marTop w:val="0"/>
      <w:marBottom w:val="0"/>
      <w:divBdr>
        <w:top w:val="none" w:sz="0" w:space="0" w:color="auto"/>
        <w:left w:val="none" w:sz="0" w:space="0" w:color="auto"/>
        <w:bottom w:val="none" w:sz="0" w:space="0" w:color="auto"/>
        <w:right w:val="none" w:sz="0" w:space="0" w:color="auto"/>
      </w:divBdr>
    </w:div>
    <w:div w:id="612175391">
      <w:bodyDiv w:val="1"/>
      <w:marLeft w:val="0"/>
      <w:marRight w:val="0"/>
      <w:marTop w:val="0"/>
      <w:marBottom w:val="0"/>
      <w:divBdr>
        <w:top w:val="none" w:sz="0" w:space="0" w:color="auto"/>
        <w:left w:val="none" w:sz="0" w:space="0" w:color="auto"/>
        <w:bottom w:val="none" w:sz="0" w:space="0" w:color="auto"/>
        <w:right w:val="none" w:sz="0" w:space="0" w:color="auto"/>
      </w:divBdr>
    </w:div>
    <w:div w:id="779648344">
      <w:bodyDiv w:val="1"/>
      <w:marLeft w:val="0"/>
      <w:marRight w:val="0"/>
      <w:marTop w:val="0"/>
      <w:marBottom w:val="0"/>
      <w:divBdr>
        <w:top w:val="none" w:sz="0" w:space="0" w:color="auto"/>
        <w:left w:val="none" w:sz="0" w:space="0" w:color="auto"/>
        <w:bottom w:val="none" w:sz="0" w:space="0" w:color="auto"/>
        <w:right w:val="none" w:sz="0" w:space="0" w:color="auto"/>
      </w:divBdr>
    </w:div>
    <w:div w:id="1055396590">
      <w:bodyDiv w:val="1"/>
      <w:marLeft w:val="0"/>
      <w:marRight w:val="0"/>
      <w:marTop w:val="0"/>
      <w:marBottom w:val="0"/>
      <w:divBdr>
        <w:top w:val="none" w:sz="0" w:space="0" w:color="auto"/>
        <w:left w:val="none" w:sz="0" w:space="0" w:color="auto"/>
        <w:bottom w:val="none" w:sz="0" w:space="0" w:color="auto"/>
        <w:right w:val="none" w:sz="0" w:space="0" w:color="auto"/>
      </w:divBdr>
    </w:div>
    <w:div w:id="1091467633">
      <w:bodyDiv w:val="1"/>
      <w:marLeft w:val="0"/>
      <w:marRight w:val="0"/>
      <w:marTop w:val="0"/>
      <w:marBottom w:val="0"/>
      <w:divBdr>
        <w:top w:val="none" w:sz="0" w:space="0" w:color="auto"/>
        <w:left w:val="none" w:sz="0" w:space="0" w:color="auto"/>
        <w:bottom w:val="none" w:sz="0" w:space="0" w:color="auto"/>
        <w:right w:val="none" w:sz="0" w:space="0" w:color="auto"/>
      </w:divBdr>
    </w:div>
    <w:div w:id="1113212995">
      <w:bodyDiv w:val="1"/>
      <w:marLeft w:val="0"/>
      <w:marRight w:val="0"/>
      <w:marTop w:val="0"/>
      <w:marBottom w:val="0"/>
      <w:divBdr>
        <w:top w:val="none" w:sz="0" w:space="0" w:color="auto"/>
        <w:left w:val="none" w:sz="0" w:space="0" w:color="auto"/>
        <w:bottom w:val="none" w:sz="0" w:space="0" w:color="auto"/>
        <w:right w:val="none" w:sz="0" w:space="0" w:color="auto"/>
      </w:divBdr>
    </w:div>
    <w:div w:id="1184829684">
      <w:bodyDiv w:val="1"/>
      <w:marLeft w:val="0"/>
      <w:marRight w:val="0"/>
      <w:marTop w:val="0"/>
      <w:marBottom w:val="0"/>
      <w:divBdr>
        <w:top w:val="none" w:sz="0" w:space="0" w:color="auto"/>
        <w:left w:val="none" w:sz="0" w:space="0" w:color="auto"/>
        <w:bottom w:val="none" w:sz="0" w:space="0" w:color="auto"/>
        <w:right w:val="none" w:sz="0" w:space="0" w:color="auto"/>
      </w:divBdr>
    </w:div>
    <w:div w:id="1274289226">
      <w:bodyDiv w:val="1"/>
      <w:marLeft w:val="0"/>
      <w:marRight w:val="0"/>
      <w:marTop w:val="0"/>
      <w:marBottom w:val="0"/>
      <w:divBdr>
        <w:top w:val="none" w:sz="0" w:space="0" w:color="auto"/>
        <w:left w:val="none" w:sz="0" w:space="0" w:color="auto"/>
        <w:bottom w:val="none" w:sz="0" w:space="0" w:color="auto"/>
        <w:right w:val="none" w:sz="0" w:space="0" w:color="auto"/>
      </w:divBdr>
    </w:div>
    <w:div w:id="1481774277">
      <w:bodyDiv w:val="1"/>
      <w:marLeft w:val="0"/>
      <w:marRight w:val="0"/>
      <w:marTop w:val="0"/>
      <w:marBottom w:val="0"/>
      <w:divBdr>
        <w:top w:val="none" w:sz="0" w:space="0" w:color="auto"/>
        <w:left w:val="none" w:sz="0" w:space="0" w:color="auto"/>
        <w:bottom w:val="none" w:sz="0" w:space="0" w:color="auto"/>
        <w:right w:val="none" w:sz="0" w:space="0" w:color="auto"/>
      </w:divBdr>
    </w:div>
    <w:div w:id="1731028049">
      <w:bodyDiv w:val="1"/>
      <w:marLeft w:val="0"/>
      <w:marRight w:val="0"/>
      <w:marTop w:val="0"/>
      <w:marBottom w:val="0"/>
      <w:divBdr>
        <w:top w:val="none" w:sz="0" w:space="0" w:color="auto"/>
        <w:left w:val="none" w:sz="0" w:space="0" w:color="auto"/>
        <w:bottom w:val="none" w:sz="0" w:space="0" w:color="auto"/>
        <w:right w:val="none" w:sz="0" w:space="0" w:color="auto"/>
      </w:divBdr>
    </w:div>
    <w:div w:id="213381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sv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svg"/><Relationship Id="rId25" Type="http://schemas.openxmlformats.org/officeDocument/2006/relationships/image" Target="media/image15.sv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3.svg"/><Relationship Id="rId28" Type="http://schemas.openxmlformats.org/officeDocument/2006/relationships/image" Target="media/image18.png"/><Relationship Id="rId10" Type="http://schemas.openxmlformats.org/officeDocument/2006/relationships/image" Target="media/image2.svg"/><Relationship Id="rId19" Type="http://schemas.openxmlformats.org/officeDocument/2006/relationships/image" Target="media/image9.sv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3D7B5-D89C-494B-8740-1DFE227BB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44530</Words>
  <Characters>252490</Characters>
  <Application>Microsoft Office Word</Application>
  <DocSecurity>0</DocSecurity>
  <Lines>19422</Lines>
  <Paragraphs>17471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BBixin *</dc:creator>
  <cp:keywords/>
  <dc:description/>
  <cp:lastModifiedBy>Celia Camara Perez-Vera (Staff)</cp:lastModifiedBy>
  <cp:revision>3</cp:revision>
  <dcterms:created xsi:type="dcterms:W3CDTF">2025-12-10T18:51:00Z</dcterms:created>
  <dcterms:modified xsi:type="dcterms:W3CDTF">2025-12-10T18:52:00Z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id="NVF20iNr"/&gt;&lt;style id="http://www.zotero.org/styles/american-medical-association" hasBibliography="1" bibliographyStyleHasBeenSet="1"/&gt;&lt;prefs&gt;&lt;pref name="fieldType" value="Field"/&gt;&lt;/prefs&gt;&lt;/data&gt;</vt:lpwstr>
  </property>
</Properties>
</file>