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1EC7" w14:textId="00270BFE" w:rsidR="00D85968" w:rsidRPr="00D85968" w:rsidRDefault="00D85968" w:rsidP="00D85968">
      <w:pPr>
        <w:rPr>
          <w:b/>
        </w:rPr>
      </w:pPr>
      <w:r>
        <w:t xml:space="preserve">Supplementary online information for </w:t>
      </w:r>
      <w:bookmarkStart w:id="0" w:name="_Hlk184995008"/>
      <w:r w:rsidRPr="00D85968">
        <w:rPr>
          <w:b/>
        </w:rPr>
        <w:t>Exploring sources of uncertainty in the estimate of waterfowl harvest in the United Kingdom</w:t>
      </w:r>
      <w:bookmarkEnd w:id="0"/>
    </w:p>
    <w:p w14:paraId="1B147145" w14:textId="6F05C8A7" w:rsidR="00D85968" w:rsidRDefault="00D85968" w:rsidP="00D85968">
      <w:pPr>
        <w:ind w:right="-501"/>
        <w:rPr>
          <w:bCs/>
        </w:rPr>
      </w:pPr>
      <w:r w:rsidRPr="00D85968">
        <w:rPr>
          <w:b/>
        </w:rPr>
        <w:t>Table S1</w:t>
      </w:r>
      <w:r>
        <w:rPr>
          <w:bCs/>
        </w:rPr>
        <w:t xml:space="preserve">: Mean (± 95% Cis) harvest estimates for the United Kingdom of legally hunted wild duck species in 2016 </w:t>
      </w:r>
      <w:r w:rsidRPr="000E226E">
        <w:rPr>
          <w:rFonts w:ascii="Arial" w:hAnsi="Arial" w:cs="Arial"/>
        </w:rPr>
        <w:t xml:space="preserve">when based </w:t>
      </w:r>
      <w:r>
        <w:rPr>
          <w:rFonts w:ascii="Arial" w:hAnsi="Arial" w:cs="Arial"/>
        </w:rPr>
        <w:t>o</w:t>
      </w:r>
      <w:r w:rsidRPr="000E226E">
        <w:rPr>
          <w:rFonts w:ascii="Arial" w:hAnsi="Arial" w:cs="Arial"/>
        </w:rPr>
        <w:t xml:space="preserve">n the proportions as seen on </w:t>
      </w:r>
      <w:r>
        <w:rPr>
          <w:rFonts w:ascii="Arial" w:hAnsi="Arial" w:cs="Arial"/>
        </w:rPr>
        <w:t>social media (Facebook)</w:t>
      </w:r>
      <w:r w:rsidRPr="000E226E">
        <w:rPr>
          <w:rFonts w:ascii="Arial" w:hAnsi="Arial" w:cs="Arial"/>
        </w:rPr>
        <w:t xml:space="preserve">, or the bag when assuming that for ducks those birds seen on </w:t>
      </w:r>
      <w:r>
        <w:rPr>
          <w:rFonts w:ascii="Arial" w:hAnsi="Arial" w:cs="Arial"/>
        </w:rPr>
        <w:t>social media</w:t>
      </w:r>
      <w:r w:rsidRPr="000E226E">
        <w:rPr>
          <w:rFonts w:ascii="Arial" w:hAnsi="Arial" w:cs="Arial"/>
        </w:rPr>
        <w:t xml:space="preserve"> are not linked to commercial hunting or rear and released game-farm mallards</w:t>
      </w:r>
      <w:r>
        <w:rPr>
          <w:rFonts w:ascii="Arial" w:hAnsi="Arial" w:cs="Arial"/>
        </w:rPr>
        <w:t xml:space="preserve"> using estimates based on return rates from Aebischer (2024) (</w:t>
      </w:r>
      <w:r w:rsidRPr="00612D29">
        <w:rPr>
          <w:rFonts w:ascii="Arial" w:hAnsi="Arial" w:cs="Arial"/>
        </w:rPr>
        <w:t>FB ≠ Released</w:t>
      </w:r>
      <w:r>
        <w:rPr>
          <w:rFonts w:ascii="Arial" w:hAnsi="Arial" w:cs="Arial"/>
        </w:rPr>
        <w:t>), or when release estimates are based on uncertainty in return rates from our own work (</w:t>
      </w:r>
      <w:r w:rsidRPr="00612D29">
        <w:rPr>
          <w:rFonts w:ascii="Arial" w:hAnsi="Arial" w:cs="Arial"/>
        </w:rPr>
        <w:t>FB ≠ Released</w:t>
      </w:r>
      <w:r>
        <w:rPr>
          <w:rFonts w:ascii="Arial" w:hAnsi="Arial" w:cs="Arial"/>
        </w:rPr>
        <w:t xml:space="preserve">2) or in addition to </w:t>
      </w:r>
      <w:r w:rsidRPr="00612D29">
        <w:rPr>
          <w:rFonts w:ascii="Arial" w:hAnsi="Arial" w:cs="Arial"/>
        </w:rPr>
        <w:t>FB ≠ Released</w:t>
      </w:r>
      <w:r>
        <w:rPr>
          <w:rFonts w:ascii="Arial" w:hAnsi="Arial" w:cs="Arial"/>
        </w:rPr>
        <w:t>2 including uncertainty in the total number of game-farm mallard released (</w:t>
      </w:r>
      <w:r w:rsidRPr="00EA745A">
        <w:rPr>
          <w:rFonts w:ascii="Arial" w:hAnsi="Arial" w:cs="Arial"/>
        </w:rPr>
        <w:t>FB ≠ Released</w:t>
      </w:r>
      <w:r>
        <w:rPr>
          <w:rFonts w:ascii="Arial" w:hAnsi="Arial" w:cs="Arial"/>
        </w:rPr>
        <w:t xml:space="preserve">3), or finally in addition to </w:t>
      </w:r>
      <w:r w:rsidRPr="00EA745A">
        <w:rPr>
          <w:rFonts w:ascii="Arial" w:hAnsi="Arial" w:cs="Arial"/>
        </w:rPr>
        <w:t>FB ≠ Released</w:t>
      </w:r>
      <w:r>
        <w:rPr>
          <w:rFonts w:ascii="Arial" w:hAnsi="Arial" w:cs="Arial"/>
        </w:rPr>
        <w:t>3 including uncertainty in the total number of wild duck harvested in the United Kingdom (</w:t>
      </w:r>
      <w:r w:rsidRPr="00EA745A">
        <w:rPr>
          <w:rFonts w:ascii="Arial" w:hAnsi="Arial" w:cs="Arial"/>
        </w:rPr>
        <w:t>FB ≠ Released</w:t>
      </w:r>
      <w:r>
        <w:rPr>
          <w:rFonts w:ascii="Arial" w:hAnsi="Arial" w:cs="Arial"/>
        </w:rPr>
        <w:t>3* total bag)</w:t>
      </w:r>
      <w:r w:rsidRPr="000E226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These should be compared to those for the same species in the National Gamebag Census (</w:t>
      </w:r>
      <w:r w:rsidR="002E3D2C">
        <w:rPr>
          <w:rFonts w:ascii="Arial" w:hAnsi="Arial" w:cs="Arial"/>
        </w:rPr>
        <w:t>Aebischer</w:t>
      </w:r>
      <w:r>
        <w:rPr>
          <w:rFonts w:ascii="Arial" w:hAnsi="Arial" w:cs="Arial"/>
        </w:rPr>
        <w:t xml:space="preserve"> 2019). Data for Gadwall, Teal, Mallard and Wigeon </w:t>
      </w:r>
      <w:r w:rsidR="002E3D2C">
        <w:rPr>
          <w:rFonts w:ascii="Arial" w:hAnsi="Arial" w:cs="Arial"/>
        </w:rPr>
        <w:t xml:space="preserve">are </w:t>
      </w:r>
      <w:r w:rsidR="00DE664E">
        <w:rPr>
          <w:rFonts w:ascii="Arial" w:hAnsi="Arial" w:cs="Arial"/>
        </w:rPr>
        <w:t>plotted in main manuscript</w:t>
      </w:r>
      <w:r w:rsidR="002E3D2C">
        <w:rPr>
          <w:rFonts w:ascii="Arial" w:hAnsi="Arial" w:cs="Arial"/>
        </w:rPr>
        <w:t xml:space="preserve"> (Figure 3)</w:t>
      </w:r>
      <w:r w:rsidR="00DE664E">
        <w:rPr>
          <w:rFonts w:ascii="Arial" w:hAnsi="Arial" w:cs="Arial"/>
        </w:rPr>
        <w:t>.</w:t>
      </w:r>
    </w:p>
    <w:tbl>
      <w:tblPr>
        <w:tblW w:w="12860" w:type="dxa"/>
        <w:tblLook w:val="04A0" w:firstRow="1" w:lastRow="0" w:firstColumn="1" w:lastColumn="0" w:noHBand="0" w:noVBand="1"/>
      </w:tblPr>
      <w:tblGrid>
        <w:gridCol w:w="2405"/>
        <w:gridCol w:w="1535"/>
        <w:gridCol w:w="1100"/>
        <w:gridCol w:w="1100"/>
        <w:gridCol w:w="1100"/>
        <w:gridCol w:w="1100"/>
        <w:gridCol w:w="1100"/>
        <w:gridCol w:w="1100"/>
        <w:gridCol w:w="1100"/>
        <w:gridCol w:w="1220"/>
      </w:tblGrid>
      <w:tr w:rsidR="00D85968" w:rsidRPr="00D85968" w14:paraId="4684D40D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19471AC" w14:textId="442BC0BA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Estimation Method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6D9C767" w14:textId="77777777" w:rsidR="00D85968" w:rsidRPr="00D85968" w:rsidRDefault="00D85968" w:rsidP="00D85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BC36DD2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Gadwall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358DBFE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Teal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2FC7CC9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Mallard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B4BF8DE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Tufted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97524A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Wigeon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3C9B41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Shoveler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41CD332" w14:textId="23974CEA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Pintail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DF030D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Pochard</w:t>
            </w:r>
          </w:p>
        </w:tc>
      </w:tr>
      <w:tr w:rsidR="00D85968" w:rsidRPr="00D85968" w14:paraId="317CAE98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C7D7C1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Facebook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DACE992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D895397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55000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58A1A0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3D1B77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670000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5381BF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A523DF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89000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25E17A7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BE32E3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6900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B32AC5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2600</w:t>
            </w:r>
          </w:p>
        </w:tc>
      </w:tr>
      <w:tr w:rsidR="00D85968" w:rsidRPr="00D85968" w14:paraId="1F064739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742CDB2" w14:textId="77777777" w:rsidR="00D85968" w:rsidRPr="00D85968" w:rsidRDefault="00D85968" w:rsidP="00D859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8D9DC49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upperCI</w:t>
            </w:r>
            <w:proofErr w:type="spellEnd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97.5%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8E4C651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74000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B98FD8C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34000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743C1D2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760000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D6F6697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BF6567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A20340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4637822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11000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046794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6100</w:t>
            </w:r>
          </w:p>
        </w:tc>
      </w:tr>
      <w:tr w:rsidR="00D85968" w:rsidRPr="00D85968" w14:paraId="77678A34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EE720DC" w14:textId="77777777" w:rsidR="00D85968" w:rsidRPr="00D85968" w:rsidRDefault="00D85968" w:rsidP="00D859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E478E2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lowerCI</w:t>
            </w:r>
            <w:proofErr w:type="spellEnd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2.5%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FE2B3A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39000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CD2198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8E8FAC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580000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2A8FF4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E14EA5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492E2F6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7600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19DB18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3700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F71EDA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330</w:t>
            </w:r>
          </w:p>
        </w:tc>
      </w:tr>
      <w:tr w:rsidR="00D85968" w:rsidRPr="00D85968" w14:paraId="0155B787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2DD424" w14:textId="77777777" w:rsidR="00D85968" w:rsidRPr="00D85968" w:rsidRDefault="00D85968" w:rsidP="00D859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B304E9C" w14:textId="77777777" w:rsidR="00D85968" w:rsidRPr="00D85968" w:rsidRDefault="00D85968" w:rsidP="00D85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7446EDD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75E1D55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09801E6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28D9AFD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D7FABDB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F0E97F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3A6735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962D54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85968" w:rsidRPr="00D85968" w14:paraId="77717F0A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6E5882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FB ≠ Released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466259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B37BD96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70E161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97000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8347CA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65EC79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5900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2D9A7F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8CF159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4100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13BCCB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3EB34D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890</w:t>
            </w:r>
          </w:p>
        </w:tc>
      </w:tr>
      <w:tr w:rsidR="00D85968" w:rsidRPr="00D85968" w14:paraId="67AF9E43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8239C51" w14:textId="77777777" w:rsidR="00D85968" w:rsidRPr="00D85968" w:rsidRDefault="00D85968" w:rsidP="00D859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930A8AA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upperCI</w:t>
            </w:r>
            <w:proofErr w:type="spellEnd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97.5%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AC3686A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895825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107284F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AA22044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9800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8BC81B6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43000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C8DA27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6200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E65E0C0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3700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6BE7FD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2100</w:t>
            </w:r>
          </w:p>
        </w:tc>
      </w:tr>
      <w:tr w:rsidR="00D85968" w:rsidRPr="00D85968" w14:paraId="4ECEF91D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5769DF" w14:textId="77777777" w:rsidR="00D85968" w:rsidRPr="00D85968" w:rsidRDefault="00D85968" w:rsidP="00D859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F8581AD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lowerCI</w:t>
            </w:r>
            <w:proofErr w:type="spellEnd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2.5%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FCCB8BE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BD82444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71000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DF43D57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E1F72B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D3E7D1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71036F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9D903E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B368FA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120</w:t>
            </w:r>
          </w:p>
        </w:tc>
      </w:tr>
      <w:tr w:rsidR="00D85968" w:rsidRPr="00D85968" w14:paraId="59F9D148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37B382" w14:textId="77777777" w:rsidR="00D85968" w:rsidRPr="00D85968" w:rsidRDefault="00D85968" w:rsidP="00D859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EE8A98" w14:textId="77777777" w:rsidR="00D85968" w:rsidRPr="00D85968" w:rsidRDefault="00D85968" w:rsidP="00D85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E47D988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714166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4E6BDCD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0C097D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FD4B3BD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E001D65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748D53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5E76A2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85968" w:rsidRPr="00D85968" w14:paraId="57393916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DEAC58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FB ≠ Released2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86891A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46A22E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C8A2BE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96000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C18194E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38FADB5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5900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07FA01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F0EDEF1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4100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8B9095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364D1D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890</w:t>
            </w:r>
          </w:p>
        </w:tc>
      </w:tr>
      <w:tr w:rsidR="00D85968" w:rsidRPr="00D85968" w14:paraId="5FC9CB4C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94FDC08" w14:textId="77777777" w:rsidR="00D85968" w:rsidRPr="00D85968" w:rsidRDefault="00D85968" w:rsidP="00D859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7B8ECFC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upperCI</w:t>
            </w:r>
            <w:proofErr w:type="spellEnd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97.5%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683D5D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606ED01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BF1F7F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2826B3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617984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44000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A7FAAA6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6200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EC27925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3900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AE6E4A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2100</w:t>
            </w:r>
          </w:p>
        </w:tc>
      </w:tr>
      <w:tr w:rsidR="00D85968" w:rsidRPr="00D85968" w14:paraId="133994F9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B890836" w14:textId="77777777" w:rsidR="00D85968" w:rsidRPr="00D85968" w:rsidRDefault="00D85968" w:rsidP="00D859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0CE525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lowerCI</w:t>
            </w:r>
            <w:proofErr w:type="spellEnd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2.5%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BF9B01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1AA31AF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65000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940C285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47327C7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C9F7BA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F316CC4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267F02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E34777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100</w:t>
            </w:r>
          </w:p>
        </w:tc>
      </w:tr>
      <w:tr w:rsidR="00D85968" w:rsidRPr="00D85968" w14:paraId="5A89AD28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14C7EF" w14:textId="77777777" w:rsidR="00D85968" w:rsidRPr="00D85968" w:rsidRDefault="00D85968" w:rsidP="00D859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F46ED7E" w14:textId="77777777" w:rsidR="00D85968" w:rsidRPr="00D85968" w:rsidRDefault="00D85968" w:rsidP="00D85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F11FA88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C4DB58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E1F91B0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C24FB29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C40EDD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97B0C40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091D688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DFECBB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85968" w:rsidRPr="00D85968" w14:paraId="344ACEFB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C4AE98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FB ≠ Released3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A6AFFF9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EAA596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5DF32D3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AD9F7E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CC929F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8400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4219C53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42000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770FB0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5700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AA1D697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3200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B217DF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1200</w:t>
            </w:r>
          </w:p>
        </w:tc>
      </w:tr>
      <w:tr w:rsidR="00D85968" w:rsidRPr="00D85968" w14:paraId="4A5AE07E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4F34E86" w14:textId="77777777" w:rsidR="00D85968" w:rsidRPr="00D85968" w:rsidRDefault="00D85968" w:rsidP="00D859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182E43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upperCI</w:t>
            </w:r>
            <w:proofErr w:type="spellEnd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97.5%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BB3BA66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36000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902B0D8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7474DD8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390000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824F95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33C132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87929A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8600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0FE61A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5300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FB4A37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2900</w:t>
            </w:r>
          </w:p>
        </w:tc>
      </w:tr>
      <w:tr w:rsidR="00D85968" w:rsidRPr="00D85968" w14:paraId="256CCED8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632AAD" w14:textId="77777777" w:rsidR="00D85968" w:rsidRPr="00D85968" w:rsidRDefault="00D85968" w:rsidP="00D859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668EDB6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lowerCI</w:t>
            </w:r>
            <w:proofErr w:type="spellEnd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2.5%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74482B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01666D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97000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AC31E0C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64598C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4100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CC409D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D7C631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34000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DB02B8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041A2B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160</w:t>
            </w:r>
          </w:p>
        </w:tc>
      </w:tr>
      <w:tr w:rsidR="00D85968" w:rsidRPr="00D85968" w14:paraId="174808C1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480B89" w14:textId="77777777" w:rsidR="00D85968" w:rsidRPr="00D85968" w:rsidRDefault="00D85968" w:rsidP="00D859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8EF6329" w14:textId="77777777" w:rsidR="00D85968" w:rsidRPr="00D85968" w:rsidRDefault="00D85968" w:rsidP="00D85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2BBCDF3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9D8A3A3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0AA58B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E7D8C9B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187D83F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7FBCBB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6783598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ACABCF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85968" w:rsidRPr="00D85968" w14:paraId="3397B51D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184A4D0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FB ≠ Released3 * total bag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8B38B18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EBCECB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6908A2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7CDBE2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40C4D50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8400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FEB23C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42000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0855CD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5700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D0878A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3200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ECB2E5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1200</w:t>
            </w:r>
          </w:p>
        </w:tc>
      </w:tr>
      <w:tr w:rsidR="00D85968" w:rsidRPr="00D85968" w14:paraId="7DDF845F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0BDCAB" w14:textId="77777777" w:rsidR="00D85968" w:rsidRPr="00D85968" w:rsidRDefault="00D85968" w:rsidP="00D859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81D82BC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upperCI</w:t>
            </w:r>
            <w:proofErr w:type="spellEnd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97.5%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F2D2E60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48000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590F0A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AA2B757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550000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F607419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52C7B6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78000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C468C8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5F4AE6E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6700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D4697B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3400</w:t>
            </w:r>
          </w:p>
        </w:tc>
      </w:tr>
      <w:tr w:rsidR="00D85968" w:rsidRPr="00D85968" w14:paraId="25DC875B" w14:textId="77777777" w:rsidTr="00D85968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E637E9" w14:textId="77777777" w:rsidR="00D85968" w:rsidRPr="00D85968" w:rsidRDefault="00D85968" w:rsidP="00D859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4FBA1D0" w14:textId="77777777" w:rsidR="00D85968" w:rsidRPr="00D85968" w:rsidRDefault="00D85968" w:rsidP="00D859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lowerCI</w:t>
            </w:r>
            <w:proofErr w:type="spellEnd"/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2.5%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47B7CEF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6300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74BB89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33000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4B4106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77000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0A5D3F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A7FA1B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10000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E328478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10E54E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710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9C8E3" w14:textId="77777777" w:rsidR="00D85968" w:rsidRPr="00D85968" w:rsidRDefault="00D85968" w:rsidP="00D859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59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110</w:t>
            </w:r>
          </w:p>
        </w:tc>
      </w:tr>
    </w:tbl>
    <w:p w14:paraId="4EE0C5EB" w14:textId="77D18331" w:rsidR="002A7AD0" w:rsidRDefault="002A7AD0"/>
    <w:sectPr w:rsidR="002A7AD0" w:rsidSect="00D8596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44F3" w14:textId="77777777" w:rsidR="00166E1E" w:rsidRDefault="00166E1E" w:rsidP="00D85968">
      <w:pPr>
        <w:spacing w:after="0" w:line="240" w:lineRule="auto"/>
      </w:pPr>
      <w:r>
        <w:separator/>
      </w:r>
    </w:p>
  </w:endnote>
  <w:endnote w:type="continuationSeparator" w:id="0">
    <w:p w14:paraId="391490EC" w14:textId="77777777" w:rsidR="00166E1E" w:rsidRDefault="00166E1E" w:rsidP="00D8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0F9C" w14:textId="77777777" w:rsidR="00166E1E" w:rsidRDefault="00166E1E" w:rsidP="00D85968">
      <w:pPr>
        <w:spacing w:after="0" w:line="240" w:lineRule="auto"/>
      </w:pPr>
      <w:r>
        <w:separator/>
      </w:r>
    </w:p>
  </w:footnote>
  <w:footnote w:type="continuationSeparator" w:id="0">
    <w:p w14:paraId="52C8C377" w14:textId="77777777" w:rsidR="00166E1E" w:rsidRDefault="00166E1E" w:rsidP="00D85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809B" w14:textId="5246D425" w:rsidR="00D85968" w:rsidRDefault="00D85968" w:rsidP="00D85968">
    <w:pPr>
      <w:rPr>
        <w:bCs/>
      </w:rPr>
    </w:pPr>
    <w:r w:rsidRPr="00D85968">
      <w:rPr>
        <w:bCs/>
      </w:rPr>
      <w:t>Matthew B. Ellis, Hannah M. Lewis, Tom C. Cameron</w:t>
    </w:r>
  </w:p>
  <w:p w14:paraId="19EA3030" w14:textId="69573987" w:rsidR="00D85968" w:rsidRDefault="00D85968">
    <w:pPr>
      <w:pStyle w:val="Header"/>
    </w:pPr>
  </w:p>
  <w:p w14:paraId="0043EFAD" w14:textId="77777777" w:rsidR="00D85968" w:rsidRDefault="00D859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EF"/>
    <w:rsid w:val="00166E1E"/>
    <w:rsid w:val="002A7AD0"/>
    <w:rsid w:val="002E3D2C"/>
    <w:rsid w:val="00446F93"/>
    <w:rsid w:val="007B37EF"/>
    <w:rsid w:val="00B41562"/>
    <w:rsid w:val="00D85968"/>
    <w:rsid w:val="00D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AE484"/>
  <w15:chartTrackingRefBased/>
  <w15:docId w15:val="{5F2F24BC-9FA2-4766-B867-FE5BD42A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7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7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7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7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7E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7E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7E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7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7E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7E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68"/>
  </w:style>
  <w:style w:type="paragraph" w:styleId="Footer">
    <w:name w:val="footer"/>
    <w:basedOn w:val="Normal"/>
    <w:link w:val="FooterChar"/>
    <w:uiPriority w:val="99"/>
    <w:unhideWhenUsed/>
    <w:rsid w:val="00D85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Cameron, Thomas C</dc:creator>
  <cp:keywords/>
  <dc:description/>
  <cp:lastModifiedBy>Cameron, Thomas C</cp:lastModifiedBy>
  <cp:revision>2</cp:revision>
  <dcterms:created xsi:type="dcterms:W3CDTF">2026-04-14T21:11:00Z</dcterms:created>
  <dcterms:modified xsi:type="dcterms:W3CDTF">2026-04-14T21:52:00Z</dcterms:modified>
</cp:coreProperties>
</file>